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b/>
          <w:color w:val="0F766E"/>
          <w:sz w:val="18"/>
        </w:rPr>
        <w:t>CLOUD HOSTING BUDGET ESTIMATE</w:t>
      </w:r>
    </w:p>
    <w:p>
      <w:pPr>
        <w:pStyle w:val="Title"/>
      </w:pPr>
      <w:r>
        <w:t>PlutoniX Production Platform</w:t>
      </w:r>
    </w:p>
    <w:p>
      <w:pPr>
        <w:pStyle w:val="Subtitle"/>
      </w:pPr>
      <w:r>
        <w:t>A non-binding monthly operating estimate for an AWS Mumbai deployment.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5"/>
              </w:rPr>
              <w:t>REGION</w:t>
              <w:br/>
            </w:r>
            <w:r>
              <w:rPr>
                <w:rFonts w:ascii="Aptos" w:hAnsi="Aptos"/>
                <w:b/>
                <w:color w:val="12233F"/>
                <w:sz w:val="20"/>
              </w:rPr>
              <w:t>AWS Mumbai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5"/>
              </w:rPr>
              <w:t>CAPACITY</w:t>
              <w:br/>
            </w:r>
            <w:r>
              <w:rPr>
                <w:rFonts w:ascii="Aptos" w:hAnsi="Aptos"/>
                <w:b/>
                <w:color w:val="12233F"/>
                <w:sz w:val="20"/>
              </w:rPr>
              <w:t>25 concurrent builds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F"/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5"/>
              </w:rPr>
              <w:t>VOLUME</w:t>
              <w:br/>
            </w:r>
            <w:r>
              <w:rPr>
                <w:rFonts w:ascii="Aptos" w:hAnsi="Aptos"/>
                <w:b/>
                <w:color w:val="12233F"/>
                <w:sz w:val="20"/>
              </w:rPr>
              <w:t>5,000 builds/month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CFDF5"/>
          </w:tcPr>
          <w:p>
            <w:r>
              <w:rPr>
                <w:rFonts w:ascii="Aptos" w:hAnsi="Aptos"/>
                <w:b/>
                <w:color w:val="0F766E"/>
                <w:sz w:val="17"/>
              </w:rPr>
              <w:t xml:space="preserve">EXPECTED MONTHLY BUDGET  </w:t>
            </w:r>
            <w:r>
              <w:rPr>
                <w:rFonts w:ascii="Aptos" w:hAnsi="Aptos"/>
                <w:b/>
                <w:color w:val="172033"/>
                <w:sz w:val="21"/>
              </w:rPr>
              <w:t>$3,400-$4,400 USD, including infrastructure and expected OpenAI model usage.</w:t>
            </w:r>
          </w:p>
        </w:tc>
      </w:tr>
    </w:tbl>
    <w:p>
      <w:pPr>
        <w:spacing w:after="20"/>
      </w:pPr>
    </w:p>
    <w:p>
      <w:r>
        <w:t xml:space="preserve">This estimate is designed for a multi-AZ launch serving approximately 100-300 active users. </w:t>
      </w:r>
      <w:r>
        <w:rPr>
          <w:b/>
        </w:rPr>
        <w:t>It is not a binding quotation or invoice.</w:t>
      </w:r>
    </w:p>
    <w:p>
      <w:pPr>
        <w:pStyle w:val="Heading1"/>
      </w:pPr>
      <w:r>
        <w:t>Executive recommendation</w:t>
      </w:r>
    </w:p>
    <w:p>
      <w:r>
        <w:t>Deploy PlutoniX as a managed control plane with isolated, queue-driven build workers. The existing local Docker Compose topology is suitable for development, but it should not be exposed directly as a public multi-user service.</w:t>
      </w:r>
    </w:p>
    <w:p>
      <w:pPr>
        <w:pStyle w:val="ListBullet"/>
      </w:pPr>
      <w:r>
        <w:t>Serve the PlutoniX frontend and static previews through CloudFront and S3.</w:t>
      </w:r>
    </w:p>
    <w:p>
      <w:pPr>
        <w:pStyle w:val="ListBullet"/>
      </w:pPr>
      <w:r>
        <w:t>Run the API as stateless ECS services across at least two availability zones.</w:t>
      </w:r>
    </w:p>
    <w:p>
      <w:pPr>
        <w:pStyle w:val="ListBullet"/>
      </w:pPr>
      <w:r>
        <w:t>Queue builds in SQS and execute each build in an isolated, time-limited worker task.</w:t>
      </w:r>
    </w:p>
    <w:p>
      <w:pPr>
        <w:pStyle w:val="ListBullet"/>
      </w:pPr>
      <w:r>
        <w:t>Store users, projects, builds, permissions, decisions, and snapshots in managed databases.</w:t>
      </w:r>
    </w:p>
    <w:p>
      <w:pPr>
        <w:pStyle w:val="ListBullet"/>
      </w:pPr>
      <w:r>
        <w:t>Store generated files, media, exports, and workspace archives in S3.</w:t>
      </w:r>
    </w:p>
    <w:p>
      <w:pPr>
        <w:pStyle w:val="Heading1"/>
      </w:pPr>
      <w:r>
        <w:t>Estimated monthly budget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Expected range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What it covers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API and control plane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$90-$180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Multi-AZ ECS services for the PlutoniX API and orchestration control plane.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Build and preview workers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$150-$400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Approximately 5,000 isolated builds, queued overflow, and time-limited previews.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Aurora PostgreSQL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$180-$350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Project ownership, workflow state, build records, permissions, and snapshots.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Redis and queues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$60-$140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Live workflow state, event distribution, coordination, and SQS requests.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Network and load balancing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$100-$250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ALB, private connectivity, routing, and typical transfer.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Storage and delivery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$50-$180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S3, CloudFront, ECR, build artifacts, exports, and backups.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Security and operations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$100-$300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WAF, CloudWatch, audit logging, alarms, and backup operations.</w:t>
            </w:r>
          </w:p>
        </w:tc>
      </w:tr>
      <w:tr>
        <w:tc>
          <w:tcPr>
            <w:tcW w:type="dxa" w:w="2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Neo4j AuraDB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About $292</w:t>
            </w:r>
          </w:p>
        </w:tc>
        <w:tc>
          <w:tcPr>
            <w:tcW w:type="dxa" w:w="5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Business Critical minimum for the production agent relationship graph.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Infrastructure subtotal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$970-$1,940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Excludes model usage, engineering labour, taxes, and premium support.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AI model usage</w:t>
      </w:r>
    </w:p>
    <w:p>
      <w:r>
        <w:t>Model usage is the largest variable. The estimates below use published GPT-5 pricing of $1.25 per million input tokens and $10 per million output tokens. Actual coding-agent usage depends on task complexity, retries, reviewers, context size, and caching.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Tokens per build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Approx. monthly AI cost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Efficient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75k input + 15k output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$1,220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Expected</w:t>
            </w:r>
          </w:p>
        </w:tc>
        <w:tc>
          <w:tcPr>
            <w:tcW w:type="dxa" w:w="3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150k input + 30k output</w:t>
            </w:r>
          </w:p>
        </w:tc>
        <w:tc>
          <w:tcPr>
            <w:tcW w:type="dxa" w:w="3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$2,438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Heavy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300k input + 60k output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$4,875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r>
              <w:rPr>
                <w:rFonts w:ascii="Aptos" w:hAnsi="Aptos"/>
                <w:b/>
                <w:color w:val="0F766E"/>
                <w:sz w:val="17"/>
              </w:rPr>
              <w:t xml:space="preserve">COST-CONTROL OPPORTUNITY  </w:t>
            </w:r>
            <w:r>
              <w:rPr>
                <w:rFonts w:ascii="Aptos" w:hAnsi="Aptos"/>
                <w:b/>
                <w:color w:val="172033"/>
                <w:sz w:val="21"/>
              </w:rPr>
              <w:t>Use smaller models for classification, routine edits, and low-risk review. Reserve GPT-5-class execution for complex or high-risk work. A hybrid route could reduce expected AI usage to roughly $700-$1,500 per month.</w:t>
            </w:r>
          </w:p>
        </w:tc>
      </w:tr>
    </w:tbl>
    <w:p>
      <w:pPr>
        <w:spacing w:after="20"/>
      </w:pPr>
    </w:p>
    <w:p>
      <w:pPr>
        <w:pStyle w:val="Heading1"/>
      </w:pPr>
      <w:r>
        <w:t>Required production work</w:t>
      </w:r>
    </w:p>
    <w:p>
      <w:pPr>
        <w:pStyle w:val="ListNumber"/>
      </w:pPr>
      <w:r>
        <w:t>Remove Docker-socket access and replace host-created preview containers with isolated cloud tasks.</w:t>
      </w:r>
    </w:p>
    <w:p>
      <w:pPr>
        <w:pStyle w:val="ListNumber"/>
      </w:pPr>
      <w:r>
        <w:t>Replace local JSON, JSONL, logs, workspaces, and project registries with managed persistence.</w:t>
      </w:r>
    </w:p>
    <w:p>
      <w:pPr>
        <w:pStyle w:val="ListNumber"/>
      </w:pPr>
      <w:r>
        <w:t>Cryptographically verify Google identity tokens and enforce ownership on every project resource.</w:t>
      </w:r>
    </w:p>
    <w:p>
      <w:pPr>
        <w:pStyle w:val="ListNumber"/>
      </w:pPr>
      <w:r>
        <w:t>Convert synchronous generation into durable queued jobs with status, cancellation, retries, and idempotency.</w:t>
      </w:r>
    </w:p>
    <w:p>
      <w:pPr>
        <w:pStyle w:val="ListNumber"/>
      </w:pPr>
      <w:r>
        <w:t>Build production frontend assets; do not operate public Vite development servers.</w:t>
      </w:r>
    </w:p>
    <w:p>
      <w:pPr>
        <w:pStyle w:val="ListNumber"/>
      </w:pPr>
      <w:r>
        <w:t>Add quotas, rate limits, audit logs, malware scanning, worker network controls, monitoring, and tested backups.</w:t>
      </w:r>
    </w:p>
    <w:p>
      <w:pPr>
        <w:pStyle w:val="Heading1"/>
      </w:pPr>
      <w:r>
        <w:t>Architecture at a glance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900"/>
        <w:gridCol w:w="47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Recommended service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2233F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Edge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Route 53, ACM, CloudFront, WAF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DNS, TLS, caching, and perimeter protection.</w:t>
            </w:r>
          </w:p>
        </w:tc>
      </w:tr>
      <w:t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Application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ALB + ECS Fargate</w:t>
            </w:r>
          </w:p>
        </w:tc>
        <w:tc>
          <w:tcPr>
            <w:tcW w:type="dxa" w:w="47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Authenticated API and orchestration control plane.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Build execution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SQS + isolated ECS tasks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Sandboxed agent execution with bounded resources.</w:t>
            </w:r>
          </w:p>
        </w:tc>
      </w:tr>
      <w:t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Data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Aurora PostgreSQL + Redis</w:t>
            </w:r>
          </w:p>
        </w:tc>
        <w:tc>
          <w:tcPr>
            <w:tcW w:type="dxa" w:w="47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Durable metadata and short-lived coordination state.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Knowledge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Neo4j AuraDB + vector store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Agent relationships and reusable memory.</w:t>
            </w:r>
          </w:p>
        </w:tc>
      </w:tr>
      <w:t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172033"/>
                <w:sz w:val="18"/>
              </w:rPr>
              <w:t>Artifacts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S3 + CloudFront</w:t>
            </w:r>
          </w:p>
        </w:tc>
        <w:tc>
          <w:tcPr>
            <w:tcW w:type="dxa" w:w="47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Generated files, exports, media, snapshots, and previews.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Assumptions and exclusions</w:t>
      </w:r>
    </w:p>
    <w:p>
      <w:pPr>
        <w:pStyle w:val="ListBullet"/>
      </w:pPr>
      <w:r>
        <w:t>AWS Mumbai, multi-AZ operation, 100-300 active users, and 25 concurrent builds.</w:t>
      </w:r>
    </w:p>
    <w:p>
      <w:pPr>
        <w:pStyle w:val="ListBullet"/>
      </w:pPr>
      <w:r>
        <w:t>Approximately 5,000 build instructions per month and a ten-minute average worker duration.</w:t>
      </w:r>
    </w:p>
    <w:p>
      <w:pPr>
        <w:pStyle w:val="ListBullet"/>
      </w:pPr>
      <w:r>
        <w:t>Static previews are preferred; dynamic previews expire after 30 minutes of inactivity.</w:t>
      </w:r>
    </w:p>
    <w:p>
      <w:pPr>
        <w:pStyle w:val="ListBullet"/>
      </w:pPr>
      <w:r>
        <w:t>Amounts exclude implementation labour, GST or other taxes, premium support, unusually high egress, and third-party observability subscriptions.</w:t>
      </w:r>
    </w:p>
    <w:p>
      <w:pPr>
        <w:pStyle w:val="ListBullet"/>
      </w:pPr>
      <w:r>
        <w:t>Provider rates and exchange rates may change; confirm the final design in the AWS Pricing Calculator before purchase.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F5F9"/>
          </w:tcPr>
          <w:p>
            <w:r>
              <w:rPr>
                <w:rFonts w:ascii="Aptos" w:hAnsi="Aptos"/>
                <w:b/>
                <w:color w:val="64748B"/>
                <w:sz w:val="17"/>
              </w:rPr>
              <w:t xml:space="preserve">VALIDITY  </w:t>
            </w:r>
            <w:r>
              <w:rPr>
                <w:rFonts w:ascii="Aptos" w:hAnsi="Aptos"/>
                <w:b/>
                <w:color w:val="172033"/>
                <w:sz w:val="21"/>
              </w:rPr>
              <w:t>Budgetary estimate valid for planning purposes for 30 days from 5 July 2026. Final costs are usage-based and charged directly by service providers.</w:t>
            </w:r>
          </w:p>
        </w:tc>
      </w:tr>
    </w:tbl>
    <w:p>
      <w:pPr>
        <w:spacing w:after="20"/>
      </w:pPr>
    </w:p>
    <w:p>
      <w:pPr>
        <w:pStyle w:val="Heading1"/>
      </w:pPr>
      <w:r>
        <w:t>Reference pricing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Amazon Lightsail instance bundles: https://docs.aws.amazon.com/lightsail/latest/userguide/amazon-lightsail-bundles.html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AWS Fargate pricing: https://aws.amazon.com/fargate/pricing/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AWS Elastic Load Balancing pricing: https://aws.amazon.com/elasticloadbalancing/pricing/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OpenAI GPT-5 developer pricing: https://openai.com/index/introducing-gpt-5-for-developers/</w:t>
      </w:r>
    </w:p>
    <w:p>
      <w:pPr>
        <w:spacing w:after="60"/>
      </w:pPr>
      <w:r>
        <w:rPr>
          <w:rFonts w:ascii="Aptos" w:hAnsi="Aptos"/>
          <w:color w:val="64748B"/>
          <w:sz w:val="17"/>
        </w:rPr>
        <w:t>Neo4j AuraDB pricing: https://neo4j.com/pricing/</w:t>
      </w:r>
    </w:p>
    <w:p>
      <w:pPr>
        <w:pStyle w:val="Heading1"/>
      </w:pPr>
      <w:r>
        <w:t>Budget decision</w:t>
      </w:r>
    </w:p>
    <w:p>
      <w:r>
        <w:t>For a private beta, a single hardened virtual machine can reduce initial infrastructure cost significantly. For the selected 25-concurrent-build production target, the managed architecture above is the safer baseline because it separates users, build workers, data, and credentials.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6"/>
      </w:rPr>
      <w:t xml:space="preserve">Prepared 5 July 2026  |  Confidential budgetary material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2563EB"/>
        <w:sz w:val="17"/>
      </w:rPr>
      <w:t>PLUTONIX</w:t>
    </w:r>
    <w:r>
      <w:rPr>
        <w:rFonts w:ascii="Aptos" w:hAnsi="Aptos"/>
        <w:b w:val="0"/>
        <w:color w:val="64748B"/>
        <w:sz w:val="17"/>
      </w:rPr>
      <w:t xml:space="preserve">  /  BUSINESS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33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