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B000002">
      <w:pPr>
        <w:pBdr/>
        <w:spacing w:after="100" w:line="480" w:lineRule="auto"/>
        <w:ind/>
        <w:jc w:val="center"/>
        <w:rPr>
          <w:rFonts w:ascii="Times New Roman" w:hAnsi="Times New Roman" w:eastAsia="Times New Roman" w:cs="Times New Roman"/>
          <w:b/>
          <w:bCs/>
          <w:sz w:val="28"/>
          <w:szCs w:val="28"/>
        </w:rPr>
      </w:pPr>
      <w:r>
        <w:rPr>
          <w:rFonts w:ascii="Times New Roman" w:hAnsi="Times New Roman" w:eastAsia="Times New Roman" w:cs="Times New Roman"/>
          <w:b w:val="1"/>
          <w:bCs w:val="1"/>
          <w:sz w:val="28"/>
          <w:szCs w:val="28"/>
          <w:rtl w:val="0"/>
        </w:rPr>
        <w:t xml:space="preserve">CAMBIOS EN EL CÓDIGO PARA ALINEARLO CON EL DISEÑO</w:t>
      </w:r>
    </w:p>
    <w:p w14:paraId="7B000004">
      <w:pPr>
        <w:pBdr/>
        <w:spacing w:after="100" w:line="480" w:lineRule="auto"/>
        <w:ind/>
        <w:jc w:val="center"/>
        <w:rPr>
          <w:rFonts w:ascii="Times New Roman" w:hAnsi="Times New Roman" w:eastAsia="Times New Roman" w:cs="Times New Roman"/>
          <w:b/>
          <w:bCs/>
          <w:sz w:val="28"/>
          <w:szCs w:val="28"/>
        </w:rPr>
      </w:pPr>
      <w:r>
        <w:rPr>
          <w:rFonts w:ascii="Times New Roman" w:hAnsi="Times New Roman" w:eastAsia="Times New Roman" w:cs="Times New Roman"/>
          <w:b w:val="1"/>
          <w:bCs w:val="1"/>
          <w:sz w:val="28"/>
          <w:szCs w:val="28"/>
          <w:rtl w:val="0"/>
        </w:rPr>
        <w:t xml:space="preserve">MÓDULO DE RESERVAS Y VENTA DE PASAJES · AGENCIA KATALEYA VIP</w:t>
      </w:r>
    </w:p>
    <w:p w14:paraId="7B000006">
      <w:pPr>
        <w:pBdr/>
        <w:spacing w:after="50" w:line="480" w:lineRule="auto"/>
        <w:ind/>
        <w:rPr>
          <w:rFonts w:ascii="Times New Roman" w:hAnsi="Times New Roman" w:eastAsia="Times New Roman" w:cs="Times New Roman"/>
          <w:i/>
          <w:sz w:val="18"/>
          <w:szCs w:val="18"/>
        </w:rPr>
      </w:pPr>
      <w:r>
        <w:rPr>
          <w:rFonts w:ascii="Times New Roman" w:hAnsi="Times New Roman" w:eastAsia="Times New Roman" w:cs="Times New Roman"/>
          <w:i/>
          <w:sz w:val="18"/>
          <w:szCs w:val="18"/>
        </w:rPr>
        <w:t xml:space="preserve">(21/10/2026, con los puntos 11 a 14 del 27/10/2026. Compara el repositorio del equipo —commit 0fa77c5, del 20/10/2026, el mismo que está en «09 implementacion» el 27/10/2026— con el diseño del SDD 0101 (puntos 1 a 10), del SDD 0102 (puntos 11 a 14) y de «06 ICONIX/Modelos ICONIX.drawio».)</w:t>
      </w:r>
    </w:p>
    <w:p w14:paraId="7B000008">
      <w:pPr>
        <w:pBdr/>
        <w:spacing w:after="100" w:line="480" w:lineRule="auto"/>
        <w:ind/>
        <w:rPr/>
      </w:pPr>
      <w:r/>
      <w:r/>
    </w:p>
    <w:p w14:paraId="7B00000A">
      <w:pPr>
        <w:pBdr/>
        <w:spacing w:after="60" w:line="300" w:lineRule="auto"/>
        <w:ind/>
        <w:rPr>
          <w:rFonts w:ascii="Times New Roman" w:hAnsi="Times New Roman" w:eastAsia="Times New Roman" w:cs="Times New Roman"/>
          <w:sz w:val="20"/>
          <w:szCs w:val="20"/>
        </w:rPr>
      </w:pPr>
      <w:r>
        <w:rPr>
          <w:rFonts w:ascii="Times New Roman" w:hAnsi="Times New Roman" w:eastAsia="Times New Roman" w:cs="Times New Roman"/>
          <w:b w:val="1"/>
          <w:bCs w:val="1"/>
          <w:sz w:val="20"/>
          <w:szCs w:val="20"/>
        </w:rPr>
        <w:t xml:space="preserve">Para quién:</w:t>
      </w:r>
      <w:r>
        <w:rPr>
          <w:rFonts w:ascii="Times New Roman" w:hAnsi="Times New Roman" w:eastAsia="Times New Roman" w:cs="Times New Roman"/>
          <w:sz w:val="20"/>
          <w:szCs w:val="20"/>
        </w:rPr>
        <w:t xml:space="preserve"> el programador del equipo.</w:t>
      </w:r>
    </w:p>
    <w:p w14:paraId="7B00000C">
      <w:pPr>
        <w:pBdr/>
        <w:spacing w:after="60" w:line="300" w:lineRule="auto"/>
        <w:ind/>
        <w:rPr>
          <w:rFonts w:ascii="Times New Roman" w:hAnsi="Times New Roman" w:eastAsia="Times New Roman" w:cs="Times New Roman"/>
          <w:sz w:val="20"/>
          <w:szCs w:val="20"/>
        </w:rPr>
      </w:pPr>
      <w:r>
        <w:rPr>
          <w:rFonts w:ascii="Times New Roman" w:hAnsi="Times New Roman" w:eastAsia="Times New Roman" w:cs="Times New Roman"/>
          <w:b w:val="1"/>
          <w:bCs w:val="1"/>
          <w:sz w:val="20"/>
          <w:szCs w:val="20"/>
        </w:rPr>
        <w:t xml:space="preserve">Qué es:</w:t>
      </w:r>
      <w:r>
        <w:rPr>
          <w:rFonts w:ascii="Times New Roman" w:hAnsi="Times New Roman" w:eastAsia="Times New Roman" w:cs="Times New Roman"/>
          <w:sz w:val="20"/>
          <w:szCs w:val="20"/>
        </w:rPr>
        <w:t xml:space="preserve"> lo que el código hace distinto de lo que el equipo aprobó en el diseño, con un ejemplo de cómo queda. Cada punto dice dónde está en el SDD. Los ejemplos son fragmentos: muestran solo lo que cambia.</w:t>
      </w:r>
    </w:p>
    <w:p w14:paraId="7B00000E">
      <w:pPr>
        <w:pBdr/>
        <w:spacing w:after="60" w:line="300" w:lineRule="auto"/>
        <w:ind/>
        <w:rPr>
          <w:rFonts w:ascii="Times New Roman" w:hAnsi="Times New Roman" w:eastAsia="Times New Roman" w:cs="Times New Roman"/>
          <w:sz w:val="20"/>
          <w:szCs w:val="20"/>
        </w:rPr>
      </w:pPr>
      <w:r>
        <w:rPr>
          <w:rFonts w:ascii="Times New Roman" w:hAnsi="Times New Roman" w:eastAsia="Times New Roman" w:cs="Times New Roman"/>
          <w:b w:val="1"/>
          <w:bCs w:val="1"/>
          <w:sz w:val="20"/>
          <w:szCs w:val="20"/>
        </w:rPr>
        <w:t xml:space="preserve">Qué no hay que tocar:</w:t>
      </w:r>
      <w:r>
        <w:rPr>
          <w:rFonts w:ascii="Times New Roman" w:hAnsi="Times New Roman" w:eastAsia="Times New Roman" w:cs="Times New Roman"/>
          <w:sz w:val="20"/>
          <w:szCs w:val="20"/>
        </w:rPr>
        <w:t xml:space="preserve"> lo que el código tenía y el diseño no se pasó al diseño el 21/10/2026: INavegacion, las operaciones de IDialogos, IUnidadDeTrabajo, IReloj, IRepositorioCatalogos, ReglaDeNegocioException, las rutas GET /cuentas, /roles y /sedes, ServicioBitacora.ExisteAsync, IRepositorioBitacora.AgregarAsync, el resumen de la contraseña con PBKDF2, Kataleya.Pruebas, las carpetas Features/, Components/, UIHelpers/ y Servicios/, y el mensaje de una cuenta desactivada al desbloquear (VAL-05 en el diálogo de error).</w:t>
      </w:r>
    </w:p>
    <w:p w14:paraId="7B000010">
      <w:pPr>
        <w:pBdr/>
        <w:spacing w:after="60" w:line="300" w:lineRule="auto"/>
        <w:ind/>
        <w:rPr>
          <w:rFonts w:ascii="Times New Roman" w:hAnsi="Times New Roman" w:eastAsia="Times New Roman" w:cs="Times New Roman"/>
          <w:sz w:val="20"/>
          <w:szCs w:val="20"/>
        </w:rPr>
      </w:pPr>
      <w:r>
        <w:rPr>
          <w:rFonts w:ascii="Times New Roman" w:hAnsi="Times New Roman" w:eastAsia="Times New Roman" w:cs="Times New Roman"/>
          <w:b w:val="1"/>
          <w:bCs w:val="1"/>
          <w:sz w:val="20"/>
          <w:szCs w:val="20"/>
        </w:rPr>
        <w:t xml:space="preserve">Orden sugerido:</w:t>
      </w:r>
      <w:r>
        <w:rPr>
          <w:rFonts w:ascii="Times New Roman" w:hAnsi="Times New Roman" w:eastAsia="Times New Roman" w:cs="Times New Roman"/>
          <w:sz w:val="20"/>
          <w:szCs w:val="20"/>
        </w:rPr>
        <w:t xml:space="preserve"> del 1 al 5 en el dominio; del 6 al 8 en la aplicación y la Web API; el 9 y el 10 en el cliente y el escritorio; del 11 al 13 en el escritorio, y el 14 en el workflow. Después de cada uno, las pruebas de Kataleya.Pruebas deben seguir pasando.</w:t>
      </w:r>
    </w:p>
    <w:p w14:paraId="7B000012">
      <w:pPr>
        <w:pBdr/>
        <w:spacing w:after="100" w:line="480" w:lineRule="auto"/>
        <w:ind/>
        <w:rPr/>
      </w:pPr>
      <w:r/>
      <w:r/>
    </w:p>
    <w:p w14:paraId="7B000014">
      <w:pPr>
        <w:pBdr/>
        <w:spacing w:after="100" w:before="200" w:line="480" w:lineRule="auto"/>
        <w:ind/>
        <w:rPr>
          <w:rFonts w:ascii="Times New Roman" w:hAnsi="Times New Roman" w:eastAsia="Times New Roman" w:cs="Times New Roman"/>
          <w:b/>
          <w:bCs/>
          <w:sz w:val="24"/>
          <w:szCs w:val="24"/>
          <w:highlight w:val="lightGray"/>
        </w:rPr>
      </w:pPr>
      <w:r>
        <w:rPr>
          <w:rFonts w:ascii="Times New Roman" w:hAnsi="Times New Roman" w:eastAsia="Times New Roman" w:cs="Times New Roman"/>
          <w:b w:val="1"/>
          <w:bCs w:val="1"/>
          <w:sz w:val="24"/>
          <w:szCs w:val="24"/>
          <w:highlight w:val="lightGray"/>
        </w:rPr>
        <w:t xml:space="preserve">1. CONSTRUCTORES: UNO PARA CREAR Y RECONSTRUIR PARA LEER</w:t>
      </w:r>
    </w:p>
    <w:p w14:paraId="7B000016">
      <w:pPr>
        <w:pBdr/>
        <w:spacing w:after="50" w:line="480" w:lineRule="auto"/>
        <w:ind/>
        <w:rPr>
          <w:rFonts w:ascii="Times New Roman" w:hAnsi="Times New Roman" w:eastAsia="Times New Roman" w:cs="Times New Roman"/>
          <w:i/>
          <w:sz w:val="18"/>
          <w:szCs w:val="18"/>
        </w:rPr>
      </w:pPr>
      <w:r>
        <w:rPr>
          <w:rFonts w:ascii="Times New Roman" w:hAnsi="Times New Roman" w:eastAsia="Times New Roman" w:cs="Times New Roman"/>
          <w:i/>
          <w:sz w:val="18"/>
          <w:szCs w:val="18"/>
        </w:rPr>
        <w:t xml:space="preserve">SDD 3.2 (convenciones) y sección 4. Vale para Usuario, Rol, Sede y RegistroDeBitacora, y para las entidades que vengan.</w:t>
      </w:r>
    </w:p>
    <w:p w14:paraId="7B000018">
      <w:pPr>
        <w:pBdr/>
        <w:spacing w:after="60" w:line="300" w:lineRule="auto"/>
        <w:ind/>
        <w:rPr>
          <w:rFonts w:ascii="Times New Roman" w:hAnsi="Times New Roman" w:eastAsia="Times New Roman" w:cs="Times New Roman"/>
          <w:sz w:val="20"/>
          <w:szCs w:val="20"/>
        </w:rPr>
      </w:pPr>
      <w:r>
        <w:rPr>
          <w:rFonts w:ascii="Times New Roman" w:hAnsi="Times New Roman" w:eastAsia="Times New Roman" w:cs="Times New Roman"/>
          <w:b w:val="1"/>
          <w:bCs w:val="1"/>
          <w:sz w:val="20"/>
          <w:szCs w:val="20"/>
        </w:rPr>
        <w:t xml:space="preserve">Hoy:</w:t>
      </w:r>
      <w:r>
        <w:rPr>
          <w:rFonts w:ascii="Times New Roman" w:hAnsi="Times New Roman" w:eastAsia="Times New Roman" w:cs="Times New Roman"/>
          <w:sz w:val="20"/>
          <w:szCs w:val="20"/>
        </w:rPr>
        <w:t xml:space="preserve"> Usuario tiene un solo constructor con 10 parámetros, y ServicioCuentas.CrearCuentaAsync le pasa valores de relleno (0, string.Empty, EstadoCuenta.Activa, 0, null). Así cualquier clase puede armar una cuenta en cualquier estado, y las reglas de creación quedan en el servicio.</w:t>
      </w:r>
    </w:p>
    <w:p w14:paraId="7B00001A">
      <w:pPr>
        <w:pBdr/>
        <w:spacing w:after="60" w:line="300" w:lineRule="auto"/>
        <w:ind/>
        <w:rPr>
          <w:rFonts w:ascii="Times New Roman" w:hAnsi="Times New Roman" w:eastAsia="Times New Roman" w:cs="Times New Roman"/>
          <w:sz w:val="20"/>
          <w:szCs w:val="20"/>
        </w:rPr>
      </w:pPr>
      <w:r>
        <w:rPr>
          <w:rFonts w:ascii="Times New Roman" w:hAnsi="Times New Roman" w:eastAsia="Times New Roman" w:cs="Times New Roman"/>
          <w:b w:val="1"/>
          <w:bCs w:val="1"/>
          <w:sz w:val="20"/>
          <w:szCs w:val="20"/>
        </w:rPr>
        <w:t xml:space="preserve">Cambio:</w:t>
      </w:r>
      <w:r>
        <w:rPr>
          <w:rFonts w:ascii="Times New Roman" w:hAnsi="Times New Roman" w:eastAsia="Times New Roman" w:cs="Times New Roman"/>
          <w:sz w:val="20"/>
          <w:szCs w:val="20"/>
        </w:rPr>
        <w:t xml:space="preserve"> un constructor para crear, con lo mínimo para que la cuenta nazca válida, y un método estático Reconstruir(guardado) para que el repositorio rehaga la cuenta leída de la base, sin repetir las reglas de creación. El constructor de una entidad tiene a lo sumo tres parámetros.</w:t>
      </w:r>
    </w:p>
    <w:p w14:paraId="7B00001C">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public sealed class Usuario</w:t>
      </w:r>
    </w:p>
    <w:p w14:paraId="7B00001E">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w:t>
      </w:r>
    </w:p>
    <w:p w14:paraId="7B000020">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public Usuario(SolicitudDeCuenta solicitud, Rol rol, Sede sede)</w:t>
      </w:r>
    </w:p>
    <w:p w14:paraId="7B000022">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w:t>
      </w:r>
    </w:p>
    <w:p w14:paraId="7B000024">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ArgumentNullException.ThrowIfNull(solicitud);</w:t>
      </w:r>
    </w:p>
    <w:p w14:paraId="7B000026">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NombrePersona = solicitud.NombrePersona.Trim();</w:t>
      </w:r>
    </w:p>
    <w:p w14:paraId="7B000028">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NombreUsuario = solicitud.NombreUsuario.Trim();</w:t>
      </w:r>
    </w:p>
    <w:p w14:paraId="7B00002A">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Rol = rol ?? throw new ArgumentNullException(nameof(rol));</w:t>
      </w:r>
    </w:p>
    <w:p w14:paraId="7B00002C">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Sede = sede ?? throw new ArgumentNullException(nameof(sede));</w:t>
      </w:r>
    </w:p>
    <w:p w14:paraId="7B00002E">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Estado = EstadoCuenta.Activa;</w:t>
      </w:r>
    </w:p>
    <w:p w14:paraId="7B000030">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FijarContrasena(solicitud.ContrasenaInicial);</w:t>
      </w:r>
    </w:p>
    <w:p w14:paraId="7B000032">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w:t>
      </w:r>
    </w:p>
    <w:p w14:paraId="7B000034">
      <w:pPr>
        <w:pBdr/>
        <w:shd w:val="clear" w:color="auto" w:fill="F2F2F2"/>
        <w:spacing w:after="0" w:line="240" w:lineRule="auto" w:before="0"/>
        <w:ind w:left="284"/>
        <w:rPr>
          <w:rFonts w:ascii="Times New Roman" w:hAnsi="Times New Roman" w:eastAsia="Times New Roman" w:cs="Times New Roman"/>
          <w:sz w:val="20"/>
          <w:szCs w:val="20"/>
        </w:rPr>
      </w:pPr>
    </w:p>
    <w:p w14:paraId="7B000036">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private Usuario() { }   // solo para Reconstruir</w:t>
      </w:r>
    </w:p>
    <w:p w14:paraId="7B000038">
      <w:pPr>
        <w:pBdr/>
        <w:shd w:val="clear" w:color="auto" w:fill="F2F2F2"/>
        <w:spacing w:after="0" w:line="240" w:lineRule="auto" w:before="0"/>
        <w:ind w:left="284"/>
        <w:rPr>
          <w:rFonts w:ascii="Times New Roman" w:hAnsi="Times New Roman" w:eastAsia="Times New Roman" w:cs="Times New Roman"/>
          <w:sz w:val="20"/>
          <w:szCs w:val="20"/>
        </w:rPr>
      </w:pPr>
    </w:p>
    <w:p w14:paraId="7B00003A">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public static Usuario Reconstruir(UsuarioGuardado guardado) =&gt; new()</w:t>
      </w:r>
    </w:p>
    <w:p w14:paraId="7B00003C">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w:t>
      </w:r>
    </w:p>
    <w:p w14:paraId="7B00003E">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Id = guardado.Id,</w:t>
      </w:r>
    </w:p>
    <w:p w14:paraId="7B000040">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NombrePersona = guardado.NombrePersona,</w:t>
      </w:r>
    </w:p>
    <w:p w14:paraId="7B000042">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 … las demás propiedades, una por una</w:t>
      </w:r>
    </w:p>
    <w:p w14:paraId="7B000044">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Rol = Rol.Reconstruir(guardado.Rol),</w:t>
      </w:r>
    </w:p>
    <w:p w14:paraId="7B000046">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Sede = Sede.Reconstruir(guardado.Sede)</w:t>
      </w:r>
    </w:p>
    <w:p w14:paraId="7B000048">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w:t>
      </w:r>
    </w:p>
    <w:p w14:paraId="7B00004A">
      <w:pPr>
        <w:pBdr/>
        <w:shd w:val="clear" w:color="auto" w:fill="F2F2F2"/>
        <w:spacing w:after="0" w:line="240" w:lineRule="auto" w:before="0"/>
        <w:ind w:left="284"/>
        <w:rPr>
          <w:rFonts w:ascii="Times New Roman" w:hAnsi="Times New Roman" w:eastAsia="Times New Roman" w:cs="Times New Roman"/>
          <w:sz w:val="20"/>
          <w:szCs w:val="20"/>
        </w:rPr>
      </w:pPr>
    </w:p>
    <w:p w14:paraId="7B00004C">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public int Id { get; private set; }</w:t>
      </w:r>
    </w:p>
    <w:p w14:paraId="7B00004E">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public string NombrePersona { get; private set; } = string.Empty;</w:t>
      </w:r>
    </w:p>
    <w:p w14:paraId="7B000050">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 … las demás, también con private set</w:t>
      </w:r>
    </w:p>
    <w:p w14:paraId="7B000052">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w:t>
      </w:r>
    </w:p>
    <w:p w14:paraId="7B000054">
      <w:pPr>
        <w:pBdr/>
        <w:shd w:val="clear" w:color="auto" w:fill="F2F2F2"/>
        <w:spacing w:after="0" w:line="240" w:lineRule="auto" w:before="0"/>
        <w:ind w:left="284"/>
        <w:rPr>
          <w:rFonts w:ascii="Times New Roman" w:hAnsi="Times New Roman" w:eastAsia="Times New Roman" w:cs="Times New Roman"/>
          <w:sz w:val="20"/>
          <w:szCs w:val="20"/>
        </w:rPr>
      </w:pPr>
    </w:p>
    <w:p w14:paraId="7B000056">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public sealed record UsuarioGuardado(int Id, string NombrePersona,</w:t>
      </w:r>
    </w:p>
    <w:p w14:paraId="7B000058">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string NombreUsuario, string ResumenContrasena, string Sal,</w:t>
      </w:r>
    </w:p>
    <w:p w14:paraId="7B00005A">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bool EsCuentaPrincipal, RolGuardado Rol, SedeGuardada Sede,</w:t>
      </w:r>
    </w:p>
    <w:p w14:paraId="7B00005C">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EstadoCuenta Estado, int CantidadDeIntentosFallidos, DateTime? FinBloqueo);</w:t>
      </w:r>
    </w:p>
    <w:p w14:paraId="7B00005E">
      <w:pPr>
        <w:pBdr/>
        <w:spacing w:after="60" w:line="300" w:lineRule="auto" w:before="160"/>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Los «…Guardado» son record del dominio, con el estado que lee cada repositorio (página «Clases: objetos guardados» del drawio). RepositorioUsuarios arma el UsuarioGuardado con las columnas de la fila y llama a Usuario.Reconstruir; ServicioCuentas solo usa el constructor.</w:t>
      </w:r>
    </w:p>
    <w:p w14:paraId="7B000060">
      <w:pPr>
        <w:pBdr/>
        <w:spacing w:after="100" w:line="480" w:lineRule="auto"/>
        <w:ind/>
        <w:rPr/>
      </w:pPr>
      <w:r/>
      <w:r/>
    </w:p>
    <w:p w14:paraId="7B000062">
      <w:pPr>
        <w:pBdr/>
        <w:spacing w:after="100" w:before="200" w:line="480" w:lineRule="auto"/>
        <w:ind/>
        <w:rPr>
          <w:rFonts w:ascii="Times New Roman" w:hAnsi="Times New Roman" w:eastAsia="Times New Roman" w:cs="Times New Roman"/>
          <w:b/>
          <w:bCs/>
          <w:sz w:val="24"/>
          <w:szCs w:val="24"/>
          <w:highlight w:val="lightGray"/>
        </w:rPr>
      </w:pPr>
      <w:r>
        <w:rPr>
          <w:rFonts w:ascii="Times New Roman" w:hAnsi="Times New Roman" w:eastAsia="Times New Roman" w:cs="Times New Roman"/>
          <w:b w:val="1"/>
          <w:bCs w:val="1"/>
          <w:sz w:val="24"/>
          <w:szCs w:val="24"/>
          <w:highlight w:val="lightGray"/>
        </w:rPr>
        <w:t xml:space="preserve">2. NOMBRES: NOMBREPERSONA Y CANTIDADDEINTENTOSFALLIDOS</w:t>
      </w:r>
    </w:p>
    <w:p w14:paraId="7B000064">
      <w:pPr>
        <w:pBdr/>
        <w:spacing w:after="50" w:line="480" w:lineRule="auto"/>
        <w:ind/>
        <w:rPr>
          <w:rFonts w:ascii="Times New Roman" w:hAnsi="Times New Roman" w:eastAsia="Times New Roman" w:cs="Times New Roman"/>
          <w:i/>
          <w:sz w:val="18"/>
          <w:szCs w:val="18"/>
        </w:rPr>
      </w:pPr>
      <w:r>
        <w:rPr>
          <w:rFonts w:ascii="Times New Roman" w:hAnsi="Times New Roman" w:eastAsia="Times New Roman" w:cs="Times New Roman"/>
          <w:i/>
          <w:sz w:val="18"/>
          <w:szCs w:val="18"/>
        </w:rPr>
        <w:t xml:space="preserve">SDD sección 4 (nombres revisados con Clean Code, 20/10/2026 y 21/10/2026) y modelo de datos.</w:t>
      </w:r>
    </w:p>
    <w:p w14:paraId="7B000066">
      <w:pPr>
        <w:pBdr/>
        <w:spacing w:after="60" w:line="300" w:lineRule="auto"/>
        <w:ind/>
        <w:rPr>
          <w:rFonts w:ascii="Times New Roman" w:hAnsi="Times New Roman" w:eastAsia="Times New Roman" w:cs="Times New Roman"/>
          <w:sz w:val="20"/>
          <w:szCs w:val="20"/>
        </w:rPr>
      </w:pPr>
      <w:r>
        <w:rPr>
          <w:rFonts w:ascii="Times New Roman" w:hAnsi="Times New Roman" w:eastAsia="Times New Roman" w:cs="Times New Roman"/>
          <w:b w:val="1"/>
          <w:bCs w:val="1"/>
          <w:sz w:val="20"/>
          <w:szCs w:val="20"/>
        </w:rPr>
        <w:t xml:space="preserve">Hoy:</w:t>
      </w:r>
      <w:r>
        <w:rPr>
          <w:rFonts w:ascii="Times New Roman" w:hAnsi="Times New Roman" w:eastAsia="Times New Roman" w:cs="Times New Roman"/>
          <w:sz w:val="20"/>
          <w:szCs w:val="20"/>
        </w:rPr>
        <w:t xml:space="preserve"> Usuario, SolicitudDeCuenta y DatosDeCuenta usan Nombre, que junto a NombreUsuario se confunde; y el conteo de intentos se llama IntentosFallidos. En la base: nombre e intentos_fallidos.</w:t>
      </w:r>
    </w:p>
    <w:p w14:paraId="7B000068">
      <w:pPr>
        <w:pBdr/>
        <w:spacing w:after="60" w:line="300" w:lineRule="auto"/>
        <w:ind/>
        <w:rPr>
          <w:rFonts w:ascii="Times New Roman" w:hAnsi="Times New Roman" w:eastAsia="Times New Roman" w:cs="Times New Roman"/>
          <w:sz w:val="20"/>
          <w:szCs w:val="20"/>
        </w:rPr>
      </w:pPr>
      <w:r>
        <w:rPr>
          <w:rFonts w:ascii="Times New Roman" w:hAnsi="Times New Roman" w:eastAsia="Times New Roman" w:cs="Times New Roman"/>
          <w:b w:val="1"/>
          <w:bCs w:val="1"/>
          <w:sz w:val="20"/>
          <w:szCs w:val="20"/>
        </w:rPr>
        <w:t xml:space="preserve">Cambio:</w:t>
      </w:r>
      <w:r>
        <w:rPr>
          <w:rFonts w:ascii="Times New Roman" w:hAnsi="Times New Roman" w:eastAsia="Times New Roman" w:cs="Times New Roman"/>
          <w:sz w:val="20"/>
          <w:szCs w:val="20"/>
        </w:rPr>
        <w:t xml:space="preserve"> NombrePersona y CantidadDeIntentosFallidos (los conteos llevan «CantidadDe…»), también en las columnas. DatosDeCuenta suma PuedeDesactivarse, para que la pantalla desactive el botón «Desactivar» (punto 3).</w:t>
      </w:r>
    </w:p>
    <w:p w14:paraId="7B00006A">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public string NombrePersona { get; private set; } = string.Empty;</w:t>
      </w:r>
    </w:p>
    <w:p w14:paraId="7B00006C">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public int CantidadDeIntentosFallidos { get; private set; }</w:t>
      </w:r>
    </w:p>
    <w:p w14:paraId="7B00006E">
      <w:pPr>
        <w:pBdr/>
        <w:shd w:val="clear" w:color="auto" w:fill="F2F2F2"/>
        <w:spacing w:after="0" w:line="240" w:lineRule="auto" w:before="0"/>
        <w:ind w:left="284"/>
        <w:rPr>
          <w:rFonts w:ascii="Times New Roman" w:hAnsi="Times New Roman" w:eastAsia="Times New Roman" w:cs="Times New Roman"/>
          <w:sz w:val="20"/>
          <w:szCs w:val="20"/>
        </w:rPr>
      </w:pPr>
    </w:p>
    <w:p w14:paraId="7B000070">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sql/01-esquema.sql, tabla usuario</w:t>
      </w:r>
    </w:p>
    <w:p w14:paraId="7B000072">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nombre_persona varchar(100) NOT NULL,</w:t>
      </w:r>
    </w:p>
    <w:p w14:paraId="7B000074">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cantidad_intentos_fallidos smallint NOT NULL DEFAULT 0</w:t>
      </w:r>
    </w:p>
    <w:p w14:paraId="7B000076">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CHECK (cantidad_intentos_fallidos &gt;= 0),</w:t>
      </w:r>
    </w:p>
    <w:p w14:paraId="7B000078">
      <w:pPr>
        <w:pBdr/>
        <w:shd w:val="clear" w:color="auto" w:fill="F2F2F2"/>
        <w:spacing w:after="0" w:line="240" w:lineRule="auto" w:before="0"/>
        <w:ind w:left="284"/>
        <w:rPr>
          <w:rFonts w:ascii="Times New Roman" w:hAnsi="Times New Roman" w:eastAsia="Times New Roman" w:cs="Times New Roman"/>
          <w:sz w:val="20"/>
          <w:szCs w:val="20"/>
        </w:rPr>
      </w:pPr>
    </w:p>
    <w:p w14:paraId="7B00007A">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en una base que ya existe</w:t>
      </w:r>
    </w:p>
    <w:p w14:paraId="7B00007C">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ALTER TABLE usuario RENAME COLUMN nombre TO nombre_persona;</w:t>
      </w:r>
    </w:p>
    <w:p w14:paraId="7B00007E">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ALTER TABLE usuario RENAME COLUMN intentos_fallidos TO cantidad_intentos_fallidos;</w:t>
      </w:r>
    </w:p>
    <w:p w14:paraId="7B000080">
      <w:pPr>
        <w:pBdr/>
        <w:spacing w:after="100" w:line="480" w:lineRule="auto"/>
        <w:ind/>
        <w:rPr/>
      </w:pPr>
      <w:r/>
      <w:r/>
    </w:p>
    <w:p w14:paraId="7B000082">
      <w:pPr>
        <w:pBdr/>
        <w:spacing w:after="100" w:before="200" w:line="480" w:lineRule="auto"/>
        <w:ind/>
        <w:rPr>
          <w:rFonts w:ascii="Times New Roman" w:hAnsi="Times New Roman" w:eastAsia="Times New Roman" w:cs="Times New Roman"/>
          <w:b/>
          <w:bCs/>
          <w:sz w:val="24"/>
          <w:szCs w:val="24"/>
          <w:highlight w:val="lightGray"/>
        </w:rPr>
      </w:pPr>
      <w:r>
        <w:rPr>
          <w:rFonts w:ascii="Times New Roman" w:hAnsi="Times New Roman" w:eastAsia="Times New Roman" w:cs="Times New Roman"/>
          <w:b w:val="1"/>
          <w:bCs w:val="1"/>
          <w:sz w:val="24"/>
          <w:szCs w:val="24"/>
          <w:highlight w:val="lightGray"/>
        </w:rPr>
        <w:t xml:space="preserve">3. LA CUENTA DE LA ADMINISTRADORA: ESCUENTAPRINCIPAL Y PUEDEDESACTIVARSE</w:t>
      </w:r>
    </w:p>
    <w:p w14:paraId="7B000084">
      <w:pPr>
        <w:pBdr/>
        <w:spacing w:after="50" w:line="480" w:lineRule="auto"/>
        <w:ind/>
        <w:rPr>
          <w:rFonts w:ascii="Times New Roman" w:hAnsi="Times New Roman" w:eastAsia="Times New Roman" w:cs="Times New Roman"/>
          <w:i/>
          <w:sz w:val="18"/>
          <w:szCs w:val="18"/>
        </w:rPr>
      </w:pPr>
      <w:r>
        <w:rPr>
          <w:rFonts w:ascii="Times New Roman" w:hAnsi="Times New Roman" w:eastAsia="Times New Roman" w:cs="Times New Roman"/>
          <w:i/>
          <w:sz w:val="18"/>
          <w:szCs w:val="18"/>
        </w:rPr>
        <w:t xml:space="preserve">SDD 3.4 (estados de la cuenta) y sección 4 (decisión del 20/10/2026). RF-28.</w:t>
      </w:r>
    </w:p>
    <w:p w14:paraId="7B000086">
      <w:pPr>
        <w:pBdr/>
        <w:spacing w:after="60" w:line="300" w:lineRule="auto"/>
        <w:ind/>
        <w:rPr>
          <w:rFonts w:ascii="Times New Roman" w:hAnsi="Times New Roman" w:eastAsia="Times New Roman" w:cs="Times New Roman"/>
          <w:sz w:val="20"/>
          <w:szCs w:val="20"/>
        </w:rPr>
      </w:pPr>
      <w:r>
        <w:rPr>
          <w:rFonts w:ascii="Times New Roman" w:hAnsi="Times New Roman" w:eastAsia="Times New Roman" w:cs="Times New Roman"/>
          <w:b w:val="1"/>
          <w:bCs w:val="1"/>
          <w:sz w:val="20"/>
          <w:szCs w:val="20"/>
        </w:rPr>
        <w:t xml:space="preserve">Hoy:</w:t>
      </w:r>
      <w:r>
        <w:rPr>
          <w:rFonts w:ascii="Times New Roman" w:hAnsi="Times New Roman" w:eastAsia="Times New Roman" w:cs="Times New Roman"/>
          <w:sz w:val="20"/>
          <w:szCs w:val="20"/>
        </w:rPr>
        <w:t xml:space="preserve"> ServicioCuentas reconoce a la administradora porque su nombre de usuario es «admin» (NombreDeLaAdministradora). Si ese nombre cambia, la regla deja de funcionar, y la regla está en el servicio y no en la cuenta.</w:t>
      </w:r>
    </w:p>
    <w:p w14:paraId="7B000088">
      <w:pPr>
        <w:pBdr/>
        <w:spacing w:after="60" w:line="300" w:lineRule="auto"/>
        <w:ind/>
        <w:rPr>
          <w:rFonts w:ascii="Times New Roman" w:hAnsi="Times New Roman" w:eastAsia="Times New Roman" w:cs="Times New Roman"/>
          <w:sz w:val="20"/>
          <w:szCs w:val="20"/>
        </w:rPr>
      </w:pPr>
      <w:r>
        <w:rPr>
          <w:rFonts w:ascii="Times New Roman" w:hAnsi="Times New Roman" w:eastAsia="Times New Roman" w:cs="Times New Roman"/>
          <w:b w:val="1"/>
          <w:bCs w:val="1"/>
          <w:sz w:val="20"/>
          <w:szCs w:val="20"/>
        </w:rPr>
        <w:t xml:space="preserve">Cambio:</w:t>
      </w:r>
      <w:r>
        <w:rPr>
          <w:rFonts w:ascii="Times New Roman" w:hAnsi="Times New Roman" w:eastAsia="Times New Roman" w:cs="Times New Roman"/>
          <w:sz w:val="20"/>
          <w:szCs w:val="20"/>
        </w:rPr>
        <w:t xml:space="preserve"> Usuario.EsCuentaPrincipal, guardado en la base, y Usuario.PuedeDesactivarse(). El servicio pregunta antes de desactivar y responde con la regla del negocio; la entidad se protege igual.</w:t>
      </w:r>
    </w:p>
    <w:p w14:paraId="7B00008A">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Usuario (dominio)</w:t>
      </w:r>
    </w:p>
    <w:p w14:paraId="7B00008C">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public bool EsCuentaPrincipal { get; private set; }</w:t>
      </w:r>
    </w:p>
    <w:p w14:paraId="7B00008E">
      <w:pPr>
        <w:pBdr/>
        <w:shd w:val="clear" w:color="auto" w:fill="F2F2F2"/>
        <w:spacing w:after="0" w:line="240" w:lineRule="auto" w:before="0"/>
        <w:ind w:left="284"/>
        <w:rPr>
          <w:rFonts w:ascii="Times New Roman" w:hAnsi="Times New Roman" w:eastAsia="Times New Roman" w:cs="Times New Roman"/>
          <w:sz w:val="20"/>
          <w:szCs w:val="20"/>
        </w:rPr>
      </w:pPr>
    </w:p>
    <w:p w14:paraId="7B000090">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public bool PuedeDesactivarse() =&gt; !EsCuentaPrincipal;</w:t>
      </w:r>
    </w:p>
    <w:p w14:paraId="7B000092">
      <w:pPr>
        <w:pBdr/>
        <w:shd w:val="clear" w:color="auto" w:fill="F2F2F2"/>
        <w:spacing w:after="0" w:line="240" w:lineRule="auto" w:before="0"/>
        <w:ind w:left="284"/>
        <w:rPr>
          <w:rFonts w:ascii="Times New Roman" w:hAnsi="Times New Roman" w:eastAsia="Times New Roman" w:cs="Times New Roman"/>
          <w:sz w:val="20"/>
          <w:szCs w:val="20"/>
        </w:rPr>
      </w:pPr>
    </w:p>
    <w:p w14:paraId="7B000094">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public void Desactivar()</w:t>
      </w:r>
    </w:p>
    <w:p w14:paraId="7B000096">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w:t>
      </w:r>
    </w:p>
    <w:p w14:paraId="7B000098">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if (!PuedeDesactivarse())</w:t>
      </w:r>
    </w:p>
    <w:p w14:paraId="7B00009A">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throw new InvalidOperationException("La cuenta principal no se desactiva.");</w:t>
      </w:r>
    </w:p>
    <w:p w14:paraId="7B00009C">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Estado = EstadoCuenta.Desactivada;</w:t>
      </w:r>
    </w:p>
    <w:p w14:paraId="7B00009E">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CantidadDeIntentosFallidos = 0;</w:t>
      </w:r>
    </w:p>
    <w:p w14:paraId="7B0000A0">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FinBloqueo = null;</w:t>
      </w:r>
    </w:p>
    <w:p w14:paraId="7B0000A2">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w:t>
      </w:r>
    </w:p>
    <w:p w14:paraId="7B0000A4">
      <w:pPr>
        <w:pBdr/>
        <w:shd w:val="clear" w:color="auto" w:fill="F2F2F2"/>
        <w:spacing w:after="0" w:line="240" w:lineRule="auto" w:before="0"/>
        <w:ind w:left="284"/>
        <w:rPr>
          <w:rFonts w:ascii="Times New Roman" w:hAnsi="Times New Roman" w:eastAsia="Times New Roman" w:cs="Times New Roman"/>
          <w:sz w:val="20"/>
          <w:szCs w:val="20"/>
        </w:rPr>
      </w:pPr>
    </w:p>
    <w:p w14:paraId="7B0000A6">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ServicioCuentas.DesactivarAsync (aplicación)</w:t>
      </w:r>
    </w:p>
    <w:p w14:paraId="7B0000A8">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if (!usuario.PuedeDesactivarse())</w:t>
      </w:r>
    </w:p>
    <w:p w14:paraId="7B0000AA">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throw new ReglaDeNegocioException(</w:t>
      </w:r>
    </w:p>
    <w:p w14:paraId="7B0000AC">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"La cuenta de la administradora no puede desactivarse.", "cuenta");</w:t>
      </w:r>
    </w:p>
    <w:p w14:paraId="7B0000AE">
      <w:pPr>
        <w:pBdr/>
        <w:shd w:val="clear" w:color="auto" w:fill="F2F2F2"/>
        <w:spacing w:after="0" w:line="240" w:lineRule="auto" w:before="0"/>
        <w:ind w:left="284"/>
        <w:rPr>
          <w:rFonts w:ascii="Times New Roman" w:hAnsi="Times New Roman" w:eastAsia="Times New Roman" w:cs="Times New Roman"/>
          <w:sz w:val="20"/>
          <w:szCs w:val="20"/>
        </w:rPr>
      </w:pPr>
    </w:p>
    <w:p w14:paraId="7B0000B0">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sql/01-esquema.sql,</w:t>
      </w:r>
    </w:p>
    <w:p w14:paraId="7B0000B2">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tabla usuario; la cuenta inicial de la administradora va con true</w:t>
      </w:r>
    </w:p>
    <w:p w14:paraId="7B0000B4">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es_cuenta_principal boolean NOT NULL DEFAULT false,</w:t>
      </w:r>
    </w:p>
    <w:p w14:paraId="7B0000B6">
      <w:pPr>
        <w:pBdr/>
        <w:spacing w:after="100" w:line="480" w:lineRule="auto"/>
        <w:ind/>
        <w:rPr/>
      </w:pPr>
      <w:r/>
      <w:r/>
    </w:p>
    <w:p w14:paraId="7B0000B8">
      <w:pPr>
        <w:pBdr/>
        <w:spacing w:after="100" w:before="200" w:line="480" w:lineRule="auto"/>
        <w:ind/>
        <w:rPr>
          <w:rFonts w:ascii="Times New Roman" w:hAnsi="Times New Roman" w:eastAsia="Times New Roman" w:cs="Times New Roman"/>
          <w:b/>
          <w:bCs/>
          <w:sz w:val="24"/>
          <w:szCs w:val="24"/>
          <w:highlight w:val="lightGray"/>
        </w:rPr>
      </w:pPr>
      <w:r>
        <w:rPr>
          <w:rFonts w:ascii="Times New Roman" w:hAnsi="Times New Roman" w:eastAsia="Times New Roman" w:cs="Times New Roman"/>
          <w:b w:val="1"/>
          <w:bCs w:val="1"/>
          <w:sz w:val="24"/>
          <w:szCs w:val="24"/>
          <w:highlight w:val="lightGray"/>
        </w:rPr>
        <w:t xml:space="preserve">4. ESTABLOQUEADA SOLO PREGUNTA; BLOQUEAR(FINBLOQUEO)</w:t>
      </w:r>
    </w:p>
    <w:p w14:paraId="7B0000BA">
      <w:pPr>
        <w:pBdr/>
        <w:spacing w:after="50" w:line="480" w:lineRule="auto"/>
        <w:ind/>
        <w:rPr>
          <w:rFonts w:ascii="Times New Roman" w:hAnsi="Times New Roman" w:eastAsia="Times New Roman" w:cs="Times New Roman"/>
          <w:i/>
          <w:sz w:val="18"/>
          <w:szCs w:val="18"/>
        </w:rPr>
      </w:pPr>
      <w:r>
        <w:rPr>
          <w:rFonts w:ascii="Times New Roman" w:hAnsi="Times New Roman" w:eastAsia="Times New Roman" w:cs="Times New Roman"/>
          <w:i/>
          <w:sz w:val="18"/>
          <w:szCs w:val="18"/>
        </w:rPr>
        <w:t xml:space="preserve">SDD 3.2 (convención «una operación cambia algo o consulta algo, pero no las dos cosas») y 3.4 (estados de la cuenta).</w:t>
      </w:r>
    </w:p>
    <w:p w14:paraId="7B0000BC">
      <w:pPr>
        <w:pBdr/>
        <w:spacing w:after="60" w:line="300" w:lineRule="auto"/>
        <w:ind/>
        <w:rPr>
          <w:rFonts w:ascii="Times New Roman" w:hAnsi="Times New Roman" w:eastAsia="Times New Roman" w:cs="Times New Roman"/>
          <w:sz w:val="20"/>
          <w:szCs w:val="20"/>
        </w:rPr>
      </w:pPr>
      <w:r>
        <w:rPr>
          <w:rFonts w:ascii="Times New Roman" w:hAnsi="Times New Roman" w:eastAsia="Times New Roman" w:cs="Times New Roman"/>
          <w:b w:val="1"/>
          <w:bCs w:val="1"/>
          <w:sz w:val="20"/>
          <w:szCs w:val="20"/>
        </w:rPr>
        <w:t xml:space="preserve">Hoy:</w:t>
      </w:r>
      <w:r>
        <w:rPr>
          <w:rFonts w:ascii="Times New Roman" w:hAnsi="Times New Roman" w:eastAsia="Times New Roman" w:cs="Times New Roman"/>
          <w:sz w:val="20"/>
          <w:szCs w:val="20"/>
        </w:rPr>
        <w:t xml:space="preserve"> EstaBloqueada(ahora), si el bloqueo ya venció, además deja la cuenta Activa y pone en cero los intentos; el bloqueo se hace dentro de RegistrarIntentoFallido, sin una operación propia.</w:t>
      </w:r>
    </w:p>
    <w:p w14:paraId="7B0000BE">
      <w:pPr>
        <w:pBdr/>
        <w:spacing w:after="60" w:line="300" w:lineRule="auto"/>
        <w:ind/>
        <w:rPr>
          <w:rFonts w:ascii="Times New Roman" w:hAnsi="Times New Roman" w:eastAsia="Times New Roman" w:cs="Times New Roman"/>
          <w:sz w:val="20"/>
          <w:szCs w:val="20"/>
        </w:rPr>
      </w:pPr>
      <w:r>
        <w:rPr>
          <w:rFonts w:ascii="Times New Roman" w:hAnsi="Times New Roman" w:eastAsia="Times New Roman" w:cs="Times New Roman"/>
          <w:b w:val="1"/>
          <w:bCs w:val="1"/>
          <w:sz w:val="20"/>
          <w:szCs w:val="20"/>
        </w:rPr>
        <w:t xml:space="preserve">Cambio:</w:t>
      </w:r>
      <w:r>
        <w:rPr>
          <w:rFonts w:ascii="Times New Roman" w:hAnsi="Times New Roman" w:eastAsia="Times New Roman" w:cs="Times New Roman"/>
          <w:sz w:val="20"/>
          <w:szCs w:val="20"/>
        </w:rPr>
        <w:t xml:space="preserve"> EstaBloqueada solo responde. Bloquear(finBloqueo) es una operación de Usuario, como en el diagrama de estados, y la llama RegistrarIntentoFallido al quinto intento seguido. Si el bloqueo ya venció, RegistrarIntentoFallido primero desbloquea la cuenta y vuelve a contar desde cero («pasan 3 minutos, o Desbloquear()»).</w:t>
      </w:r>
    </w:p>
    <w:p w14:paraId="7B0000C0">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public bool EstaBloqueada(DateTime ahora) =&gt;</w:t>
      </w:r>
    </w:p>
    <w:p w14:paraId="7B0000C2">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Estado == EstadoCuenta.Bloqueada &amp;&amp; FinBloqueo &gt; ahora;</w:t>
      </w:r>
    </w:p>
    <w:p w14:paraId="7B0000C4">
      <w:pPr>
        <w:pBdr/>
        <w:shd w:val="clear" w:color="auto" w:fill="F2F2F2"/>
        <w:spacing w:after="0" w:line="240" w:lineRule="auto" w:before="0"/>
        <w:ind w:left="284"/>
        <w:rPr>
          <w:rFonts w:ascii="Times New Roman" w:hAnsi="Times New Roman" w:eastAsia="Times New Roman" w:cs="Times New Roman"/>
          <w:sz w:val="20"/>
          <w:szCs w:val="20"/>
        </w:rPr>
      </w:pPr>
    </w:p>
    <w:p w14:paraId="7B0000C6">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public void RegistrarIntentoFallido(DateTime ahora)</w:t>
      </w:r>
    </w:p>
    <w:p w14:paraId="7B0000C8">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w:t>
      </w:r>
    </w:p>
    <w:p w14:paraId="7B0000CA">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if (Estado == EstadoCuenta.Bloqueada &amp;&amp; !EstaBloqueada(ahora))</w:t>
      </w:r>
    </w:p>
    <w:p w14:paraId="7B0000CC">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Desbloquear();   // pasaron los 3 minutos</w:t>
      </w:r>
    </w:p>
    <w:p w14:paraId="7B0000CE">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CantidadDeIntentosFallidos++;</w:t>
      </w:r>
    </w:p>
    <w:p w14:paraId="7B0000D0">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if (Estado != EstadoCuenta.Desactivada &amp;&amp;</w:t>
      </w:r>
    </w:p>
    <w:p w14:paraId="7B0000D2">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CantidadDeIntentosFallidos &gt;= IntentosParaBloquear)</w:t>
      </w:r>
    </w:p>
    <w:p w14:paraId="7B0000D4">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Bloquear(ahora.AddMinutes(MinutosDeBloqueo));</w:t>
      </w:r>
    </w:p>
    <w:p w14:paraId="7B0000D6">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w:t>
      </w:r>
    </w:p>
    <w:p w14:paraId="7B0000D8">
      <w:pPr>
        <w:pBdr/>
        <w:shd w:val="clear" w:color="auto" w:fill="F2F2F2"/>
        <w:spacing w:after="0" w:line="240" w:lineRule="auto" w:before="0"/>
        <w:ind w:left="284"/>
        <w:rPr>
          <w:rFonts w:ascii="Times New Roman" w:hAnsi="Times New Roman" w:eastAsia="Times New Roman" w:cs="Times New Roman"/>
          <w:sz w:val="20"/>
          <w:szCs w:val="20"/>
        </w:rPr>
      </w:pPr>
    </w:p>
    <w:p w14:paraId="7B0000DA">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public void Bloquear(DateTime finBloqueo)</w:t>
      </w:r>
    </w:p>
    <w:p w14:paraId="7B0000DC">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w:t>
      </w:r>
    </w:p>
    <w:p w14:paraId="7B0000DE">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Estado = EstadoCuenta.Bloqueada;</w:t>
      </w:r>
    </w:p>
    <w:p w14:paraId="7B0000E0">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FinBloqueo = finBloqueo;</w:t>
      </w:r>
    </w:p>
    <w:p w14:paraId="7B0000E2">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w:t>
      </w:r>
    </w:p>
    <w:p w14:paraId="7B0000E4">
      <w:pPr>
        <w:pBdr/>
        <w:spacing w:after="100" w:line="480" w:lineRule="auto"/>
        <w:ind/>
        <w:rPr/>
      </w:pPr>
      <w:r/>
      <w:r/>
    </w:p>
    <w:p w14:paraId="7B0000E6">
      <w:pPr>
        <w:pBdr/>
        <w:spacing w:after="100" w:before="200" w:line="480" w:lineRule="auto"/>
        <w:ind/>
        <w:rPr>
          <w:rFonts w:ascii="Times New Roman" w:hAnsi="Times New Roman" w:eastAsia="Times New Roman" w:cs="Times New Roman"/>
          <w:b/>
          <w:bCs/>
          <w:sz w:val="24"/>
          <w:szCs w:val="24"/>
          <w:highlight w:val="lightGray"/>
        </w:rPr>
      </w:pPr>
      <w:r>
        <w:rPr>
          <w:rFonts w:ascii="Times New Roman" w:hAnsi="Times New Roman" w:eastAsia="Times New Roman" w:cs="Times New Roman"/>
          <w:b w:val="1"/>
          <w:bCs w:val="1"/>
          <w:sz w:val="24"/>
          <w:szCs w:val="24"/>
          <w:highlight w:val="lightGray"/>
        </w:rPr>
        <w:t xml:space="preserve">5. SOLICITUDDECUENTA EN EL DOMINIO; OBJETOS DE DATOS COMO RECORD</w:t>
      </w:r>
    </w:p>
    <w:p w14:paraId="7B0000E8">
      <w:pPr>
        <w:pBdr/>
        <w:spacing w:after="50" w:line="480" w:lineRule="auto"/>
        <w:ind/>
        <w:rPr>
          <w:rFonts w:ascii="Times New Roman" w:hAnsi="Times New Roman" w:eastAsia="Times New Roman" w:cs="Times New Roman"/>
          <w:i/>
          <w:sz w:val="18"/>
          <w:szCs w:val="18"/>
        </w:rPr>
      </w:pPr>
      <w:r>
        <w:rPr>
          <w:rFonts w:ascii="Times New Roman" w:hAnsi="Times New Roman" w:eastAsia="Times New Roman" w:cs="Times New Roman"/>
          <w:i/>
          <w:sz w:val="18"/>
          <w:szCs w:val="18"/>
        </w:rPr>
        <w:t xml:space="preserve">SDD 3.2 (convenciones; objetos de valor y de datos) y sección 4 (las solicitudes van en el dominio, 21/10/2026).</w:t>
      </w:r>
    </w:p>
    <w:p w14:paraId="7B0000EA">
      <w:pPr>
        <w:pBdr/>
        <w:spacing w:after="60" w:line="300" w:lineRule="auto"/>
        <w:ind/>
        <w:rPr>
          <w:rFonts w:ascii="Times New Roman" w:hAnsi="Times New Roman" w:eastAsia="Times New Roman" w:cs="Times New Roman"/>
          <w:sz w:val="20"/>
          <w:szCs w:val="20"/>
        </w:rPr>
      </w:pPr>
      <w:r>
        <w:rPr>
          <w:rFonts w:ascii="Times New Roman" w:hAnsi="Times New Roman" w:eastAsia="Times New Roman" w:cs="Times New Roman"/>
          <w:b w:val="1"/>
          <w:bCs w:val="1"/>
          <w:sz w:val="20"/>
          <w:szCs w:val="20"/>
        </w:rPr>
        <w:t xml:space="preserve">Hoy:</w:t>
      </w:r>
      <w:r>
        <w:rPr>
          <w:rFonts w:ascii="Times New Roman" w:hAnsi="Times New Roman" w:eastAsia="Times New Roman" w:cs="Times New Roman"/>
          <w:sz w:val="20"/>
          <w:szCs w:val="20"/>
        </w:rPr>
        <w:t xml:space="preserve"> SolicitudDeCuenta está en Kataleya.Contratos, pero el constructor de Usuario la recibe, y el dominio no puede depender de los contratos. SolicitudDeCuenta y ErrorDeCampo son clases con set.</w:t>
      </w:r>
    </w:p>
    <w:p w14:paraId="7B0000EC">
      <w:pPr>
        <w:pBdr/>
        <w:spacing w:after="60" w:line="300" w:lineRule="auto"/>
        <w:ind/>
        <w:rPr>
          <w:rFonts w:ascii="Times New Roman" w:hAnsi="Times New Roman" w:eastAsia="Times New Roman" w:cs="Times New Roman"/>
          <w:sz w:val="20"/>
          <w:szCs w:val="20"/>
        </w:rPr>
      </w:pPr>
      <w:r>
        <w:rPr>
          <w:rFonts w:ascii="Times New Roman" w:hAnsi="Times New Roman" w:eastAsia="Times New Roman" w:cs="Times New Roman"/>
          <w:b w:val="1"/>
          <w:bCs w:val="1"/>
          <w:sz w:val="20"/>
          <w:szCs w:val="20"/>
        </w:rPr>
        <w:t xml:space="preserve">Cambio:</w:t>
      </w:r>
      <w:r>
        <w:rPr>
          <w:rFonts w:ascii="Times New Roman" w:hAnsi="Times New Roman" w:eastAsia="Times New Roman" w:cs="Times New Roman"/>
          <w:sz w:val="20"/>
          <w:szCs w:val="20"/>
        </w:rPr>
        <w:t xml:space="preserve"> SolicitudDeCuenta pasa a Kataleya.Dominio. Los objetos de valor y de datos del dominio son record: su constructor recibe sus propiedades. Kataleya.Contratos queda con las respuestas (DatosDe…) y los cuerpos del inicio de sesión y del restablecimiento de la contraseña.</w:t>
      </w:r>
    </w:p>
    <w:p w14:paraId="7B0000EE">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namespace Kataleya.Dominio.DataObjects;</w:t>
      </w:r>
    </w:p>
    <w:p w14:paraId="7B0000F0">
      <w:pPr>
        <w:pBdr/>
        <w:shd w:val="clear" w:color="auto" w:fill="F2F2F2"/>
        <w:spacing w:after="0" w:line="240" w:lineRule="auto" w:before="0"/>
        <w:ind w:left="284"/>
        <w:rPr>
          <w:rFonts w:ascii="Times New Roman" w:hAnsi="Times New Roman" w:eastAsia="Times New Roman" w:cs="Times New Roman"/>
          <w:sz w:val="20"/>
          <w:szCs w:val="20"/>
        </w:rPr>
      </w:pPr>
    </w:p>
    <w:p w14:paraId="7B0000F2">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public sealed record SolicitudDeCuenta(string NombrePersona, string NombreUsuario,</w:t>
      </w:r>
    </w:p>
    <w:p w14:paraId="7B0000F4">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string ContrasenaInicial, short IdRol, short IdSede);</w:t>
      </w:r>
    </w:p>
    <w:p w14:paraId="7B0000F6">
      <w:pPr>
        <w:pBdr/>
        <w:shd w:val="clear" w:color="auto" w:fill="F2F2F2"/>
        <w:spacing w:after="0" w:line="240" w:lineRule="auto" w:before="0"/>
        <w:ind w:left="284"/>
        <w:rPr>
          <w:rFonts w:ascii="Times New Roman" w:hAnsi="Times New Roman" w:eastAsia="Times New Roman" w:cs="Times New Roman"/>
          <w:sz w:val="20"/>
          <w:szCs w:val="20"/>
        </w:rPr>
      </w:pPr>
    </w:p>
    <w:p w14:paraId="7B0000F8">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public sealed record ErrorDeCampo(string Campo, string Mensaje);</w:t>
      </w:r>
    </w:p>
    <w:p w14:paraId="7B0000FA">
      <w:pPr>
        <w:pBdr/>
        <w:spacing w:after="100" w:line="480" w:lineRule="auto"/>
        <w:ind/>
        <w:rPr/>
      </w:pPr>
      <w:r/>
      <w:r/>
    </w:p>
    <w:p w14:paraId="7B0000FC">
      <w:pPr>
        <w:pBdr/>
        <w:spacing w:after="100" w:before="200" w:line="480" w:lineRule="auto"/>
        <w:ind/>
        <w:rPr>
          <w:rFonts w:ascii="Times New Roman" w:hAnsi="Times New Roman" w:eastAsia="Times New Roman" w:cs="Times New Roman"/>
          <w:b/>
          <w:bCs/>
          <w:sz w:val="24"/>
          <w:szCs w:val="24"/>
          <w:highlight w:val="lightGray"/>
        </w:rPr>
      </w:pPr>
      <w:r>
        <w:rPr>
          <w:rFonts w:ascii="Times New Roman" w:hAnsi="Times New Roman" w:eastAsia="Times New Roman" w:cs="Times New Roman"/>
          <w:b w:val="1"/>
          <w:bCs w:val="1"/>
          <w:sz w:val="24"/>
          <w:szCs w:val="24"/>
          <w:highlight w:val="lightGray"/>
        </w:rPr>
        <w:t xml:space="preserve">6. CONTEXTODEOPERACION LLEVA EL USUARIO</w:t>
      </w:r>
    </w:p>
    <w:p w14:paraId="7B0000FE">
      <w:pPr>
        <w:pBdr/>
        <w:spacing w:after="50" w:line="480" w:lineRule="auto"/>
        <w:ind/>
        <w:rPr>
          <w:rFonts w:ascii="Times New Roman" w:hAnsi="Times New Roman" w:eastAsia="Times New Roman" w:cs="Times New Roman"/>
          <w:i/>
          <w:sz w:val="18"/>
          <w:szCs w:val="18"/>
        </w:rPr>
      </w:pPr>
      <w:r>
        <w:rPr>
          <w:rFonts w:ascii="Times New Roman" w:hAnsi="Times New Roman" w:eastAsia="Times New Roman" w:cs="Times New Roman"/>
          <w:i/>
          <w:sz w:val="18"/>
          <w:szCs w:val="18"/>
        </w:rPr>
        <w:t xml:space="preserve">SDD sección 4 (el servidor fija el importe y el autor, 21/10/2026) y 3.8 (Web API). RF-06.</w:t>
      </w:r>
    </w:p>
    <w:p w14:paraId="7B000100">
      <w:pPr>
        <w:pBdr/>
        <w:spacing w:after="60" w:line="300" w:lineRule="auto"/>
        <w:ind/>
        <w:rPr>
          <w:rFonts w:ascii="Times New Roman" w:hAnsi="Times New Roman" w:eastAsia="Times New Roman" w:cs="Times New Roman"/>
          <w:sz w:val="20"/>
          <w:szCs w:val="20"/>
        </w:rPr>
      </w:pPr>
      <w:r>
        <w:rPr>
          <w:rFonts w:ascii="Times New Roman" w:hAnsi="Times New Roman" w:eastAsia="Times New Roman" w:cs="Times New Roman"/>
          <w:b w:val="1"/>
          <w:bCs w:val="1"/>
          <w:sz w:val="20"/>
          <w:szCs w:val="20"/>
        </w:rPr>
        <w:t xml:space="preserve">Hoy:</w:t>
      </w:r>
      <w:r>
        <w:rPr>
          <w:rFonts w:ascii="Times New Roman" w:hAnsi="Times New Roman" w:eastAsia="Times New Roman" w:cs="Times New Roman"/>
          <w:sz w:val="20"/>
          <w:szCs w:val="20"/>
        </w:rPr>
        <w:t xml:space="preserve"> ContextoDeOperacion tiene IdUsuario. MiddlewareDeSesion ya carga la cuenta para revisar que esté activa, pero guarda solo su Id, y ServicioCuentas la vuelve a buscar cada vez que anota en la bitácora.</w:t>
      </w:r>
    </w:p>
    <w:p w14:paraId="7B000102">
      <w:pPr>
        <w:pBdr/>
        <w:spacing w:after="60" w:line="300" w:lineRule="auto"/>
        <w:ind/>
        <w:rPr>
          <w:rFonts w:ascii="Times New Roman" w:hAnsi="Times New Roman" w:eastAsia="Times New Roman" w:cs="Times New Roman"/>
          <w:sz w:val="20"/>
          <w:szCs w:val="20"/>
        </w:rPr>
      </w:pPr>
      <w:r>
        <w:rPr>
          <w:rFonts w:ascii="Times New Roman" w:hAnsi="Times New Roman" w:eastAsia="Times New Roman" w:cs="Times New Roman"/>
          <w:b w:val="1"/>
          <w:bCs w:val="1"/>
          <w:sz w:val="20"/>
          <w:szCs w:val="20"/>
        </w:rPr>
        <w:t xml:space="preserve">Cambio:</w:t>
      </w:r>
      <w:r>
        <w:rPr>
          <w:rFonts w:ascii="Times New Roman" w:hAnsi="Times New Roman" w:eastAsia="Times New Roman" w:cs="Times New Roman"/>
          <w:sz w:val="20"/>
          <w:szCs w:val="20"/>
        </w:rPr>
        <w:t xml:space="preserve"> ContextoDeOperacion lleva el Usuario de la sesión. De ahí salen el emisor, el cobrador o el autor que piden los constructores, sin otra consulta.</w:t>
      </w:r>
    </w:p>
    <w:p w14:paraId="7B000104">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public sealed class ContextoDeOperacion</w:t>
      </w:r>
    </w:p>
    <w:p w14:paraId="7B000106">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w:t>
      </w:r>
    </w:p>
    <w:p w14:paraId="7B000108">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public Guid? ClaveDeOperacion { get; set; }</w:t>
      </w:r>
    </w:p>
    <w:p w14:paraId="7B00010A">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public Usuario Usuario { get; set; } = null!;   // lo llena MiddlewareDeSesion</w:t>
      </w:r>
    </w:p>
    <w:p w14:paraId="7B00010C">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w:t>
      </w:r>
    </w:p>
    <w:p w14:paraId="7B00010E">
      <w:pPr>
        <w:pBdr/>
        <w:shd w:val="clear" w:color="auto" w:fill="F2F2F2"/>
        <w:spacing w:after="0" w:line="240" w:lineRule="auto" w:before="0"/>
        <w:ind w:left="284"/>
        <w:rPr>
          <w:rFonts w:ascii="Times New Roman" w:hAnsi="Times New Roman" w:eastAsia="Times New Roman" w:cs="Times New Roman"/>
          <w:sz w:val="20"/>
          <w:szCs w:val="20"/>
        </w:rPr>
      </w:pPr>
    </w:p>
    <w:p w14:paraId="7B000110">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MiddlewareDeSesion</w:t>
      </w:r>
    </w:p>
    <w:p w14:paraId="7B000112">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operacion.Usuario = usuario;   // en lugar de operacion.IdUsuario = usuario.Id</w:t>
      </w:r>
    </w:p>
    <w:p w14:paraId="7B000114">
      <w:pPr>
        <w:pBdr/>
        <w:spacing w:after="100" w:line="480" w:lineRule="auto"/>
        <w:ind/>
        <w:rPr/>
      </w:pPr>
      <w:r/>
      <w:r/>
    </w:p>
    <w:p w14:paraId="7B000116">
      <w:pPr>
        <w:pBdr/>
        <w:spacing w:after="100" w:before="200" w:line="480" w:lineRule="auto"/>
        <w:ind/>
        <w:rPr>
          <w:rFonts w:ascii="Times New Roman" w:hAnsi="Times New Roman" w:eastAsia="Times New Roman" w:cs="Times New Roman"/>
          <w:b/>
          <w:bCs/>
          <w:sz w:val="24"/>
          <w:szCs w:val="24"/>
          <w:highlight w:val="lightGray"/>
        </w:rPr>
      </w:pPr>
      <w:r>
        <w:rPr>
          <w:rFonts w:ascii="Times New Roman" w:hAnsi="Times New Roman" w:eastAsia="Times New Roman" w:cs="Times New Roman"/>
          <w:b w:val="1"/>
          <w:bCs w:val="1"/>
          <w:sz w:val="24"/>
          <w:szCs w:val="24"/>
          <w:highlight w:val="lightGray"/>
        </w:rPr>
        <w:t xml:space="preserve">7. BITÁCORA: MOVIMIENTODEBITACORA Y LA FECHA DE LA BASE</w:t>
      </w:r>
    </w:p>
    <w:p w14:paraId="7B000118">
      <w:pPr>
        <w:pBdr/>
        <w:spacing w:after="50" w:line="480" w:lineRule="auto"/>
        <w:ind/>
        <w:rPr>
          <w:rFonts w:ascii="Times New Roman" w:hAnsi="Times New Roman" w:eastAsia="Times New Roman" w:cs="Times New Roman"/>
          <w:i/>
          <w:sz w:val="18"/>
          <w:szCs w:val="18"/>
        </w:rPr>
      </w:pPr>
      <w:r>
        <w:rPr>
          <w:rFonts w:ascii="Times New Roman" w:hAnsi="Times New Roman" w:eastAsia="Times New Roman" w:cs="Times New Roman"/>
          <w:i/>
          <w:sz w:val="18"/>
          <w:szCs w:val="18"/>
        </w:rPr>
        <w:t xml:space="preserve">SDD 3.2 (huecos resueltos) y sección 4; IS-BD-07. Constructor: RegistroDeBitacora(movimiento, usuario, claveDeOperacion).</w:t>
      </w:r>
    </w:p>
    <w:p w14:paraId="7B00011A">
      <w:pPr>
        <w:pBdr/>
        <w:spacing w:after="60" w:line="300" w:lineRule="auto"/>
        <w:ind/>
        <w:rPr>
          <w:rFonts w:ascii="Times New Roman" w:hAnsi="Times New Roman" w:eastAsia="Times New Roman" w:cs="Times New Roman"/>
          <w:sz w:val="20"/>
          <w:szCs w:val="20"/>
        </w:rPr>
      </w:pPr>
      <w:r>
        <w:rPr>
          <w:rFonts w:ascii="Times New Roman" w:hAnsi="Times New Roman" w:eastAsia="Times New Roman" w:cs="Times New Roman"/>
          <w:b w:val="1"/>
          <w:bCs w:val="1"/>
          <w:sz w:val="20"/>
          <w:szCs w:val="20"/>
        </w:rPr>
        <w:t xml:space="preserve">Hoy:</w:t>
      </w:r>
      <w:r>
        <w:rPr>
          <w:rFonts w:ascii="Times New Roman" w:hAnsi="Times New Roman" w:eastAsia="Times New Roman" w:cs="Times New Roman"/>
          <w:sz w:val="20"/>
          <w:szCs w:val="20"/>
        </w:rPr>
        <w:t xml:space="preserve"> Cada servicio arma el RegistroDeBitacora completo (id 0, _reloj.Ahora, operación, actor y valores) y después le fija la clave con FijarClaveDeOperacion. ServicioCuentas recibe IReloj solo para esa fecha.</w:t>
      </w:r>
    </w:p>
    <w:p w14:paraId="7B00011C">
      <w:pPr>
        <w:pBdr/>
        <w:spacing w:after="60" w:line="300" w:lineRule="auto"/>
        <w:ind/>
        <w:rPr>
          <w:rFonts w:ascii="Times New Roman" w:hAnsi="Times New Roman" w:eastAsia="Times New Roman" w:cs="Times New Roman"/>
          <w:sz w:val="20"/>
          <w:szCs w:val="20"/>
        </w:rPr>
      </w:pPr>
      <w:r>
        <w:rPr>
          <w:rFonts w:ascii="Times New Roman" w:hAnsi="Times New Roman" w:eastAsia="Times New Roman" w:cs="Times New Roman"/>
          <w:b w:val="1"/>
          <w:bCs w:val="1"/>
          <w:sz w:val="20"/>
          <w:szCs w:val="20"/>
        </w:rPr>
        <w:t xml:space="preserve">Cambio:</w:t>
      </w:r>
      <w:r>
        <w:rPr>
          <w:rFonts w:ascii="Times New Roman" w:hAnsi="Times New Roman" w:eastAsia="Times New Roman" w:cs="Times New Roman"/>
          <w:sz w:val="20"/>
          <w:szCs w:val="20"/>
        </w:rPr>
        <w:t xml:space="preserve"> el servicio pasa un MovimientoDeBitacora; ServicioBitacora completa el usuario y la clave con ContextoDeOperacion y lo guarda; la fecha la pone la base (registro_bitacora.fecha_hora ya tiene DEFAULT now()). ServicioCuentas ya no necesita IReloj; FijarClaveDeOperacion sobra.</w:t>
      </w:r>
    </w:p>
    <w:p w14:paraId="7B00011E">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public sealed record MovimientoDeBitacora(string Operacion, long? IdPasaje,</w:t>
      </w:r>
    </w:p>
    <w:p w14:paraId="7B000120">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string? ValorAnterior, string? ValorNuevo);</w:t>
      </w:r>
    </w:p>
    <w:p w14:paraId="7B000122">
      <w:pPr>
        <w:pBdr/>
        <w:shd w:val="clear" w:color="auto" w:fill="F2F2F2"/>
        <w:spacing w:after="0" w:line="240" w:lineRule="auto" w:before="0"/>
        <w:ind w:left="284"/>
        <w:rPr>
          <w:rFonts w:ascii="Times New Roman" w:hAnsi="Times New Roman" w:eastAsia="Times New Roman" w:cs="Times New Roman"/>
          <w:sz w:val="20"/>
          <w:szCs w:val="20"/>
        </w:rPr>
      </w:pPr>
    </w:p>
    <w:p w14:paraId="7B000124">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ServicioBitacora</w:t>
      </w:r>
    </w:p>
    <w:p w14:paraId="7B000126">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public Task RegistrarAsync(MovimientoDeBitacora movimiento) =&gt;</w:t>
      </w:r>
    </w:p>
    <w:p w14:paraId="7B000128">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_repositorio.AgregarAsync(new RegistroDeBitacora(movimiento, _contexto.Usuario,</w:t>
      </w:r>
    </w:p>
    <w:p w14:paraId="7B00012A">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_contexto.ClaveDeOperacion));</w:t>
      </w:r>
    </w:p>
    <w:p w14:paraId="7B00012C">
      <w:pPr>
        <w:pBdr/>
        <w:shd w:val="clear" w:color="auto" w:fill="F2F2F2"/>
        <w:spacing w:after="0" w:line="240" w:lineRule="auto" w:before="0"/>
        <w:ind w:left="284"/>
        <w:rPr>
          <w:rFonts w:ascii="Times New Roman" w:hAnsi="Times New Roman" w:eastAsia="Times New Roman" w:cs="Times New Roman"/>
          <w:sz w:val="20"/>
          <w:szCs w:val="20"/>
        </w:rPr>
      </w:pPr>
    </w:p>
    <w:p w14:paraId="7B00012E">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ServicioCuentas</w:t>
      </w:r>
    </w:p>
    <w:p w14:paraId="7B000130">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await _bitacora.RegistrarAsync(new MovimientoDeBitacora(OperacionDesactivar, null,</w:t>
      </w:r>
    </w:p>
    <w:p w14:paraId="7B000132">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anterior, Serializar(usuario)));</w:t>
      </w:r>
    </w:p>
    <w:p w14:paraId="7B000134">
      <w:pPr>
        <w:pBdr/>
        <w:spacing w:after="100" w:line="480" w:lineRule="auto"/>
        <w:ind/>
        <w:rPr/>
      </w:pPr>
      <w:r/>
      <w:r/>
    </w:p>
    <w:p w14:paraId="7B000136">
      <w:pPr>
        <w:pBdr/>
        <w:spacing w:after="100" w:before="200" w:line="480" w:lineRule="auto"/>
        <w:ind/>
        <w:rPr>
          <w:rFonts w:ascii="Times New Roman" w:hAnsi="Times New Roman" w:eastAsia="Times New Roman" w:cs="Times New Roman"/>
          <w:b/>
          <w:bCs/>
          <w:sz w:val="24"/>
          <w:szCs w:val="24"/>
          <w:highlight w:val="lightGray"/>
        </w:rPr>
      </w:pPr>
      <w:r>
        <w:rPr>
          <w:rFonts w:ascii="Times New Roman" w:hAnsi="Times New Roman" w:eastAsia="Times New Roman" w:cs="Times New Roman"/>
          <w:b w:val="1"/>
          <w:bCs w:val="1"/>
          <w:sz w:val="24"/>
          <w:szCs w:val="24"/>
          <w:highlight w:val="lightGray"/>
        </w:rPr>
        <w:t xml:space="preserve">8. RUTAS /ROLES Y /SEDES POR SERVICIOCATALOGOS</w:t>
      </w:r>
    </w:p>
    <w:p w14:paraId="7B000138">
      <w:pPr>
        <w:pBdr/>
        <w:spacing w:after="50" w:line="480" w:lineRule="auto"/>
        <w:ind/>
        <w:rPr>
          <w:rFonts w:ascii="Times New Roman" w:hAnsi="Times New Roman" w:eastAsia="Times New Roman" w:cs="Times New Roman"/>
          <w:i/>
          <w:sz w:val="18"/>
          <w:szCs w:val="18"/>
        </w:rPr>
      </w:pPr>
      <w:r>
        <w:rPr>
          <w:rFonts w:ascii="Times New Roman" w:hAnsi="Times New Roman" w:eastAsia="Times New Roman" w:cs="Times New Roman"/>
          <w:i/>
          <w:sz w:val="18"/>
          <w:szCs w:val="18"/>
        </w:rPr>
        <w:t xml:space="preserve">SDD 3.8 (tabla de rutas) y secuencia de CDU-09.</w:t>
      </w:r>
    </w:p>
    <w:p w14:paraId="7B00013A">
      <w:pPr>
        <w:pBdr/>
        <w:spacing w:after="60" w:line="300" w:lineRule="auto"/>
        <w:ind/>
        <w:rPr>
          <w:rFonts w:ascii="Times New Roman" w:hAnsi="Times New Roman" w:eastAsia="Times New Roman" w:cs="Times New Roman"/>
          <w:sz w:val="20"/>
          <w:szCs w:val="20"/>
        </w:rPr>
      </w:pPr>
      <w:r>
        <w:rPr>
          <w:rFonts w:ascii="Times New Roman" w:hAnsi="Times New Roman" w:eastAsia="Times New Roman" w:cs="Times New Roman"/>
          <w:b w:val="1"/>
          <w:bCs w:val="1"/>
          <w:sz w:val="20"/>
          <w:szCs w:val="20"/>
        </w:rPr>
        <w:t xml:space="preserve">Hoy:</w:t>
      </w:r>
      <w:r>
        <w:rPr>
          <w:rFonts w:ascii="Times New Roman" w:hAnsi="Times New Roman" w:eastAsia="Times New Roman" w:cs="Times New Roman"/>
          <w:sz w:val="20"/>
          <w:szCs w:val="20"/>
        </w:rPr>
        <w:t xml:space="preserve"> Las rutas GET /roles y GET /sedes llaman directamente a IRepositorioCatalogos.</w:t>
      </w:r>
    </w:p>
    <w:p w14:paraId="7B00013C">
      <w:pPr>
        <w:pBdr/>
        <w:spacing w:after="60" w:line="300" w:lineRule="auto"/>
        <w:ind/>
        <w:rPr>
          <w:rFonts w:ascii="Times New Roman" w:hAnsi="Times New Roman" w:eastAsia="Times New Roman" w:cs="Times New Roman"/>
          <w:sz w:val="20"/>
          <w:szCs w:val="20"/>
        </w:rPr>
      </w:pPr>
      <w:r>
        <w:rPr>
          <w:rFonts w:ascii="Times New Roman" w:hAnsi="Times New Roman" w:eastAsia="Times New Roman" w:cs="Times New Roman"/>
          <w:b w:val="1"/>
          <w:bCs w:val="1"/>
          <w:sz w:val="20"/>
          <w:szCs w:val="20"/>
        </w:rPr>
        <w:t xml:space="preserve">Cambio:</w:t>
      </w:r>
      <w:r>
        <w:rPr>
          <w:rFonts w:ascii="Times New Roman" w:hAnsi="Times New Roman" w:eastAsia="Times New Roman" w:cs="Times New Roman"/>
          <w:sz w:val="20"/>
          <w:szCs w:val="20"/>
        </w:rPr>
        <w:t xml:space="preserve"> las atiende ServicioCatalogos, como las demás rutas, que siempre pasan por un servicio de aplicación.</w:t>
      </w:r>
    </w:p>
    <w:p w14:paraId="7B00013E">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public sealed class ServicioCatalogos</w:t>
      </w:r>
    </w:p>
    <w:p w14:paraId="7B000140">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w:t>
      </w:r>
    </w:p>
    <w:p w14:paraId="7B000142">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private readonly IRepositorioCatalogos _catalogos;</w:t>
      </w:r>
    </w:p>
    <w:p w14:paraId="7B000144">
      <w:pPr>
        <w:pBdr/>
        <w:shd w:val="clear" w:color="auto" w:fill="F2F2F2"/>
        <w:spacing w:after="0" w:line="240" w:lineRule="auto" w:before="0"/>
        <w:ind w:left="284"/>
        <w:rPr>
          <w:rFonts w:ascii="Times New Roman" w:hAnsi="Times New Roman" w:eastAsia="Times New Roman" w:cs="Times New Roman"/>
          <w:sz w:val="20"/>
          <w:szCs w:val="20"/>
        </w:rPr>
      </w:pPr>
    </w:p>
    <w:p w14:paraId="7B000146">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public ServicioCatalogos(IRepositorioCatalogos catalogos) =&gt;</w:t>
      </w:r>
    </w:p>
    <w:p w14:paraId="7B000148">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_catalogos = catalogos ?? throw new ArgumentNullException(nameof(catalogos));</w:t>
      </w:r>
    </w:p>
    <w:p w14:paraId="7B00014A">
      <w:pPr>
        <w:pBdr/>
        <w:shd w:val="clear" w:color="auto" w:fill="F2F2F2"/>
        <w:spacing w:after="0" w:line="240" w:lineRule="auto" w:before="0"/>
        <w:ind w:left="284"/>
        <w:rPr>
          <w:rFonts w:ascii="Times New Roman" w:hAnsi="Times New Roman" w:eastAsia="Times New Roman" w:cs="Times New Roman"/>
          <w:sz w:val="20"/>
          <w:szCs w:val="20"/>
        </w:rPr>
      </w:pPr>
    </w:p>
    <w:p w14:paraId="7B00014C">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public Task&lt;IReadOnlyList&lt;Rol&gt;&gt; ListarRolesAsync() =&gt;</w:t>
      </w:r>
    </w:p>
    <w:p w14:paraId="7B00014E">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_catalogos.ListarRolesAsync();</w:t>
      </w:r>
    </w:p>
    <w:p w14:paraId="7B000150">
      <w:pPr>
        <w:pBdr/>
        <w:shd w:val="clear" w:color="auto" w:fill="F2F2F2"/>
        <w:spacing w:after="0" w:line="240" w:lineRule="auto" w:before="0"/>
        <w:ind w:left="284"/>
        <w:rPr>
          <w:rFonts w:ascii="Times New Roman" w:hAnsi="Times New Roman" w:eastAsia="Times New Roman" w:cs="Times New Roman"/>
          <w:sz w:val="20"/>
          <w:szCs w:val="20"/>
        </w:rPr>
      </w:pPr>
    </w:p>
    <w:p w14:paraId="7B000152">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public Task&lt;IReadOnlyList&lt;Sede&gt;&gt; ListarSedesAsync() =&gt;</w:t>
      </w:r>
    </w:p>
    <w:p w14:paraId="7B000154">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_catalogos.ListarSedesAsync();</w:t>
      </w:r>
    </w:p>
    <w:p w14:paraId="7B000156">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w:t>
      </w:r>
    </w:p>
    <w:p w14:paraId="7B000158">
      <w:pPr>
        <w:pBdr/>
        <w:shd w:val="clear" w:color="auto" w:fill="F2F2F2"/>
        <w:spacing w:after="0" w:line="240" w:lineRule="auto" w:before="0"/>
        <w:ind w:left="284"/>
        <w:rPr>
          <w:rFonts w:ascii="Times New Roman" w:hAnsi="Times New Roman" w:eastAsia="Times New Roman" w:cs="Times New Roman"/>
          <w:sz w:val="20"/>
          <w:szCs w:val="20"/>
        </w:rPr>
      </w:pPr>
    </w:p>
    <w:p w14:paraId="7B00015A">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Program.cs</w:t>
      </w:r>
    </w:p>
    <w:p w14:paraId="7B00015C">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roles.MapGet("", async (ServicioCatalogos catalogos) =&gt;</w:t>
      </w:r>
    </w:p>
    <w:p w14:paraId="7B00015E">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Results.Ok((await catalogos.ListarRolesAsync()).Select(MapearRol).ToList()));</w:t>
      </w:r>
    </w:p>
    <w:p w14:paraId="7B000160">
      <w:pPr>
        <w:pBdr/>
        <w:spacing w:after="100" w:line="480" w:lineRule="auto"/>
        <w:ind/>
        <w:rPr/>
      </w:pPr>
      <w:r/>
      <w:r/>
    </w:p>
    <w:p w14:paraId="7B000162">
      <w:pPr>
        <w:pBdr/>
        <w:spacing w:after="100" w:before="200" w:line="480" w:lineRule="auto"/>
        <w:ind/>
        <w:rPr>
          <w:rFonts w:ascii="Times New Roman" w:hAnsi="Times New Roman" w:eastAsia="Times New Roman" w:cs="Times New Roman"/>
          <w:b/>
          <w:bCs/>
          <w:sz w:val="24"/>
          <w:szCs w:val="24"/>
          <w:highlight w:val="lightGray"/>
        </w:rPr>
      </w:pPr>
      <w:r>
        <w:rPr>
          <w:rFonts w:ascii="Times New Roman" w:hAnsi="Times New Roman" w:eastAsia="Times New Roman" w:cs="Times New Roman"/>
          <w:b w:val="1"/>
          <w:bCs w:val="1"/>
          <w:sz w:val="24"/>
          <w:szCs w:val="24"/>
          <w:highlight w:val="lightGray"/>
        </w:rPr>
        <w:t xml:space="preserve">9. RESULTADODELAAPI EN KATALEYA.CLIENTE</w:t>
      </w:r>
    </w:p>
    <w:p w14:paraId="7B000164">
      <w:pPr>
        <w:pBdr/>
        <w:spacing w:after="50" w:line="480" w:lineRule="auto"/>
        <w:ind/>
        <w:rPr>
          <w:rFonts w:ascii="Times New Roman" w:hAnsi="Times New Roman" w:eastAsia="Times New Roman" w:cs="Times New Roman"/>
          <w:i/>
          <w:sz w:val="18"/>
          <w:szCs w:val="18"/>
        </w:rPr>
      </w:pPr>
      <w:r>
        <w:rPr>
          <w:rFonts w:ascii="Times New Roman" w:hAnsi="Times New Roman" w:eastAsia="Times New Roman" w:cs="Times New Roman"/>
          <w:i/>
          <w:sz w:val="18"/>
          <w:szCs w:val="18"/>
        </w:rPr>
        <w:t xml:space="preserve">SDD 3.7 (paquetes) y 3.12 (estructura).</w:t>
      </w:r>
    </w:p>
    <w:p w14:paraId="7B000166">
      <w:pPr>
        <w:pBdr/>
        <w:spacing w:after="60" w:line="300" w:lineRule="auto"/>
        <w:ind/>
        <w:rPr>
          <w:rFonts w:ascii="Times New Roman" w:hAnsi="Times New Roman" w:eastAsia="Times New Roman" w:cs="Times New Roman"/>
          <w:sz w:val="20"/>
          <w:szCs w:val="20"/>
        </w:rPr>
      </w:pPr>
      <w:r>
        <w:rPr>
          <w:rFonts w:ascii="Times New Roman" w:hAnsi="Times New Roman" w:eastAsia="Times New Roman" w:cs="Times New Roman"/>
          <w:b w:val="1"/>
          <w:bCs w:val="1"/>
          <w:sz w:val="20"/>
          <w:szCs w:val="20"/>
        </w:rPr>
        <w:t xml:space="preserve">Hoy:</w:t>
      </w:r>
      <w:r>
        <w:rPr>
          <w:rFonts w:ascii="Times New Roman" w:hAnsi="Times New Roman" w:eastAsia="Times New Roman" w:cs="Times New Roman"/>
          <w:sz w:val="20"/>
          <w:szCs w:val="20"/>
        </w:rPr>
        <w:t xml:space="preserve"> ResultadoDeLaApi y ResultadoDeLaApi&lt;T&gt; están en Kataleya.Dominio.</w:t>
      </w:r>
    </w:p>
    <w:p w14:paraId="7B000168">
      <w:pPr>
        <w:pBdr/>
        <w:spacing w:after="60" w:line="300" w:lineRule="auto"/>
        <w:ind/>
        <w:rPr>
          <w:rFonts w:ascii="Times New Roman" w:hAnsi="Times New Roman" w:eastAsia="Times New Roman" w:cs="Times New Roman"/>
          <w:sz w:val="20"/>
          <w:szCs w:val="20"/>
        </w:rPr>
      </w:pPr>
      <w:r>
        <w:rPr>
          <w:rFonts w:ascii="Times New Roman" w:hAnsi="Times New Roman" w:eastAsia="Times New Roman" w:cs="Times New Roman"/>
          <w:b w:val="1"/>
          <w:bCs w:val="1"/>
          <w:sz w:val="20"/>
          <w:szCs w:val="20"/>
        </w:rPr>
        <w:t xml:space="preserve">Cambio:</w:t>
      </w:r>
      <w:r>
        <w:rPr>
          <w:rFonts w:ascii="Times New Roman" w:hAnsi="Times New Roman" w:eastAsia="Times New Roman" w:cs="Times New Roman"/>
          <w:sz w:val="20"/>
          <w:szCs w:val="20"/>
        </w:rPr>
        <w:t xml:space="preserve"> pasan a Kataleya.Cliente: son la respuesta del cliente de la Web API, no una regla del negocio, y el servidor no los usa. ErrorDeCampo sigue en el dominio, porque lo devuelven las entidades al validar.</w:t>
      </w:r>
    </w:p>
    <w:p w14:paraId="7B00016A">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namespace Kataleya.Cliente;</w:t>
      </w:r>
    </w:p>
    <w:p w14:paraId="7B00016C">
      <w:pPr>
        <w:pBdr/>
        <w:shd w:val="clear" w:color="auto" w:fill="F2F2F2"/>
        <w:spacing w:after="0" w:line="240" w:lineRule="auto" w:before="0"/>
        <w:ind w:left="284"/>
        <w:rPr>
          <w:rFonts w:ascii="Times New Roman" w:hAnsi="Times New Roman" w:eastAsia="Times New Roman" w:cs="Times New Roman"/>
          <w:sz w:val="20"/>
          <w:szCs w:val="20"/>
        </w:rPr>
      </w:pPr>
    </w:p>
    <w:p w14:paraId="7B00016E">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public class ResultadoDeLaApi { /* igual que hoy */ }</w:t>
      </w:r>
    </w:p>
    <w:p w14:paraId="7B000170">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public sealed class ResultadoDeLaApi&lt;T&gt; : ResultadoDeLaApi { /* igual que hoy */ }</w:t>
      </w:r>
    </w:p>
    <w:p w14:paraId="7B000172">
      <w:pPr>
        <w:pBdr/>
        <w:spacing w:after="100" w:line="480" w:lineRule="auto"/>
        <w:ind/>
        <w:rPr/>
      </w:pPr>
      <w:r/>
      <w:r/>
    </w:p>
    <w:p w14:paraId="7B000174">
      <w:pPr>
        <w:pBdr/>
        <w:spacing w:after="100" w:before="200" w:line="480" w:lineRule="auto"/>
        <w:ind/>
        <w:rPr>
          <w:rFonts w:ascii="Times New Roman" w:hAnsi="Times New Roman" w:eastAsia="Times New Roman" w:cs="Times New Roman"/>
          <w:b/>
          <w:bCs/>
          <w:sz w:val="24"/>
          <w:szCs w:val="24"/>
          <w:highlight w:val="lightGray"/>
        </w:rPr>
      </w:pPr>
      <w:r>
        <w:rPr>
          <w:rFonts w:ascii="Times New Roman" w:hAnsi="Times New Roman" w:eastAsia="Times New Roman" w:cs="Times New Roman"/>
          <w:b w:val="1"/>
          <w:bCs w:val="1"/>
          <w:sz w:val="24"/>
          <w:szCs w:val="24"/>
          <w:highlight w:val="lightGray"/>
        </w:rPr>
        <w:t xml:space="preserve">10. IDIALOGOS: DOS PARÁMETROS COMO MÁXIMO</w:t>
      </w:r>
    </w:p>
    <w:p w14:paraId="7B000176">
      <w:pPr>
        <w:pBdr/>
        <w:spacing w:after="50" w:line="480" w:lineRule="auto"/>
        <w:ind/>
        <w:rPr>
          <w:rFonts w:ascii="Times New Roman" w:hAnsi="Times New Roman" w:eastAsia="Times New Roman" w:cs="Times New Roman"/>
          <w:i/>
          <w:sz w:val="18"/>
          <w:szCs w:val="18"/>
        </w:rPr>
      </w:pPr>
      <w:r>
        <w:rPr>
          <w:rFonts w:ascii="Times New Roman" w:hAnsi="Times New Roman" w:eastAsia="Times New Roman" w:cs="Times New Roman"/>
          <w:i/>
          <w:sz w:val="18"/>
          <w:szCs w:val="18"/>
        </w:rPr>
        <w:t xml:space="preserve">SDD 3.2 (convención: dos parámetros como máximo; si hacen falta más, se agrupan en un objeto) y 3.12.</w:t>
      </w:r>
    </w:p>
    <w:p w14:paraId="7B000178">
      <w:pPr>
        <w:pBdr/>
        <w:spacing w:after="60" w:line="300" w:lineRule="auto"/>
        <w:ind/>
        <w:rPr>
          <w:rFonts w:ascii="Times New Roman" w:hAnsi="Times New Roman" w:eastAsia="Times New Roman" w:cs="Times New Roman"/>
          <w:sz w:val="20"/>
          <w:szCs w:val="20"/>
        </w:rPr>
      </w:pPr>
      <w:r>
        <w:rPr>
          <w:rFonts w:ascii="Times New Roman" w:hAnsi="Times New Roman" w:eastAsia="Times New Roman" w:cs="Times New Roman"/>
          <w:b w:val="1"/>
          <w:bCs w:val="1"/>
          <w:sz w:val="20"/>
          <w:szCs w:val="20"/>
        </w:rPr>
        <w:t xml:space="preserve">Hoy:</w:t>
      </w:r>
      <w:r>
        <w:rPr>
          <w:rFonts w:ascii="Times New Roman" w:hAnsi="Times New Roman" w:eastAsia="Times New Roman" w:cs="Times New Roman"/>
          <w:sz w:val="20"/>
          <w:szCs w:val="20"/>
        </w:rPr>
        <w:t xml:space="preserve"> ConfirmarAsync(titulo, mensaje, textoAceptar, textoCancelar) y PedirDatosDeCuentaAsync(roles, sedes, errores, anterior) tienen cuatro parámetros.</w:t>
      </w:r>
    </w:p>
    <w:p w14:paraId="7B00017A">
      <w:pPr>
        <w:pBdr/>
        <w:spacing w:after="60" w:line="300" w:lineRule="auto"/>
        <w:ind/>
        <w:rPr>
          <w:rFonts w:ascii="Times New Roman" w:hAnsi="Times New Roman" w:eastAsia="Times New Roman" w:cs="Times New Roman"/>
          <w:sz w:val="20"/>
          <w:szCs w:val="20"/>
        </w:rPr>
      </w:pPr>
      <w:r>
        <w:rPr>
          <w:rFonts w:ascii="Times New Roman" w:hAnsi="Times New Roman" w:eastAsia="Times New Roman" w:cs="Times New Roman"/>
          <w:b w:val="1"/>
          <w:bCs w:val="1"/>
          <w:sz w:val="20"/>
          <w:szCs w:val="20"/>
        </w:rPr>
        <w:t xml:space="preserve">Cambio:</w:t>
      </w:r>
      <w:r>
        <w:rPr>
          <w:rFonts w:ascii="Times New Roman" w:hAnsi="Times New Roman" w:eastAsia="Times New Roman" w:cs="Times New Roman"/>
          <w:sz w:val="20"/>
          <w:szCs w:val="20"/>
        </w:rPr>
        <w:t xml:space="preserve"> agrupar los datos de cada diálogo en un record. Los nombres de abajo son un ejemplo; el diseño solo pide que ninguna operación pase de dos parámetros.</w:t>
      </w:r>
    </w:p>
    <w:p w14:paraId="7B00017C">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public sealed record Confirmacion(string Titulo, string Mensaje,</w:t>
      </w:r>
    </w:p>
    <w:p w14:paraId="7B00017E">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string TextoAceptar, string TextoCancelar);</w:t>
      </w:r>
    </w:p>
    <w:p w14:paraId="7B000180">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public sealed record FormularioDeCuenta(</w:t>
      </w:r>
    </w:p>
    <w:p w14:paraId="7B000182">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IReadOnlyList&lt;DatosDeRol&gt; Roles,</w:t>
      </w:r>
    </w:p>
    <w:p w14:paraId="7B000184">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IReadOnlyList&lt;DatosDeSede&gt; Sedes,</w:t>
      </w:r>
    </w:p>
    <w:p w14:paraId="7B000186">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IReadOnlyDictionary&lt;string, string&gt;? Errores = null,</w:t>
      </w:r>
    </w:p>
    <w:p w14:paraId="7B000188">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SolicitudDeCuenta? Anterior = null);</w:t>
      </w:r>
    </w:p>
    <w:p w14:paraId="7B00018A">
      <w:pPr>
        <w:pBdr/>
        <w:shd w:val="clear" w:color="auto" w:fill="F2F2F2"/>
        <w:spacing w:after="0" w:line="240" w:lineRule="auto" w:before="0"/>
        <w:ind w:left="284"/>
        <w:rPr>
          <w:rFonts w:ascii="Times New Roman" w:hAnsi="Times New Roman" w:eastAsia="Times New Roman" w:cs="Times New Roman"/>
          <w:sz w:val="20"/>
          <w:szCs w:val="20"/>
        </w:rPr>
      </w:pPr>
    </w:p>
    <w:p w14:paraId="7B00018C">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Task&lt;bool&gt; ConfirmarAsync(Confirmacion confirmacion);</w:t>
      </w:r>
    </w:p>
    <w:p w14:paraId="7B00018E">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Task&lt;SolicitudDeCuenta?&gt; PedirDatosDeCuentaAsync(FormularioDeCuenta formulario);</w:t>
      </w:r>
    </w:p>
    <w:p w14:paraId="7B000190">
      <w:pPr>
        <w:pBdr/>
        <w:spacing w:after="100" w:line="480" w:lineRule="auto"/>
        <w:ind/>
        <w:rPr/>
      </w:pPr>
      <w:r/>
      <w:r/>
    </w:p>
    <w:p w14:paraId="7B000192">
      <w:pPr>
        <w:pBdr/>
        <w:spacing w:after="100" w:before="200" w:line="480" w:lineRule="auto"/>
        <w:ind/>
        <w:rPr>
          <w:rFonts w:ascii="Times New Roman" w:hAnsi="Times New Roman" w:eastAsia="Times New Roman" w:cs="Times New Roman"/>
          <w:b/>
          <w:bCs/>
          <w:sz w:val="24"/>
          <w:szCs w:val="24"/>
          <w:highlight w:val="lightGray"/>
        </w:rPr>
      </w:pPr>
      <w:r>
        <w:rPr>
          <w:rFonts w:ascii="Times New Roman" w:hAnsi="Times New Roman" w:eastAsia="Times New Roman" w:cs="Times New Roman"/>
          <w:b w:val="1"/>
          <w:bCs w:val="1"/>
          <w:sz w:val="24"/>
          <w:szCs w:val="24"/>
          <w:highlight w:val="lightGray"/>
        </w:rPr>
        <w:t xml:space="preserve">11. LA BARRA SUPERIOR: BOTÓN DEL TEMA Y MENÚ DE LA CUENTA</w:t>
      </w:r>
    </w:p>
    <w:p w14:paraId="7B000194">
      <w:pPr>
        <w:pBdr/>
        <w:spacing w:after="50" w:line="480" w:lineRule="auto"/>
        <w:ind/>
        <w:rPr>
          <w:rFonts w:ascii="Times New Roman" w:hAnsi="Times New Roman" w:eastAsia="Times New Roman" w:cs="Times New Roman"/>
          <w:i/>
          <w:sz w:val="18"/>
          <w:szCs w:val="18"/>
        </w:rPr>
      </w:pPr>
      <w:r>
        <w:rPr>
          <w:rFonts w:ascii="Times New Roman" w:hAnsi="Times New Roman" w:eastAsia="Times New Roman" w:cs="Times New Roman"/>
          <w:i/>
          <w:sz w:val="18"/>
          <w:szCs w:val="18"/>
        </w:rPr>
        <w:t xml:space="preserve">SDD 0102: 3.9.4 y 3.9.5 (IU-P02, Figuras 97 a 99) y 3.9.6 (mensajes comunes). Decisión del 27/10/2026.</w:t>
      </w:r>
    </w:p>
    <w:p w14:paraId="7B000196">
      <w:pPr>
        <w:pBdr/>
        <w:spacing w:after="60" w:line="300" w:lineRule="auto"/>
        <w:ind/>
        <w:rPr>
          <w:rFonts w:ascii="Times New Roman" w:hAnsi="Times New Roman" w:eastAsia="Times New Roman" w:cs="Times New Roman"/>
          <w:sz w:val="20"/>
          <w:szCs w:val="20"/>
        </w:rPr>
      </w:pPr>
      <w:r>
        <w:rPr>
          <w:rFonts w:ascii="Times New Roman" w:hAnsi="Times New Roman" w:eastAsia="Times New Roman" w:cs="Times New Roman"/>
          <w:b w:val="1"/>
          <w:bCs w:val="1"/>
          <w:sz w:val="20"/>
          <w:szCs w:val="20"/>
        </w:rPr>
        <w:t xml:space="preserve">Hoy:</w:t>
      </w:r>
      <w:r>
        <w:rPr>
          <w:rFonts w:ascii="Times New Roman" w:hAnsi="Times New Roman" w:eastAsia="Times New Roman" w:cs="Times New Roman"/>
          <w:sz w:val="20"/>
          <w:szCs w:val="20"/>
        </w:rPr>
        <w:t xml:space="preserve"> PanelPrincipalPage muestra arriba el nombre, el rol y la sede, con un botón «Cerrar sesión» al lado; las otras páginas no tienen barra.</w:t>
      </w:r>
    </w:p>
    <w:p w14:paraId="7B000198">
      <w:pPr>
        <w:pBdr/>
        <w:spacing w:after="60" w:line="300" w:lineRule="auto"/>
        <w:ind/>
        <w:rPr>
          <w:rFonts w:ascii="Times New Roman" w:hAnsi="Times New Roman" w:eastAsia="Times New Roman" w:cs="Times New Roman"/>
          <w:sz w:val="20"/>
          <w:szCs w:val="20"/>
        </w:rPr>
      </w:pPr>
      <w:r>
        <w:rPr>
          <w:rFonts w:ascii="Times New Roman" w:hAnsi="Times New Roman" w:eastAsia="Times New Roman" w:cs="Times New Roman"/>
          <w:b w:val="1"/>
          <w:bCs w:val="1"/>
          <w:sz w:val="20"/>
          <w:szCs w:val="20"/>
        </w:rPr>
        <w:t xml:space="preserve">Cambio:</w:t>
      </w:r>
      <w:r>
        <w:rPr>
          <w:rFonts w:ascii="Times New Roman" w:hAnsi="Times New Roman" w:eastAsia="Times New Roman" w:cs="Times New Roman"/>
          <w:sz w:val="20"/>
          <w:szCs w:val="20"/>
        </w:rPr>
        <w:t xml:space="preserve"> todas las pantallas después del inicio de sesión (IU-P02 a IU-P10) tienen la misma barra superior: el botón del tema (luna en el tema claro, sol en el oscuro), el bloque del usuario (nombre de usuario, rol y sede, con una flecha) y los controles de la ventana. Al pulsar el bloque del usuario se abre el menú de la cuenta, con «Acerca del sistema», que abre un diálogo, y «Cerrar sesión», que hace lo mismo que el CerrarSesionCommand de hoy. Conviene que la barra sea un control propio en Components/, con su modelo de vista, para no repetirla en cada página. Los nombres de abajo son un ejemplo.</w:t>
      </w:r>
    </w:p>
    <w:p w14:paraId="7B00019A">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&lt;!-- Components/BarraSuperior/BarraSuperior.xaml --&gt;</w:t>
      </w:r>
    </w:p>
    <w:p w14:paraId="7B00019C">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&lt;Grid ColumnDefinitions="Auto,*,Auto,Auto,Auto" Padding="16,8"&gt;</w:t>
      </w:r>
    </w:p>
    <w:p w14:paraId="7B00019E">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&lt;Label Grid.Column="1" Text="Sistema de la Agencia Kataleya VIP" /&gt;</w:t>
      </w:r>
    </w:p>
    <w:p w14:paraId="7B0001A0">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&lt;Label Grid.Column="2" Text="Cambiando el tema…" IsVisible="{Binding CambiandoTema}" /&gt;</w:t>
      </w:r>
    </w:p>
    <w:p w14:paraId="7B0001A2">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&lt;Button Grid.Column="3" ImageSource="{Binding IconoDelTema}" Command="{Binding CambiarTemaCommand}" /&gt;</w:t>
      </w:r>
    </w:p>
    <w:p w14:paraId="7B0001A4">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&lt;Button Grid.Column="4" Text="{Binding NombreUsuario}" Command="{Binding AbrirMenuDeLaCuentaCommand}" /&gt;</w:t>
      </w:r>
    </w:p>
    <w:p w14:paraId="7B0001A6">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&lt;/Grid&gt;</w:t>
      </w:r>
    </w:p>
    <w:p w14:paraId="7B0001A8">
      <w:pPr>
        <w:pBdr/>
        <w:spacing w:after="100" w:line="480" w:lineRule="auto"/>
        <w:ind/>
        <w:rPr/>
      </w:pPr>
      <w:r/>
      <w:r/>
    </w:p>
    <w:p w14:paraId="7B0001AA">
      <w:pPr>
        <w:pBdr/>
        <w:spacing w:after="100" w:before="200" w:line="480" w:lineRule="auto"/>
        <w:ind/>
        <w:rPr>
          <w:rFonts w:ascii="Times New Roman" w:hAnsi="Times New Roman" w:eastAsia="Times New Roman" w:cs="Times New Roman"/>
          <w:b/>
          <w:bCs/>
          <w:sz w:val="24"/>
          <w:szCs w:val="24"/>
          <w:highlight w:val="lightGray"/>
        </w:rPr>
      </w:pPr>
      <w:r>
        <w:rPr>
          <w:rFonts w:ascii="Times New Roman" w:hAnsi="Times New Roman" w:eastAsia="Times New Roman" w:cs="Times New Roman"/>
          <w:b w:val="1"/>
          <w:bCs w:val="1"/>
          <w:sz w:val="24"/>
          <w:szCs w:val="24"/>
          <w:highlight w:val="lightGray"/>
        </w:rPr>
        <w:t xml:space="preserve">12. EL TEMA: DOS JUEGOS DE COLORES Y UN COMANDO QUE NO SE REPITE</w:t>
      </w:r>
    </w:p>
    <w:p w14:paraId="7B0001AC">
      <w:pPr>
        <w:pBdr/>
        <w:spacing w:after="50" w:line="480" w:lineRule="auto"/>
        <w:ind/>
        <w:rPr>
          <w:rFonts w:ascii="Times New Roman" w:hAnsi="Times New Roman" w:eastAsia="Times New Roman" w:cs="Times New Roman"/>
          <w:i/>
          <w:sz w:val="18"/>
          <w:szCs w:val="18"/>
        </w:rPr>
      </w:pPr>
      <w:r>
        <w:rPr>
          <w:rFonts w:ascii="Times New Roman" w:hAnsi="Times New Roman" w:eastAsia="Times New Roman" w:cs="Times New Roman"/>
          <w:i/>
          <w:sz w:val="18"/>
          <w:szCs w:val="18"/>
        </w:rPr>
        <w:t xml:space="preserve">CDU-20 (SDD 0102, 3.1, y Figuras 20, 49 y 71), IU-10 de la ERS 0109 y SDD 0102, 3.9.3 (colores de los dos temas). Decisión del 27/10/2026.</w:t>
      </w:r>
    </w:p>
    <w:p w14:paraId="7B0001AE">
      <w:pPr>
        <w:pBdr/>
        <w:spacing w:after="60" w:line="300" w:lineRule="auto"/>
        <w:ind/>
        <w:rPr>
          <w:rFonts w:ascii="Times New Roman" w:hAnsi="Times New Roman" w:eastAsia="Times New Roman" w:cs="Times New Roman"/>
          <w:sz w:val="20"/>
          <w:szCs w:val="20"/>
        </w:rPr>
      </w:pPr>
      <w:r>
        <w:rPr>
          <w:rFonts w:ascii="Times New Roman" w:hAnsi="Times New Roman" w:eastAsia="Times New Roman" w:cs="Times New Roman"/>
          <w:b w:val="1"/>
          <w:bCs w:val="1"/>
          <w:sz w:val="20"/>
          <w:szCs w:val="20"/>
        </w:rPr>
        <w:t xml:space="preserve">Hoy:</w:t>
      </w:r>
      <w:r>
        <w:rPr>
          <w:rFonts w:ascii="Times New Roman" w:hAnsi="Times New Roman" w:eastAsia="Times New Roman" w:cs="Times New Roman"/>
          <w:sz w:val="20"/>
          <w:szCs w:val="20"/>
        </w:rPr>
        <w:t xml:space="preserve"> Colors.xaml tiene un solo juego de colores, el claro, y no hay temas.</w:t>
      </w:r>
    </w:p>
    <w:p w14:paraId="7B0001B0">
      <w:pPr>
        <w:pBdr/>
        <w:spacing w:after="60" w:line="300" w:lineRule="auto"/>
        <w:ind/>
        <w:rPr>
          <w:rFonts w:ascii="Times New Roman" w:hAnsi="Times New Roman" w:eastAsia="Times New Roman" w:cs="Times New Roman"/>
          <w:sz w:val="20"/>
          <w:szCs w:val="20"/>
        </w:rPr>
      </w:pPr>
      <w:r>
        <w:rPr>
          <w:rFonts w:ascii="Times New Roman" w:hAnsi="Times New Roman" w:eastAsia="Times New Roman" w:cs="Times New Roman"/>
          <w:b w:val="1"/>
          <w:bCs w:val="1"/>
          <w:sz w:val="20"/>
          <w:szCs w:val="20"/>
        </w:rPr>
        <w:t xml:space="preserve">Cambio:</w:t>
      </w:r>
      <w:r>
        <w:rPr>
          <w:rFonts w:ascii="Times New Roman" w:hAnsi="Times New Roman" w:eastAsia="Times New Roman" w:cs="Times New Roman"/>
          <w:sz w:val="20"/>
          <w:szCs w:val="20"/>
        </w:rPr>
        <w:t xml:space="preserve"> los colores de la guía de estilo en los dos temas (por ejemplo, con AppThemeBinding) y el comando del botón de la barra. El comando es asíncrono y no admite dos ejecuciones a la vez: mientras corre, el botón queda desactivado y muestra «Cambiando el tema…» con un indicador de espera, y los clics de mientras no hacen nada. Primero aplica el tema en toda la ventana y después lo guarda en la cuenta (ClienteApi.ElegirTemaAsync, PUT /cuentas/{id}/tema). Sin conexión, el tema queda en esta sesión y se guarda en la cuenta la próxima vez que se cambie. Al iniciar sesión se aplica DatosDeCuenta.Tema; si la cuenta todavía no eligió ninguno (null), se sigue el tema de Windows. En la Web API van la ruta, ServicioCuentas.ElegirTemaAsync y la tabla preferencias (usuario_id, tema), que falta en sql/01-esquema.sql.</w:t>
      </w:r>
    </w:p>
    <w:p w14:paraId="7B0001B2">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AsyncRelayCommand: mientras corre,</w:t>
      </w:r>
    </w:p>
    <w:p w14:paraId="7B0001B4">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CanExecute es false y el botón se desactiva solo</w:t>
      </w:r>
    </w:p>
    <w:p w14:paraId="7B0001B6">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[RelayCommand(AllowConcurrentExecutions = false)]</w:t>
      </w:r>
    </w:p>
    <w:p w14:paraId="7B0001B8">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private async Task CambiarTemaAsync()</w:t>
      </w:r>
    </w:p>
    <w:p w14:paraId="7B0001BA">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w:t>
      </w:r>
    </w:p>
    <w:p w14:paraId="7B0001BC">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CambiandoTema = true;                        // «Cambiando el tema…» y el indicador de espera</w:t>
      </w:r>
    </w:p>
    <w:p w14:paraId="7B0001BE">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var tema = _tema == Tema.Claro ? Tema.Oscuro : Tema.Claro;</w:t>
      </w:r>
    </w:p>
    <w:p w14:paraId="7B0001C0">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Application.Current!.UserAppTheme = tema == Tema.Claro ? AppTheme.Light : AppTheme.Dark;</w:t>
      </w:r>
    </w:p>
    <w:p w14:paraId="7B0001C2">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await Task.Yield();                          // deja que la ventana se redibuje con el tema nuevo</w:t>
      </w:r>
    </w:p>
    <w:p w14:paraId="7B0001C4">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await _cliente.ElegirTemaAsync(tema);        // sin conexión: queda en la sesión y se guarda en el próximo cambio</w:t>
      </w:r>
    </w:p>
    <w:p w14:paraId="7B0001C6">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_tema = tema;</w:t>
      </w:r>
    </w:p>
    <w:p w14:paraId="7B0001C8">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CambiandoTema = false;</w:t>
      </w:r>
    </w:p>
    <w:p w14:paraId="7B0001CA">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w:t>
      </w:r>
    </w:p>
    <w:p w14:paraId="7B0001CC">
      <w:pPr>
        <w:pBdr/>
        <w:spacing w:after="100" w:line="480" w:lineRule="auto"/>
        <w:ind/>
        <w:rPr/>
      </w:pPr>
      <w:r/>
      <w:r/>
    </w:p>
    <w:p w14:paraId="7B0001CE">
      <w:pPr>
        <w:pBdr/>
        <w:spacing w:after="100" w:before="200" w:line="480" w:lineRule="auto"/>
        <w:ind/>
        <w:rPr>
          <w:rFonts w:ascii="Times New Roman" w:hAnsi="Times New Roman" w:eastAsia="Times New Roman" w:cs="Times New Roman"/>
          <w:b/>
          <w:bCs/>
          <w:sz w:val="24"/>
          <w:szCs w:val="24"/>
          <w:highlight w:val="lightGray"/>
        </w:rPr>
      </w:pPr>
      <w:r>
        <w:rPr>
          <w:rFonts w:ascii="Times New Roman" w:hAnsi="Times New Roman" w:eastAsia="Times New Roman" w:cs="Times New Roman"/>
          <w:b w:val="1"/>
          <w:bCs w:val="1"/>
          <w:sz w:val="24"/>
          <w:szCs w:val="24"/>
          <w:highlight w:val="lightGray"/>
        </w:rPr>
        <w:t xml:space="preserve">13. «GESTIÓN DE USUARIOS» PASA A CONFIGURACIÓN, PESTAÑA «CUENTAS DE USUARIO»</w:t>
      </w:r>
    </w:p>
    <w:p w14:paraId="7B0001D0">
      <w:pPr>
        <w:pBdr/>
        <w:spacing w:after="50" w:line="480" w:lineRule="auto"/>
        <w:ind/>
        <w:rPr>
          <w:rFonts w:ascii="Times New Roman" w:hAnsi="Times New Roman" w:eastAsia="Times New Roman" w:cs="Times New Roman"/>
          <w:i/>
          <w:sz w:val="18"/>
          <w:szCs w:val="18"/>
        </w:rPr>
      </w:pPr>
      <w:r>
        <w:rPr>
          <w:rFonts w:ascii="Times New Roman" w:hAnsi="Times New Roman" w:eastAsia="Times New Roman" w:cs="Times New Roman"/>
          <w:i/>
          <w:sz w:val="18"/>
          <w:szCs w:val="18"/>
        </w:rPr>
        <w:t xml:space="preserve">SDD 0102, 3.9.5 (IU-P10) y RF-23 de la ERS 0109. Configuración con pestañas, desde el 21/10/2026; Configuración solo para el Administrador, desde el 27/10/2026.</w:t>
      </w:r>
    </w:p>
    <w:p w14:paraId="7B0001D2">
      <w:pPr>
        <w:pBdr/>
        <w:spacing w:after="60" w:line="300" w:lineRule="auto"/>
        <w:ind/>
        <w:rPr>
          <w:rFonts w:ascii="Times New Roman" w:hAnsi="Times New Roman" w:eastAsia="Times New Roman" w:cs="Times New Roman"/>
          <w:sz w:val="20"/>
          <w:szCs w:val="20"/>
        </w:rPr>
      </w:pPr>
      <w:r>
        <w:rPr>
          <w:rFonts w:ascii="Times New Roman" w:hAnsi="Times New Roman" w:eastAsia="Times New Roman" w:cs="Times New Roman"/>
          <w:b w:val="1"/>
          <w:bCs w:val="1"/>
          <w:sz w:val="20"/>
          <w:szCs w:val="20"/>
        </w:rPr>
        <w:t xml:space="preserve">Hoy:</w:t>
      </w:r>
      <w:r>
        <w:rPr>
          <w:rFonts w:ascii="Times New Roman" w:hAnsi="Times New Roman" w:eastAsia="Times New Roman" w:cs="Times New Roman"/>
          <w:sz w:val="20"/>
          <w:szCs w:val="20"/>
        </w:rPr>
        <w:t xml:space="preserve"> el panel tiene el botón «Gestión de usuarios», visible solo para el Administrador, que abre GestionDeUsuariosPage con INavegacion.IrAGestionDeUsuariosAsync().</w:t>
      </w:r>
    </w:p>
    <w:p w14:paraId="7B0001D4">
      <w:pPr>
        <w:pBdr/>
        <w:spacing w:after="60" w:line="300" w:lineRule="auto"/>
        <w:ind/>
        <w:rPr>
          <w:rFonts w:ascii="Times New Roman" w:hAnsi="Times New Roman" w:eastAsia="Times New Roman" w:cs="Times New Roman"/>
          <w:sz w:val="20"/>
          <w:szCs w:val="20"/>
        </w:rPr>
      </w:pPr>
      <w:r>
        <w:rPr>
          <w:rFonts w:ascii="Times New Roman" w:hAnsi="Times New Roman" w:eastAsia="Times New Roman" w:cs="Times New Roman"/>
          <w:b w:val="1"/>
          <w:bCs w:val="1"/>
          <w:sz w:val="20"/>
          <w:szCs w:val="20"/>
        </w:rPr>
        <w:t xml:space="preserve">Cambio:</w:t>
      </w:r>
      <w:r>
        <w:rPr>
          <w:rFonts w:ascii="Times New Roman" w:hAnsi="Times New Roman" w:eastAsia="Times New Roman" w:cs="Times New Roman"/>
          <w:sz w:val="20"/>
          <w:szCs w:val="20"/>
        </w:rPr>
        <w:t xml:space="preserve"> la opción del menú lateral se llama «Configuración» y la ve solo el Administrador: el Encargado de ventas tiene un menú de 4 opciones (Panel principal, Registrar pasaje, Pasajes y Cuadre de ventas). Configuración tiene tres pestañas: «Tarifas y parámetros», «Cuentas de usuario» y «Equipo». La página de hoy pasa a ser el contenido de la pestaña «Cuentas de usuario», con sus dos diálogos sin cambios; por ejemplo, en Features/Configuracion/CuentasDeUsuario/. Las rutas de cuentas siguen protegidas por FiltroDeAdministrador, como hoy. Los nombres de abajo son un ejemplo.</w:t>
      </w:r>
    </w:p>
    <w:p w14:paraId="7B0001D6">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public interface INavegacion</w:t>
      </w:r>
    </w:p>
    <w:p w14:paraId="7B0001D8">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w:t>
      </w:r>
    </w:p>
    <w:p w14:paraId="7B0001DA">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Task IrAlPanelAsync();</w:t>
      </w:r>
    </w:p>
    <w:p w14:paraId="7B0001DC">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Task IrAlInicioDeSesionAsync();</w:t>
      </w:r>
    </w:p>
    <w:p w14:paraId="7B0001DE">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Task IrAConfiguracionAsync(PestanaDeConfiguracion pestana);   // en lugar de IrAGestionDeUsuariosAsync()</w:t>
      </w:r>
    </w:p>
    <w:p w14:paraId="7B0001E0">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Task VolverAsync();</w:t>
      </w:r>
    </w:p>
    <w:p w14:paraId="7B0001E2">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Task CerrarModalAsync();</w:t>
      </w:r>
    </w:p>
    <w:p w14:paraId="7B0001E4">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w:t>
      </w:r>
    </w:p>
    <w:p w14:paraId="7B0001E6">
      <w:pPr>
        <w:pBdr/>
        <w:shd w:val="clear" w:color="auto" w:fill="F2F2F2"/>
        <w:spacing w:after="0" w:line="240" w:lineRule="auto" w:before="0"/>
        <w:ind w:left="284"/>
        <w:rPr>
          <w:rFonts w:ascii="Times New Roman" w:hAnsi="Times New Roman" w:eastAsia="Times New Roman" w:cs="Times New Roman"/>
          <w:sz w:val="20"/>
          <w:szCs w:val="20"/>
        </w:rPr>
      </w:pPr>
    </w:p>
    <w:p w14:paraId="7B0001E8">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public enum PestanaDeConfiguracion { TarifasYParametros, CuentasDeUsuario, Equipo }</w:t>
      </w:r>
    </w:p>
    <w:p w14:paraId="7B0001EA">
      <w:pPr>
        <w:pBdr/>
        <w:spacing w:after="100" w:line="480" w:lineRule="auto"/>
        <w:ind/>
        <w:rPr/>
      </w:pPr>
      <w:r/>
      <w:r/>
    </w:p>
    <w:p w14:paraId="7B0001EC">
      <w:pPr>
        <w:pBdr/>
        <w:spacing w:after="100" w:before="200" w:line="480" w:lineRule="auto"/>
        <w:ind/>
        <w:rPr>
          <w:rFonts w:ascii="Times New Roman" w:hAnsi="Times New Roman" w:eastAsia="Times New Roman" w:cs="Times New Roman"/>
          <w:b/>
          <w:bCs/>
          <w:sz w:val="24"/>
          <w:szCs w:val="24"/>
          <w:highlight w:val="lightGray"/>
        </w:rPr>
      </w:pPr>
      <w:r>
        <w:rPr>
          <w:rFonts w:ascii="Times New Roman" w:hAnsi="Times New Roman" w:eastAsia="Times New Roman" w:cs="Times New Roman"/>
          <w:b w:val="1"/>
          <w:bCs w:val="1"/>
          <w:sz w:val="24"/>
          <w:szCs w:val="24"/>
          <w:highlight w:val="lightGray"/>
        </w:rPr>
        <w:t xml:space="preserve">14. EL INSTALADOR: INNO SETUP, POR USUARIO</w:t>
      </w:r>
    </w:p>
    <w:p w14:paraId="7B0001EE">
      <w:pPr>
        <w:pBdr/>
        <w:spacing w:after="50" w:line="480" w:lineRule="auto"/>
        <w:ind/>
        <w:rPr>
          <w:rFonts w:ascii="Times New Roman" w:hAnsi="Times New Roman" w:eastAsia="Times New Roman" w:cs="Times New Roman"/>
          <w:i/>
          <w:sz w:val="18"/>
          <w:szCs w:val="18"/>
        </w:rPr>
      </w:pPr>
      <w:r>
        <w:rPr>
          <w:rFonts w:ascii="Times New Roman" w:hAnsi="Times New Roman" w:eastAsia="Times New Roman" w:cs="Times New Roman"/>
          <w:i/>
          <w:sz w:val="18"/>
          <w:szCs w:val="18"/>
        </w:rPr>
        <w:t xml:space="preserve">ERS 0109: IS-B01, IS-B04 e IS-04; SDD 0102, sección 4. Decisión del 27/10/2026.</w:t>
      </w:r>
    </w:p>
    <w:p w14:paraId="7B0001F0">
      <w:pPr>
        <w:pBdr/>
        <w:spacing w:after="60" w:line="300" w:lineRule="auto"/>
        <w:ind/>
        <w:rPr>
          <w:rFonts w:ascii="Times New Roman" w:hAnsi="Times New Roman" w:eastAsia="Times New Roman" w:cs="Times New Roman"/>
          <w:sz w:val="20"/>
          <w:szCs w:val="20"/>
        </w:rPr>
      </w:pPr>
      <w:r>
        <w:rPr>
          <w:rFonts w:ascii="Times New Roman" w:hAnsi="Times New Roman" w:eastAsia="Times New Roman" w:cs="Times New Roman"/>
          <w:b w:val="1"/>
          <w:bCs w:val="1"/>
          <w:sz w:val="20"/>
          <w:szCs w:val="20"/>
        </w:rPr>
        <w:t xml:space="preserve">Hoy:</w:t>
      </w:r>
      <w:r>
        <w:rPr>
          <w:rFonts w:ascii="Times New Roman" w:hAnsi="Times New Roman" w:eastAsia="Times New Roman" w:cs="Times New Roman"/>
          <w:sz w:val="20"/>
          <w:szCs w:val="20"/>
        </w:rPr>
        <w:t xml:space="preserve"> el workflow «Compilar Kataleya» publica una carpeta sin empaquetar (WindowsPackageType=None) y la sube como artefacto: en la agencia habría que copiar la carpeta y abrir el .exe a mano, sin accesos directos ni desinstalador.</w:t>
      </w:r>
    </w:p>
    <w:p w14:paraId="7B0001F2">
      <w:pPr>
        <w:pBdr/>
        <w:spacing w:after="60" w:line="300" w:lineRule="auto"/>
        <w:ind/>
        <w:rPr>
          <w:rFonts w:ascii="Times New Roman" w:hAnsi="Times New Roman" w:eastAsia="Times New Roman" w:cs="Times New Roman"/>
          <w:sz w:val="20"/>
          <w:szCs w:val="20"/>
        </w:rPr>
      </w:pPr>
      <w:r>
        <w:rPr>
          <w:rFonts w:ascii="Times New Roman" w:hAnsi="Times New Roman" w:eastAsia="Times New Roman" w:cs="Times New Roman"/>
          <w:b w:val="1"/>
          <w:bCs w:val="1"/>
          <w:sz w:val="20"/>
          <w:szCs w:val="20"/>
        </w:rPr>
        <w:t xml:space="preserve">Cambio:</w:t>
      </w:r>
      <w:r>
        <w:rPr>
          <w:rFonts w:ascii="Times New Roman" w:hAnsi="Times New Roman" w:eastAsia="Times New Roman" w:cs="Times New Roman"/>
          <w:sz w:val="20"/>
          <w:szCs w:val="20"/>
        </w:rPr>
        <w:t xml:space="preserve"> después de publicar la carpeta (ese paso no cambia), un script de Inno Setup arma el instalador: para el usuario de Windows y sin permisos de administrador (PrivilegesRequired=lowest), con accesos directos en el escritorio y en el menú Inicio, y con desinstalador. El AppId es siempre el mismo, para que una versión nueva se instale encima sin perder la configuración de la laptop (IS-04). El workflow sube el instalador como artefacto. Sin certificado de firma, Windows avisa la primera vez («Windows protegió su PC»). Los nombres y la versión de abajo son un ejemplo.</w:t>
      </w:r>
    </w:p>
    <w:p w14:paraId="7B0001F4">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instalador/kataleya.iss</w:t>
      </w:r>
    </w:p>
    <w:p w14:paraId="7B0001F6">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[Setup]</w:t>
      </w:r>
    </w:p>
    <w:p w14:paraId="7B0001F8">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AppId={{GUID FIJO, EL MISMO EN TODAS LAS VERSIONES}</w:t>
      </w:r>
    </w:p>
    <w:p w14:paraId="7B0001FA">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AppName=Sistema Desktop de la Agencia Kataleya VIP</w:t>
      </w:r>
    </w:p>
    <w:p w14:paraId="7B0001FC">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AppVersion=1.0.0</w:t>
      </w:r>
    </w:p>
    <w:p w14:paraId="7B0001FE">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DefaultDirName={autopf}\Kataleya</w:t>
      </w:r>
    </w:p>
    <w:p w14:paraId="7B000200">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PrivilegesRequired=lowest</w:t>
      </w:r>
    </w:p>
    <w:p w14:paraId="7B000202">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OutputBaseFilename=Instalar-Kataleya-1.0.0</w:t>
      </w:r>
    </w:p>
    <w:p w14:paraId="7B000204">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[Files]</w:t>
      </w:r>
    </w:p>
    <w:p w14:paraId="7B000206">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Source: "..\publicacion\win-x64\*"; DestDir: "{app}"; Flags: recursesubdirs ignoreversion</w:t>
      </w:r>
    </w:p>
    <w:p w14:paraId="7B000208">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[Icons]</w:t>
      </w:r>
    </w:p>
    <w:p w14:paraId="7B00020A">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Name: "{autoprograms}\Kataleya"; Filename: "{app}\Kataleya.Escritorio.exe"</w:t>
      </w:r>
    </w:p>
    <w:p w14:paraId="7B00020C">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Name: "{autodesktop}\Kataleya"; Filename: "{app}\Kataleya.Escritorio.exe"</w:t>
      </w:r>
    </w:p>
    <w:p w14:paraId="7B00020E">
      <w:pPr>
        <w:pBdr/>
        <w:shd w:val="clear" w:color="auto" w:fill="F2F2F2"/>
        <w:spacing w:after="0" w:line="240" w:lineRule="auto" w:before="0"/>
        <w:ind w:left="284"/>
        <w:rPr>
          <w:rFonts w:ascii="Times New Roman" w:hAnsi="Times New Roman" w:eastAsia="Times New Roman" w:cs="Times New Roman"/>
          <w:sz w:val="20"/>
          <w:szCs w:val="20"/>
        </w:rPr>
      </w:pPr>
    </w:p>
    <w:p w14:paraId="7B000210">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en .github/workflows/compilar-windows.yml,</w:t>
      </w:r>
    </w:p>
    <w:p w14:paraId="7B000212">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después de «Publicar carpeta sin empaquetar»</w:t>
      </w:r>
    </w:p>
    <w:p w14:paraId="7B000214">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name: Armar el instalador</w:t>
      </w:r>
    </w:p>
    <w:p w14:paraId="7B000216">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run: |</w:t>
      </w:r>
    </w:p>
    <w:p w14:paraId="7B000218">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choco install innosetup --no-progress -y</w:t>
      </w:r>
    </w:p>
    <w:p w14:paraId="7B00021A">
      <w:pPr>
        <w:pBdr/>
        <w:shd w:val="clear" w:color="auto" w:fill="F2F2F2"/>
        <w:spacing w:after="0" w:line="240" w:lineRule="auto" w:before="0"/>
        <w:ind w:left="284"/>
        <w:rPr>
          <w:rFonts w:ascii="Times New Roman" w:hAnsi="Times New Roman" w:eastAsia="Times New Roman" w:cs="Times New Roman"/>
          <w:sz w:val="20"/>
          <w:szCs w:val="20"/>
        </w:rPr>
      </w:pPr>
      <w:r>
        <w:rPr>
          <w:rFonts w:ascii="Consolas" w:hAnsi="Consolas" w:cs="Consolas"/>
          <w:sz w:val="17"/>
          <w:szCs w:val="17"/>
        </w:rPr>
        <w:t xml:space="preserve">    &amp; "${env:ProgramFiles(x86)}\Inno Setup 6\ISCC.exe" instalador\kataleya.iss</w:t>
      </w:r>
    </w:p>
    <w:p w14:paraId="7B00021C">
      <w:pPr>
        <w:pBdr/>
        <w:spacing w:after="100" w:line="480" w:lineRule="auto"/>
        <w:ind/>
        <w:rPr/>
      </w:pPr>
      <w:r/>
      <w:r/>
    </w:p>
    <w:p w14:paraId="7B00021E">
      <w:pPr>
        <w:pBdr/>
        <w:spacing w:after="60" w:line="300" w:lineRule="auto"/>
        <w:ind/>
        <w:rPr>
          <w:rFonts w:ascii="Times New Roman" w:hAnsi="Times New Roman" w:eastAsia="Times New Roman" w:cs="Times New Roman"/>
          <w:sz w:val="20"/>
          <w:szCs w:val="20"/>
        </w:rPr>
      </w:pPr>
      <w:r>
        <w:rPr>
          <w:rFonts w:ascii="Times New Roman" w:hAnsi="Times New Roman" w:eastAsia="Times New Roman" w:cs="Times New Roman"/>
          <w:b w:val="1"/>
          <w:bCs w:val="1"/>
          <w:sz w:val="20"/>
          <w:szCs w:val="20"/>
        </w:rPr>
        <w:t xml:space="preserve">Lo nuevo que no cambia el código de hoy:</w:t>
      </w:r>
      <w:r>
        <w:rPr>
          <w:rFonts w:ascii="Times New Roman" w:hAnsi="Times New Roman" w:eastAsia="Times New Roman" w:cs="Times New Roman"/>
          <w:sz w:val="20"/>
          <w:szCs w:val="20"/>
        </w:rPr>
        <w:t xml:space="preserve"> la copia semanal en la Web API (CDU-22: POST /copia-de-datos/semanal con la clave del programador de tareas de Supabase, GET /copia-de-datos/estado, la tabla copia_respaldo, IAlmacenDeCopias y AlmacenEnGoogleDrive) y «No se presentó» (CDU-04, A4: POST /pasajes/{id}/no-se-presento). No están programados todavía: el detalle está en el SDD 0102 (3.1, 3.8 y sección 4) y en «06 ICONIX/Modelos ICONIX.drawio».</w:t>
      </w:r>
    </w:p>
    <w:p w14:paraId="7B000220">
      <w:pPr>
        <w:pBdr/>
        <w:spacing w:after="100" w:line="480" w:lineRule="auto"/>
        <w:ind/>
        <w:rPr/>
      </w:pPr>
      <w:r/>
      <w:r/>
    </w:p>
    <w:p w14:paraId="7B000222">
      <w:pPr>
        <w:pBdr/>
        <w:spacing w:after="60" w:line="300" w:lineRule="auto"/>
        <w:ind/>
        <w:rPr>
          <w:rFonts w:ascii="Times New Roman" w:hAnsi="Times New Roman" w:eastAsia="Times New Roman" w:cs="Times New Roman"/>
          <w:sz w:val="20"/>
          <w:szCs w:val="20"/>
        </w:rPr>
      </w:pPr>
      <w:r>
        <w:rPr>
          <w:rFonts w:ascii="Times New Roman" w:hAnsi="Times New Roman" w:eastAsia="Times New Roman" w:cs="Times New Roman"/>
          <w:b w:val="1"/>
          <w:bCs w:val="1"/>
          <w:sz w:val="20"/>
          <w:szCs w:val="20"/>
        </w:rPr>
        <w:t xml:space="preserve">Dudas:</w:t>
      </w:r>
      <w:r>
        <w:rPr>
          <w:rFonts w:ascii="Times New Roman" w:hAnsi="Times New Roman" w:eastAsia="Times New Roman" w:cs="Times New Roman"/>
          <w:sz w:val="20"/>
          <w:szCs w:val="20"/>
        </w:rPr>
        <w:t xml:space="preserve"> si algún cambio no se puede hacer como dice el ejemplo, conviene avisarlo antes de programarlo, para corregir el diseño y no dejar el código y el SDD distintos.</w:t>
      </w:r>
    </w:p>
    <w:sectPr>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39">
    <w:name w:val="Heading 1"/>
    <w:basedOn w:val="138"/>
    <w:next w:val="138"/>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138"/>
    <w:next w:val="138"/>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138"/>
    <w:next w:val="138"/>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138"/>
    <w:next w:val="13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138"/>
    <w:next w:val="13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138"/>
    <w:next w:val="13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138"/>
    <w:next w:val="13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138"/>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paragraph" w:styleId="181">
    <w:name w:val="footnote text"/>
    <w:basedOn w:val="138"/>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13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