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Fecha: 10/04/2026</w:t>
        <w:tab/>
        <w:t xml:space="preserve">20:24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sz w:val="38"/>
          <w:szCs w:val="38"/>
        </w:rPr>
      </w:pPr>
      <w:bookmarkStart w:colFirst="0" w:colLast="0" w:name="_lhosziyrpfwv" w:id="0"/>
      <w:bookmarkEnd w:id="0"/>
      <w:r w:rsidDel="00000000" w:rsidR="00000000" w:rsidRPr="00000000">
        <w:rPr>
          <w:sz w:val="38"/>
          <w:szCs w:val="38"/>
          <w:rtl w:val="0"/>
        </w:rPr>
        <w:t xml:space="preserve">MINUTA DE REUNIÓN - DAILY SCRUM MEETING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5985"/>
        <w:tblGridChange w:id="0">
          <w:tblGrid>
            <w:gridCol w:w="3015"/>
            <w:gridCol w:w="59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acta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ACTA 10.04.26 #002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Aranda, Catalina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Cruz, Ricardo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Santander, Sebastián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Participantes ausentes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Anuncios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ha realizado el tablero en trello separando las principales fases de la segunda evaluación en 4 semanas, asignando distintas tareas a cada fase. 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¿Quién hace qué?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discutió brevemente la distribución de las tareas de la semana 1 de trabajo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Acuerdos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han asignado las tareas de la siguiente forma: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Diseñar MER/MERE: Sebastián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Mockups App Web: Ricardo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Mockups App Movil: Catalina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Próxima Reunión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17.04.26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