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5DAB00"/>
          <w:sz w:val="19"/>
        </w:rPr>
        <w:t>PROPUESTA ESTRATÉGICA &amp; TÉCNICA · CANAL DIGITAL B2C</w:t>
      </w:r>
    </w:p>
    <w:p>
      <w:pPr>
        <w:spacing w:after="40"/>
      </w:pPr>
      <w:r>
        <w:rPr>
          <w:rFonts w:ascii="Arial" w:hAnsi="Arial"/>
          <w:b/>
          <w:color w:val="040A44"/>
          <w:sz w:val="40"/>
        </w:rPr>
        <w:t>Soluciones W: Modernización y Diversificación de Ingresos</w:t>
      </w:r>
    </w:p>
    <w:p>
      <w:pPr>
        <w:spacing w:after="360"/>
      </w:pPr>
      <w:r>
        <w:rPr>
          <w:rFonts w:ascii="Arial" w:hAnsi="Arial"/>
          <w:i/>
          <w:color w:val="374151"/>
          <w:sz w:val="22"/>
        </w:rPr>
        <w:t>Presentado a: Wilson Triana · Director General | Soluciones W</w:t>
      </w:r>
    </w:p>
    <w:p>
      <w:pPr>
        <w:spacing w:after="280"/>
      </w:pPr>
    </w:p>
    <w:p>
      <w:pPr>
        <w:spacing w:before="160" w:after="120"/>
      </w:pPr>
      <w:r>
        <w:rPr>
          <w:rFonts w:ascii="Arial" w:hAnsi="Arial"/>
          <w:b/>
          <w:color w:val="040A44"/>
          <w:sz w:val="26"/>
        </w:rPr>
        <w:t>1. La situación actual es (Diagnóstico Operativo):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74151"/>
                <w:sz w:val="20"/>
              </w:rPr>
              <w:t>Hoy la compañía opera de forma exclusiva bajo un modelo B2B, comercializando sus asistencias a través de empresas aliadas. Esto genera una alta dependencia de listados manuales en Excel, causando cuellos de botella e ineficiencias críticas:</w:t>
              <w:br/>
              <w:br/>
              <w:t>• Tiempo de afiliación prolongado: Un promedio de 8.0 horas para activar a un usuario.</w:t>
              <w:br/>
              <w:t>• Sobrecosto operativo: $2.450 COP por registro y 15 minutos de esfuerzo humano manual por usuario.</w:t>
              <w:br/>
              <w:t>• Mercado desatendido: Cero presencia en el canal digital B2C, perdiendo a miles de personas naturales y familias que hoy buscan asistencias de salud, ambulancia, mascotas y hogar directamente por internet y no quieren atarse a aseguradoras costosas.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hAnsi="Arial"/>
          <w:b/>
          <w:color w:val="040A44"/>
          <w:sz w:val="26"/>
        </w:rPr>
        <w:t>2. Para ello elaboraremos (Solución y Alcance Técnico):</w:t>
      </w:r>
    </w:p>
    <w:p>
      <w:pPr>
        <w:pStyle w:val="ListBullet"/>
        <w:spacing w:after="100"/>
      </w:pPr>
      <w:r>
        <w:rPr>
          <w:rFonts w:ascii="Arial" w:hAnsi="Arial"/>
          <w:b/>
          <w:color w:val="040A44"/>
          <w:sz w:val="20"/>
        </w:rPr>
        <w:t xml:space="preserve">Portal Web Transaccional B2C (24/7): </w:t>
      </w:r>
      <w:r>
        <w:rPr>
          <w:rFonts w:ascii="Arial" w:hAnsi="Arial"/>
          <w:color w:val="374151"/>
          <w:sz w:val="20"/>
        </w:rPr>
        <w:t>Plataforma digital rápida (Mobile-First) donde cualquier persona natural ingresa, cotiza en 30 segundos, selecciona sus asistencias favoritas o el combo familiar completo, y paga de forma autónoma con PSE, Nequi, Daviplata o tarjeta de crédito.</w:t>
      </w:r>
    </w:p>
    <w:p>
      <w:pPr>
        <w:pStyle w:val="ListBullet"/>
        <w:spacing w:after="100"/>
      </w:pPr>
      <w:r>
        <w:rPr>
          <w:rFonts w:ascii="Arial" w:hAnsi="Arial"/>
          <w:b/>
          <w:color w:val="040A44"/>
          <w:sz w:val="20"/>
        </w:rPr>
        <w:t xml:space="preserve">Agente de IA en WhatsApp (Filtro 24/7 + Triaje Inteligente): </w:t>
      </w:r>
      <w:r>
        <w:rPr>
          <w:rFonts w:ascii="Arial" w:hAnsi="Arial"/>
          <w:color w:val="374151"/>
          <w:sz w:val="20"/>
        </w:rPr>
        <w:t>Asistente automatizado que atiende al instante en la línea oficial de WhatsApp. Resuelve dudas frecuentes de precios y coberturas, y califica en milisegundos si el contacto es una consulta informativa o una urgencia médica/técnica real.</w:t>
      </w:r>
    </w:p>
    <w:p>
      <w:pPr>
        <w:pStyle w:val="ListBullet"/>
        <w:spacing w:after="100"/>
      </w:pPr>
      <w:r>
        <w:rPr>
          <w:rFonts w:ascii="Arial" w:hAnsi="Arial"/>
          <w:b/>
          <w:color w:val="040A44"/>
          <w:sz w:val="20"/>
        </w:rPr>
        <w:t xml:space="preserve">Pase Inmediato a Operador Humano (Handoff de Emergencia): </w:t>
      </w:r>
      <w:r>
        <w:rPr>
          <w:rFonts w:ascii="Arial" w:hAnsi="Arial"/>
          <w:color w:val="374151"/>
          <w:sz w:val="20"/>
        </w:rPr>
        <w:t>Ante emergencias agudas o cuando el cliente lo solicite, la IA transfiere el caso de inmediato al operador humano con la cédula, dirección y descripción de la urgencia ya capturada para despacho sin esperas.</w:t>
      </w:r>
    </w:p>
    <w:p>
      <w:pPr>
        <w:pStyle w:val="ListBullet"/>
        <w:spacing w:after="100"/>
      </w:pPr>
      <w:r>
        <w:rPr>
          <w:rFonts w:ascii="Arial" w:hAnsi="Arial"/>
          <w:b/>
          <w:color w:val="040A44"/>
          <w:sz w:val="20"/>
        </w:rPr>
        <w:t xml:space="preserve">Visor Rápido de la Central Telefónica (Para tu equipo): </w:t>
      </w:r>
      <w:r>
        <w:rPr>
          <w:rFonts w:ascii="Arial" w:hAnsi="Arial"/>
          <w:color w:val="374151"/>
          <w:sz w:val="20"/>
        </w:rPr>
        <w:t>Panel web ultraligero donde tus operadores digitan la cédula de quien llama a la central y en menos de 1 segundo visualizan el estado de la cobertura (ACTIVO / VIGENTE), asistencias contratadas y eventos disponibles en el año.</w:t>
      </w:r>
    </w:p>
    <w:p>
      <w:pPr>
        <w:pStyle w:val="ListBullet"/>
        <w:spacing w:after="100"/>
      </w:pPr>
      <w:r>
        <w:rPr>
          <w:rFonts w:ascii="Arial" w:hAnsi="Arial"/>
          <w:b/>
          <w:color w:val="040A44"/>
          <w:sz w:val="20"/>
        </w:rPr>
        <w:t xml:space="preserve">Motor Automatizado de Emisión y Certificados (&lt; 2 min): </w:t>
      </w:r>
      <w:r>
        <w:rPr>
          <w:rFonts w:ascii="Arial" w:hAnsi="Arial"/>
          <w:color w:val="374151"/>
          <w:sz w:val="20"/>
        </w:rPr>
        <w:t>Generación automática del contrato y certificado de afiliación digital en PDF con código único de validación y entrega instantánea por correo electrónico y WhatsApp.</w:t>
      </w:r>
    </w:p>
    <w:p>
      <w:pPr>
        <w:spacing w:after="200"/>
      </w:pPr>
    </w:p>
    <w:p>
      <w:pPr>
        <w:spacing w:after="120"/>
      </w:pPr>
      <w:r>
        <w:rPr>
          <w:rFonts w:ascii="Arial" w:hAnsi="Arial"/>
          <w:b/>
          <w:color w:val="040A44"/>
          <w:sz w:val="26"/>
        </w:rPr>
        <w:t>3. Necesitamos de ti (Prerrequisitos Clave):</w:t>
      </w:r>
    </w:p>
    <w:p>
      <w:pPr>
        <w:pStyle w:val="ListBullet"/>
        <w:spacing w:after="100"/>
      </w:pPr>
      <w:r>
        <w:rPr>
          <w:rFonts w:ascii="Arial" w:hAnsi="Arial"/>
          <w:b/>
          <w:color w:val="5DAB00"/>
          <w:sz w:val="20"/>
        </w:rPr>
        <w:t xml:space="preserve">Definición de Tarifas y Límites de Cobertura: </w:t>
      </w:r>
      <w:r>
        <w:rPr>
          <w:rFonts w:ascii="Arial" w:hAnsi="Arial"/>
          <w:color w:val="374151"/>
          <w:sz w:val="20"/>
        </w:rPr>
        <w:t>Definir precios mensuales por asistencia individual (ej. $14.900 a $18.900 COP) y tarifa del Combo Familiar 360° (ej. $54.900 COP), con sus respectivos topes por evento en dinero y número de asistencias anuales.</w:t>
      </w:r>
    </w:p>
    <w:p>
      <w:pPr>
        <w:pStyle w:val="ListBullet"/>
        <w:spacing w:after="100"/>
      </w:pPr>
      <w:r>
        <w:rPr>
          <w:rFonts w:ascii="Arial" w:hAnsi="Arial"/>
          <w:b/>
          <w:color w:val="5DAB00"/>
          <w:sz w:val="20"/>
        </w:rPr>
        <w:t xml:space="preserve">Apertura de Cuenta en Pasarela de Pagos Local: </w:t>
      </w:r>
      <w:r>
        <w:rPr>
          <w:rFonts w:ascii="Arial" w:hAnsi="Arial"/>
          <w:color w:val="374151"/>
          <w:sz w:val="20"/>
        </w:rPr>
        <w:t>Trámite de cuenta empresarial en Wompi (Bancolombia) o Mercado Pago a nombre de Soluciones W (RUT actualizado, Cámara de Comercio &lt; 30 días, cédula y certificación bancaria) para habilitar cobros en línea.</w:t>
      </w:r>
    </w:p>
    <w:p>
      <w:pPr>
        <w:pStyle w:val="ListBullet"/>
        <w:spacing w:after="100"/>
      </w:pPr>
      <w:r>
        <w:rPr>
          <w:rFonts w:ascii="Arial" w:hAnsi="Arial"/>
          <w:b/>
          <w:color w:val="5DAB00"/>
          <w:sz w:val="20"/>
        </w:rPr>
        <w:t xml:space="preserve">Líneas Oficiales de Atención y Emergencias: </w:t>
      </w:r>
      <w:r>
        <w:rPr>
          <w:rFonts w:ascii="Arial" w:hAnsi="Arial"/>
          <w:color w:val="374151"/>
          <w:sz w:val="20"/>
        </w:rPr>
        <w:t>Confirmar el número telefónico PBX de la central y la línea de WhatsApp Business que se integrará con el Agente de IA y los botones de emergencia del portal.</w:t>
      </w:r>
    </w:p>
    <w:p>
      <w:pPr>
        <w:pStyle w:val="ListBullet"/>
        <w:spacing w:after="100"/>
      </w:pPr>
      <w:r>
        <w:rPr>
          <w:rFonts w:ascii="Arial" w:hAnsi="Arial"/>
          <w:b/>
          <w:color w:val="5DAB00"/>
          <w:sz w:val="20"/>
        </w:rPr>
        <w:t xml:space="preserve">Términos del Servicio y Plantilla del Certificado: </w:t>
      </w:r>
      <w:r>
        <w:rPr>
          <w:rFonts w:ascii="Arial" w:hAnsi="Arial"/>
          <w:color w:val="374151"/>
          <w:sz w:val="20"/>
        </w:rPr>
        <w:t>Documento de términos, condiciones y exclusiones legales de cobertura (especificando que es un auxilio operativo, no una aseguradora), junto con el logo y firma digital para el PDF oficial.</w:t>
      </w:r>
    </w:p>
    <w:p>
      <w:pPr>
        <w:spacing w:after="200"/>
      </w:pPr>
    </w:p>
    <w:p>
      <w:pPr>
        <w:spacing w:after="120"/>
      </w:pPr>
      <w:r>
        <w:rPr>
          <w:rFonts w:ascii="Arial" w:hAnsi="Arial"/>
          <w:b/>
          <w:color w:val="040A44"/>
          <w:sz w:val="26"/>
        </w:rPr>
        <w:t>4. Impacto Esperado en el Negocio (KPIs de Éxito):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40A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Indicador Clave de Rendimiento</w:t>
            </w:r>
          </w:p>
        </w:tc>
        <w:tc>
          <w:tcPr>
            <w:tcW w:type="dxa" w:w="4680"/>
            <w:shd w:val="clear" w:color="auto" w:fill="040A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Meta Comprometida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74151"/>
                <w:sz w:val="19"/>
              </w:rPr>
              <w:t>Tasa de autogestión digital directa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374151"/>
                <w:sz w:val="19"/>
              </w:rPr>
              <w:t>≥ 80% de ventas 100% autónomas en línea</w:t>
            </w:r>
          </w:p>
        </w:tc>
      </w:tr>
      <w:tr>
        <w:tc>
          <w:tcPr>
            <w:tcW w:type="dxa" w:w="4680"/>
            <w:shd w:val="clear" w:color="auto"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74151"/>
                <w:sz w:val="19"/>
              </w:rPr>
              <w:t>Velocidad de emisión del certificado</w:t>
            </w:r>
          </w:p>
        </w:tc>
        <w:tc>
          <w:tcPr>
            <w:tcW w:type="dxa" w:w="4680"/>
            <w:shd w:val="clear" w:color="auto"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374151"/>
                <w:sz w:val="19"/>
              </w:rPr>
              <w:t>&lt; 2 minutos tras confirmación de pago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74151"/>
                <w:sz w:val="19"/>
              </w:rPr>
              <w:t>Reducción de costos administrativos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374151"/>
                <w:sz w:val="19"/>
              </w:rPr>
              <w:t>Disminución del 35% al 40% por registro</w:t>
            </w:r>
          </w:p>
        </w:tc>
      </w:tr>
      <w:tr>
        <w:tc>
          <w:tcPr>
            <w:tcW w:type="dxa" w:w="4680"/>
            <w:shd w:val="clear" w:color="auto"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color w:val="374151"/>
                <w:sz w:val="19"/>
              </w:rPr>
              <w:t>Tasa de conversión en el portal B2C</w:t>
            </w:r>
          </w:p>
        </w:tc>
        <w:tc>
          <w:tcPr>
            <w:tcW w:type="dxa" w:w="4680"/>
            <w:shd w:val="clear" w:color="auto"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374151"/>
                <w:sz w:val="19"/>
              </w:rPr>
              <w:t>≥ 4.5% de visitantes convertidos en afiliados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