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Análisis de requerimientos — Sistema de Hoja de Vida de Activos Tecnológicos</w:t>
      </w:r>
    </w:p>
    <w:p>
      <w:pPr/>
      <w:r>
        <w:rPr>
          <w:b/>
        </w:rPr>
        <w:t xml:space="preserve">Gobernación de Córdoba · Dirección TIC · Versión 4.1</w:t>
      </w:r>
    </w:p>
    <w:p>
      <w:pPr/>
      <w:r>
        <w:rPr/>
        <w:t xml:space="preserve">17 de octubre de 2026 · Jhon (líder) · @JWRCompany</w:t>
      </w:r>
    </w:p>
    <w:p>
      <w:pPr>
        <w:pStyle w:val="Nota"/>
      </w:pPr>
      <w:r>
        <w:rPr/>
        <w:t xml:space="preserve">Documento de referencia permanente del proyecto. La versión 4 cambia la </w:t>
      </w:r>
      <w:r>
        <w:rPr>
          <w:b/>
        </w:rPr>
        <w:t xml:space="preserve">fuente</w:t>
      </w:r>
      <w:r>
        <w:rPr/>
        <w:t xml:space="preserve"> del análisis: deja de construirse a partir del Excel del inventario 2026 y pasa a apoyarse en la documentación oficial de la Gobernación (sección 2). El modelo de datos completo está en base-de-datos.md.</w:t>
      </w: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1. Introducción</w:t>
      </w:r>
    </w:p>
    <w:p>
      <w:pPr/>
      <w:r>
        <w:rPr/>
        <w:t xml:space="preserve">El sistema es una aplicación web que lleva la </w:t>
      </w:r>
      <w:r>
        <w:rPr>
          <w:b/>
        </w:rPr>
        <w:t xml:space="preserve">hoja de vida de cada activo tecnológico</w:t>
      </w:r>
      <w:r>
        <w:rPr/>
        <w:t xml:space="preserve"> de la Gobernación de Córdoba, desde su ingreso hasta su baja. Su ficha sigue la estructura oficial del inventario de activos (Manual GT-M4 y formato FOR.01). Ubica cada activo en la estructura organizacional vigente (Decreto 609 de 2023) y en las sedes reales y en las sedes reales que registra el Programa Anual de Mantenimiento, y asigna sus responsables con el catálogo oficial de cargos (Decreto 607 de 2023).</w:t>
      </w:r>
    </w:p>
    <w:p>
      <w:pPr>
        <w:pStyle w:val="Heading2"/>
      </w:pPr>
      <w:r>
        <w:rPr/>
        <w:t xml:space="preserve">1.1 Propósito</w:t>
      </w:r>
    </w:p>
    <w:p>
      <w:pPr/>
      <w:r>
        <w:rPr/>
        <w:t xml:space="preserve">Responder, con evidencia y en un solo lugar:</w:t>
      </w:r>
    </w:p>
    <w:p>
      <w:pPr>
        <w:pStyle w:val="Lista"/>
        <w:ind w:left="360" w:hanging="360"/>
      </w:pPr>
      <w:r>
        <w:rPr/>
        <w:t xml:space="preserve">1. Qué activos tecnológicos tiene la entidad y cuánto valen para ella (valoración CID).</w:t>
      </w:r>
    </w:p>
    <w:p>
      <w:pPr>
        <w:pStyle w:val="Lista"/>
        <w:ind w:left="360" w:hanging="360"/>
      </w:pPr>
      <w:r>
        <w:rPr/>
        <w:t xml:space="preserve">2. Dónde están (sede, piso, dependencia) y quién responde por ellos (responsable, propietario, custodio).</w:t>
      </w:r>
    </w:p>
    <w:p>
      <w:pPr>
        <w:pStyle w:val="Lista"/>
        <w:ind w:left="360" w:hanging="360"/>
      </w:pPr>
      <w:r>
        <w:rPr/>
        <w:t xml:space="preserve">3. Qué se les ha hecho: traslados, cambios de componentes, diagnósticos, reclasificaciones.</w:t>
      </w:r>
    </w:p>
    <w:p>
      <w:pPr>
        <w:pStyle w:val="Lista"/>
        <w:ind w:left="360" w:hanging="360"/>
      </w:pPr>
      <w:r>
        <w:rPr/>
        <w:t xml:space="preserve">4. Cuáles salieron de servicio y por qué.</w:t>
      </w:r>
    </w:p>
    <w:p>
      <w:pPr>
        <w:pStyle w:val="Heading2"/>
      </w:pPr>
      <w:r>
        <w:rPr/>
        <w:t xml:space="preserve">1.2 Alcance</w:t>
      </w:r>
    </w:p>
    <w:p>
      <w:pPr/>
      <w:r>
        <w:rPr>
          <w:b/>
        </w:rPr>
        <w:t xml:space="preserve">Incluido:</w:t>
      </w:r>
    </w:p>
    <w:p>
      <w:pPr>
        <w:pStyle w:val="Lista"/>
        <w:numPr>
          <w:ilvl w:val="0"/>
          <w:numId w:val="1"/>
        </w:numPr>
      </w:pPr>
      <w:r>
        <w:rPr/>
        <w:t xml:space="preserve">Registro y ficha de cada activo de tipo </w:t>
      </w:r>
      <w:r>
        <w:rPr>
          <w:b/>
        </w:rPr>
        <w:t xml:space="preserve">hardware</w:t>
      </w:r>
      <w:r>
        <w:rPr/>
        <w:t xml:space="preserve"> y </w:t>
      </w:r>
      <w:r>
        <w:rPr>
          <w:b/>
        </w:rPr>
        <w:t xml:space="preserve">soporte</w:t>
      </w:r>
      <w:r>
        <w:rPr/>
        <w:t xml:space="preserve"> (GT-M4, tabla 2): computadores, portátiles, servidores, monitores, impresoras, escáneres, equipos de red, NAS, videograbadores, cámaras, control de acceso, video beam, telefonía, UPS, plantas eléctricas y aires de cuartos técnicos.</w:t>
      </w:r>
    </w:p>
    <w:p>
      <w:pPr>
        <w:pStyle w:val="Lista"/>
        <w:numPr>
          <w:ilvl w:val="0"/>
          <w:numId w:val="1"/>
        </w:numPr>
      </w:pPr>
      <w:r>
        <w:rPr/>
        <w:t xml:space="preserve">Datos de adquisición, garantía y propiedad (Gobernación o tercero).</w:t>
      </w:r>
    </w:p>
    <w:p>
      <w:pPr>
        <w:pStyle w:val="Lista"/>
        <w:numPr>
          <w:ilvl w:val="0"/>
          <w:numId w:val="1"/>
        </w:numPr>
      </w:pPr>
      <w:r>
        <w:rPr>
          <w:b/>
        </w:rPr>
        <w:t xml:space="preserve">Clasificación y valoración del activo</w:t>
      </w:r>
      <w:r>
        <w:rPr/>
        <w:t xml:space="preserve"> según GT-M4: datos personales, infraestructura crítica, continuidad del negocio, propietario, custodio, retención y calificación de confidencialidad, integridad y disponibilidad.</w:t>
      </w:r>
    </w:p>
    <w:p>
      <w:pPr>
        <w:pStyle w:val="Lista"/>
        <w:numPr>
          <w:ilvl w:val="0"/>
          <w:numId w:val="1"/>
        </w:numPr>
      </w:pPr>
      <w:r>
        <w:rPr/>
        <w:t xml:space="preserve">Historial de eventos inmutable: alta, traslado, cambio de componente, diagnóstico, </w:t>
      </w:r>
      <w:r>
        <w:rPr>
          <w:b/>
        </w:rPr>
        <w:t xml:space="preserve">valoración</w:t>
      </w:r>
      <w:r>
        <w:rPr/>
        <w:t xml:space="preserve">, baja.</w:t>
      </w:r>
    </w:p>
    <w:p>
      <w:pPr>
        <w:pStyle w:val="Lista"/>
        <w:numPr>
          <w:ilvl w:val="0"/>
          <w:numId w:val="1"/>
        </w:numPr>
      </w:pPr>
      <w:r>
        <w:rPr/>
        <w:t xml:space="preserve">Levantamiento de activos por proceso con acta de aceptación firmada (GT-M4 4.1).</w:t>
      </w:r>
    </w:p>
    <w:p>
      <w:pPr>
        <w:pStyle w:val="Lista"/>
        <w:numPr>
          <w:ilvl w:val="0"/>
          <w:numId w:val="1"/>
        </w:numPr>
      </w:pPr>
      <w:r>
        <w:rPr/>
        <w:t xml:space="preserve">Formatos firmados (entrega y baja), acta de aceptación de activos, código QR y etiquetas.</w:t>
      </w:r>
    </w:p>
    <w:p>
      <w:pPr>
        <w:pStyle w:val="Lista"/>
        <w:numPr>
          <w:ilvl w:val="0"/>
          <w:numId w:val="1"/>
        </w:numPr>
      </w:pPr>
      <w:r>
        <w:rPr/>
        <w:t xml:space="preserve">Estructura organizacional oficial, sedes con sus pisos y personas responsables con datos mínimos.</w:t>
      </w:r>
    </w:p>
    <w:p>
      <w:pPr>
        <w:pStyle w:val="Lista"/>
        <w:numPr>
          <w:ilvl w:val="0"/>
          <w:numId w:val="1"/>
        </w:numPr>
      </w:pPr>
      <w:r>
        <w:rPr/>
        <w:t xml:space="preserve">Carga de datos desde Excel con plantilla oficial: equipos, personas y valoraciones.</w:t>
      </w:r>
    </w:p>
    <w:p>
      <w:pPr>
        <w:pStyle w:val="Lista"/>
        <w:numPr>
          <w:ilvl w:val="0"/>
          <w:numId w:val="1"/>
        </w:numPr>
      </w:pPr>
      <w:r>
        <w:rPr/>
        <w:t xml:space="preserve">Consultas, reportes y exportación de la matriz de activos en el formato FOR.01.</w:t>
      </w:r>
    </w:p>
    <w:p>
      <w:pPr/>
      <w:r>
        <w:rPr>
          <w:b/>
        </w:rPr>
        <w:t xml:space="preserve">Excluido:</w:t>
      </w:r>
    </w:p>
    <w:p>
      <w:pPr>
        <w:pStyle w:val="Lista"/>
        <w:numPr>
          <w:ilvl w:val="0"/>
          <w:numId w:val="1"/>
        </w:numPr>
      </w:pPr>
      <w:r>
        <w:rPr>
          <w:b/>
        </w:rPr>
        <w:t xml:space="preserve">Mantenimiento preventivo y correctivo</w:t>
      </w:r>
      <w:r>
        <w:rPr/>
        <w:t xml:space="preserve">: sigue siendo un procedimiento aparte, igual que en v3. Solo los cambios de componentes que resulten de él se registran en la hoja de vida (RN-08). El Programa Anual de Mantenimiento se usa únicamente como fuente de sedes, pisos y ubicación de dependencias.</w:t>
      </w:r>
    </w:p>
    <w:p>
      <w:pPr>
        <w:pStyle w:val="Lista"/>
        <w:numPr>
          <w:ilvl w:val="0"/>
          <w:numId w:val="1"/>
        </w:numPr>
      </w:pPr>
      <w:r>
        <w:rPr/>
        <w:t xml:space="preserve">Activos de información que no son equipos (software, bases de datos, servicios, información física o electrónica, personas, instalaciones e intangibles). El GT-M4 los incluye, pero no tienen hoja de vida de equipo; ver pregunta abierta 3.</w:t>
      </w:r>
    </w:p>
    <w:p>
      <w:pPr>
        <w:pStyle w:val="Lista"/>
        <w:numPr>
          <w:ilvl w:val="0"/>
          <w:numId w:val="1"/>
        </w:numPr>
      </w:pPr>
      <w:r>
        <w:rPr/>
        <w:t xml:space="preserve">Equipos de las instituciones educativas (166 IE, 201 sedes), hasta que se decida lo contrario (pregunta 2).</w:t>
      </w:r>
    </w:p>
    <w:p>
      <w:pPr>
        <w:pStyle w:val="Lista"/>
        <w:numPr>
          <w:ilvl w:val="0"/>
          <w:numId w:val="1"/>
        </w:numPr>
      </w:pPr>
      <w:r>
        <w:rPr/>
        <w:t xml:space="preserve">Equipos personales de los funcionarios.</w:t>
      </w:r>
    </w:p>
    <w:p>
      <w:pPr>
        <w:pStyle w:val="Lista"/>
        <w:numPr>
          <w:ilvl w:val="0"/>
          <w:numId w:val="1"/>
        </w:numPr>
      </w:pPr>
      <w:r>
        <w:rPr/>
        <w:t xml:space="preserve">Gestión de riesgos e incidentes de seguridad: el sistema solo </w:t>
      </w:r>
      <w:r>
        <w:rPr>
          <w:b/>
        </w:rPr>
        <w:t xml:space="preserve">marca</w:t>
      </w:r>
      <w:r>
        <w:rPr/>
        <w:t xml:space="preserve"> los activos que deben pasar a la matriz de riesgos (GT-M4 4.2.6), no la administra.</w:t>
      </w:r>
    </w:p>
    <w:p>
      <w:pPr>
        <w:pStyle w:val="Lista"/>
        <w:numPr>
          <w:ilvl w:val="0"/>
          <w:numId w:val="1"/>
        </w:numPr>
      </w:pPr>
      <w:r>
        <w:rPr/>
        <w:t xml:space="preserve">Contabilidad del Almacén, mesa de ayuda y monitoreo de red.</w:t>
      </w:r>
    </w:p>
    <w:p>
      <w:pPr>
        <w:pStyle w:val="Heading2"/>
      </w:pPr>
      <w:r>
        <w:rPr/>
        <w:t xml:space="preserve">1.3 Control de versiones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85"/>
        <w:gridCol w:w="7855"/>
      </w:tblGrid>
      <w:tr>
        <w:trPr>
          <w:tblHeader/>
          <w:cantSplit/>
        </w:trPr>
        <w:tc>
          <w:tcPr>
            <w:tcW w:w="178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Versión</w:t>
            </w:r>
          </w:p>
        </w:tc>
        <w:tc>
          <w:tcPr>
            <w:tcW w:w="785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Cambios principales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Tabla"/>
            </w:pPr>
            <w:r>
              <w:rPr/>
              <w:t xml:space="preserve">1</w:t>
            </w:r>
          </w:p>
        </w:tc>
        <w:tc>
          <w:tcPr>
            <w:tcW w:w="7855" w:type="dxa"/>
          </w:tcPr>
          <w:p>
            <w:pPr>
              <w:pStyle w:val="Tabla"/>
            </w:pPr>
            <w:r>
              <w:rPr/>
              <w:t xml:space="preserve">Análisis inicial a partir del inventario 2026 y la primera reunión con el jefe.</w:t>
            </w:r>
          </w:p>
        </w:tc>
      </w:tr>
      <w:tr>
        <w:trPr>
          <w:cantSplit/>
        </w:trPr>
        <w:tc>
          <w:tcPr>
            <w:tcW w:w="178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2</w:t>
            </w:r>
          </w:p>
        </w:tc>
        <w:tc>
          <w:tcPr>
            <w:tcW w:w="785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Administrador y usuarios, dos formatos, traslado con dos firmas, mantenimiento fuera del alcance, componentes, serial y código de activo, terceros.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Tabla"/>
            </w:pPr>
            <w:r>
              <w:rPr/>
              <w:t xml:space="preserve">3</w:t>
            </w:r>
          </w:p>
        </w:tc>
        <w:tc>
          <w:tcPr>
            <w:tcW w:w="7855" w:type="dxa"/>
          </w:tcPr>
          <w:p>
            <w:pPr>
              <w:pStyle w:val="Tabla"/>
            </w:pPr>
            <w:r>
              <w:rPr/>
              <w:t xml:space="preserve">Códigos QR (RF-08 esencial, RF-48 a RF-51).</w:t>
            </w:r>
          </w:p>
        </w:tc>
      </w:tr>
      <w:tr>
        <w:trPr>
          <w:cantSplit/>
        </w:trPr>
        <w:tc>
          <w:tcPr>
            <w:tcW w:w="1785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4</w:t>
            </w:r>
          </w:p>
        </w:tc>
        <w:tc>
          <w:tcPr>
            <w:tcW w:w="7855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Cambio de fuente:</w:t>
            </w:r>
            <w:r>
              <w:rPr/>
              <w:t xml:space="preserve"> documentación oficial en lugar del Excel 2026, que solo se usa para cargar datos. Estructura organizacional jerárquica, sedes reales con sus pisos, catálogo oficial de cargos, valoración GT-M4, datos de adquisición, levantamiento con acta. RF-52 a RF-60, RN-20 a RN-28, modelo de datos v4.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Tabla"/>
            </w:pPr>
            <w:r>
              <w:rPr>
                <w:b/>
              </w:rPr>
              <w:t xml:space="preserve">4.1</w:t>
            </w:r>
          </w:p>
        </w:tc>
        <w:tc>
          <w:tcPr>
            <w:tcW w:w="7855" w:type="dxa"/>
          </w:tcPr>
          <w:p>
            <w:pPr>
              <w:pStyle w:val="Tabla"/>
            </w:pPr>
            <w:r>
              <w:rPr/>
              <w:t xml:space="preserve">Se confirma que el </w:t>
            </w:r>
            <w:r>
              <w:rPr>
                <w:b/>
              </w:rPr>
              <w:t xml:space="preserve">mantenimiento sigue fuera del alcance</w:t>
            </w:r>
            <w:r>
              <w:rPr/>
              <w:t xml:space="preserve">: se quitan el módulo de mantenimiento (antiguos RF-60 a RF-64), sus tablas, el tipo de evento, el formato, los casos de uso y los reportes; RN-08 vuelve a su texto de v3. La estructura organizacional pasa a ser RF-60.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1.4 Definiciones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4820"/>
        <w:gridCol w:w="4820"/>
      </w:tblGrid>
      <w:tr>
        <w:trPr>
          <w:tblHeader/>
          <w:cantSplit/>
        </w:trPr>
        <w:tc>
          <w:tcPr>
            <w:tcW w:w="482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Término</w:t>
            </w:r>
          </w:p>
        </w:tc>
        <w:tc>
          <w:tcPr>
            <w:tcW w:w="482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Activo de información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Lo que tiene valor para la entidad y contiene o manipula información (GT-M4). En este sistema: los de tipo hardware y soporte.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Equipo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Activo tecnológico individual con hoja de vida propia.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Activo de soporte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Componente físico que no contiene información pero sostiene su disponibilidad: UPS, aire acondicionado, planta eléctrica. No se clasifica por información (GT-M4).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Propietario del activo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Director o líder del proceso donde está el activo. Identifica, actualiza y mantiene sus activos (GT-M4).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Custodio del activo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Cargo que administra el activo y aplica los controles que define el propietario (GT-M4).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Responsable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Funcionario o contratista que tiene el equipo a cargo y firma su entrega.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Valoración CID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Calificación de 1 a 4 de confidencialidad, integridad y disponibilidad; su suma (3 a 12) da la importancia (GT-M4, tablas 3 a 6).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Levantamiento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Identificación y valoración de los activos de un proceso, cerrada con un acta firmada por el propietario y los custodios (GT-M4 4.1).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PAMP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Programa Anual de Mantenimiento Preventivo de la Dirección TIC. En este sistema solo aporta datos de sedes, pisos y dependencias.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Dependencia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Unidad de la estructura del Decreto 609: despacho, secretaría, departamento administrativo, oficina, dirección o área.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Sede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Edificio donde funciona la entidad («sucursal» en el GT-M4). Cada sede tiene sus pisos.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Serial</w:t>
            </w:r>
            <w:r>
              <w:rPr/>
              <w:t xml:space="preserve">, </w:t>
            </w:r>
            <w:r>
              <w:rPr>
                <w:b/>
              </w:rPr>
              <w:t xml:space="preserve">código de activo</w:t>
            </w:r>
            <w:r>
              <w:rPr/>
              <w:t xml:space="preserve">, </w:t>
            </w:r>
            <w:r>
              <w:rPr>
                <w:b/>
              </w:rPr>
              <w:t xml:space="preserve">QR</w:t>
            </w:r>
            <w:r>
              <w:rPr/>
              <w:t xml:space="preserve">, </w:t>
            </w:r>
            <w:r>
              <w:rPr>
                <w:b/>
              </w:rPr>
              <w:t xml:space="preserve">evento</w:t>
            </w:r>
            <w:r>
              <w:rPr/>
              <w:t xml:space="preserve">, </w:t>
            </w:r>
            <w:r>
              <w:rPr>
                <w:b/>
              </w:rPr>
              <w:t xml:space="preserve">formato de entrega / de baja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Igual que en v3.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2. Fuentes del análisis</w:t>
      </w:r>
    </w:p>
    <w:p>
      <w:pPr>
        <w:pStyle w:val="Heading2"/>
      </w:pPr>
      <w:r>
        <w:rPr/>
        <w:t xml:space="preserve">2.1 Documentos usados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4820"/>
        <w:gridCol w:w="4820"/>
      </w:tblGrid>
      <w:tr>
        <w:trPr>
          <w:tblHeader/>
          <w:cantSplit/>
        </w:trPr>
        <w:tc>
          <w:tcPr>
            <w:tcW w:w="482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Documento</w:t>
            </w:r>
          </w:p>
        </w:tc>
        <w:tc>
          <w:tcPr>
            <w:tcW w:w="482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Qué aporta al sistema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GT-M4</w:t>
            </w:r>
            <w:r>
              <w:rPr/>
              <w:t xml:space="preserve"> Manual para elaboración del inventario, definición y clasificación de los activos de información (v01, 28/09/2023, proceso Gestión Tecnológica)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Campos oficiales del activo (identificación, atributo, propiedad, ubicación, valoración), tipos de activo, escalas CID e importancia, criterios para pasar a gestión de riesgos, levantamiento con acta de aceptación. Marco: ISO/IEC 27001:2013, Ley 1581 de 2012, Ley 1712 de 2014, MSPI de MinTIC.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FOR.01</w:t>
            </w:r>
            <w:r>
              <w:rPr/>
              <w:t xml:space="preserve"> Formato de inventario de activos de información v00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Las columnas exactas de la matriz y sus listas (hoja «Datos»): sedes, tipo de sede, dependencias, 17 procesos, tipos de activo, datos personales, tipo de ubicación, controles de monitoreo y la matriz de impacto. Trae 29 activos de ejemplo de la Dirección de Sistemas.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Programa Anual de Mantenimiento Preventivo</w:t>
            </w:r>
            <w:r>
              <w:rPr/>
              <w:t xml:space="preserve"> (v01, 21/10/2024, vigencia 2026)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Solo como fuente de ubicaciones:</w:t>
            </w:r>
            <w:r>
              <w:rPr/>
              <w:t xml:space="preserve"> sedes con dirección, pisos, dependencias por piso y conteos estimados de equipos e impresoras. Su programación de mantenimiento no entra al sistema (mantenimiento fuera del alcance).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Decreto 609 de 2023</w:t>
            </w:r>
            <w:r>
              <w:rPr/>
              <w:t xml:space="preserve"> (organigrama)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Estructura organizacional vigente, creación de la Secretaría de Minas y Energía y cambios de nombre de dependencias (la Dirección Técnica de Sistemas pasa a ser la Dirección TICS).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Decreto 607 de 2023</w:t>
            </w:r>
            <w:r>
              <w:rPr/>
              <w:t xml:space="preserve"> (planta global y nomenclatura)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Niveles jerárquicos y códigos oficiales de cargos (001 a 477), grados.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Decreto 608 de 2023</w:t>
            </w:r>
            <w:r>
              <w:rPr/>
              <w:t xml:space="preserve"> (manual de funciones, 2 copias)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Función común a todo empleo: usar bien los equipos e informar los cambios para mantener actualizado el inventario del área. *Solo se pudieron extraer las primeras 80 de 639 páginas* (ver pregunta 12).</w:t>
            </w:r>
          </w:p>
        </w:tc>
      </w:tr>
      <w:tr>
        <w:trPr>
          <w:cantSplit/>
        </w:trPr>
        <w:tc>
          <w:tcPr>
            <w:tcW w:w="4820" w:type="dxa"/>
          </w:tcPr>
          <w:p>
            <w:pPr>
              <w:pStyle w:val="Tabla"/>
            </w:pPr>
            <w:r>
              <w:rPr>
                <w:b/>
              </w:rPr>
              <w:t xml:space="preserve">Planta Central</w:t>
            </w:r>
            <w:r>
              <w:rPr/>
              <w:t xml:space="preserve"> (2-mar-2026) y </w:t>
            </w:r>
            <w:r>
              <w:rPr>
                <w:b/>
              </w:rPr>
              <w:t xml:space="preserve">Planta Educación</w:t>
            </w:r>
            <w:r>
              <w:rPr/>
              <w:t xml:space="preserve"> (13-may-2026)</w:t>
            </w:r>
          </w:p>
        </w:tc>
        <w:tc>
          <w:tcPr>
            <w:tcW w:w="4820" w:type="dxa"/>
          </w:tcPr>
          <w:p>
            <w:pPr>
              <w:pStyle w:val="Tabla"/>
            </w:pPr>
            <w:r>
              <w:rPr/>
              <w:t xml:space="preserve">Dependencias reales y ubicación de cada funcionario, cargo con código y grado, nivel, tipo de provisión, jefe inmediato. La de Educación muestra 686 cargos en 166 instituciones educativas de 71 municipios.</w:t>
            </w:r>
          </w:p>
        </w:tc>
      </w:tr>
      <w:tr>
        <w:trPr>
          <w:cantSplit/>
        </w:trPr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Organigrama_GobCordoba.webp</w:t>
            </w:r>
          </w:p>
        </w:tc>
        <w:tc>
          <w:tcPr>
            <w:tcW w:w="48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Imagen del organigrama del Decreto 609 (el texto del decreto ya lo transcribe).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2.2 Documentos descartados</w:t>
      </w:r>
    </w:p>
    <w:p>
      <w:pPr/>
      <w:r>
        <w:rPr/>
        <w:t xml:space="preserve">Descartados por indicación del profesor, porque no tienen relación con los activos:</w:t>
      </w:r>
    </w:p>
    <w:p>
      <w:pPr>
        <w:pStyle w:val="Lista"/>
        <w:numPr>
          <w:ilvl w:val="0"/>
          <w:numId w:val="1"/>
        </w:numPr>
      </w:pPr>
      <w:r>
        <w:rPr/>
        <w:t xml:space="preserve">*106. Reporte a la CNSC Auxiliar Administrativo 407-7 – Renuncia* (trámite de personal).</w:t>
      </w:r>
    </w:p>
    <w:p>
      <w:pPr>
        <w:pStyle w:val="Lista"/>
        <w:numPr>
          <w:ilvl w:val="0"/>
          <w:numId w:val="1"/>
        </w:numPr>
      </w:pPr>
      <w:r>
        <w:rPr/>
        <w:t xml:space="preserve">*Necesidad_DTH.pdf*.</w:t>
      </w:r>
    </w:p>
    <w:p>
      <w:pPr>
        <w:pStyle w:val="Lista"/>
        <w:numPr>
          <w:ilvl w:val="0"/>
          <w:numId w:val="1"/>
        </w:numPr>
      </w:pPr>
      <w:r>
        <w:rPr/>
        <w:t xml:space="preserve">*reporteEvaluacion_2914065.pdf*.</w:t>
      </w:r>
    </w:p>
    <w:p>
      <w:pPr>
        <w:pStyle w:val="Lista"/>
        <w:numPr>
          <w:ilvl w:val="0"/>
          <w:numId w:val="1"/>
        </w:numPr>
      </w:pPr>
      <w:r>
        <w:rPr/>
        <w:t xml:space="preserve">*Resolución 0148 de 2026 – Renuncia* (acto de personal).</w:t>
      </w:r>
    </w:p>
    <w:p>
      <w:pPr>
        <w:pStyle w:val="Heading2"/>
      </w:pPr>
      <w:r>
        <w:rPr/>
        <w:t xml:space="preserve">2.3 El inventario 2026 (Excel)</w:t>
      </w:r>
    </w:p>
    <w:p>
      <w:pPr/>
      <w:r>
        <w:rPr/>
        <w:t xml:space="preserve">Hasta v3, el modelo se construyó con las 53 columnas del inventario de marzo de 2026 (Microsoft Forms, 461 filas, 930 equipos). </w:t>
      </w:r>
      <w:r>
        <w:rPr>
          <w:b/>
        </w:rPr>
        <w:t xml:space="preserve">Desde v4 ese archivo no define la estructura del sistema.</w:t>
      </w:r>
      <w:r>
        <w:rPr/>
        <w:t xml:space="preserve"> Queda solo como </w:t>
      </w:r>
      <w:r>
        <w:rPr>
          <w:b/>
        </w:rPr>
        <w:t xml:space="preserve">fuente de datos para la carga</w:t>
      </w:r>
      <w:r>
        <w:rPr/>
        <w:t xml:space="preserve">: sus columnas se mapean a la plantilla oficial de carga (sección 12). Su diagnóstico de calidad (sin serial, códigos repetidos, 175 variantes de dependencia) sigue sirviendo para diseñar la depuración, pero ya no condiciona los campos.</w:t>
      </w:r>
    </w:p>
    <w:p>
      <w:pPr>
        <w:pStyle w:val="Heading2"/>
      </w:pPr>
      <w:r>
        <w:rPr/>
        <w:t xml:space="preserve">2.4 Inconsistencias encontradas en las fuentes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0"/>
        <w:gridCol w:w="4418"/>
        <w:gridCol w:w="4322"/>
      </w:tblGrid>
      <w:tr>
        <w:trPr>
          <w:tblHeader/>
          <w:cantSplit/>
        </w:trPr>
        <w:tc>
          <w:tcPr>
            <w:tcW w:w="90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#</w:t>
            </w:r>
          </w:p>
        </w:tc>
        <w:tc>
          <w:tcPr>
            <w:tcW w:w="441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Inconsistencia</w:t>
            </w:r>
          </w:p>
        </w:tc>
        <w:tc>
          <w:tcPr>
            <w:tcW w:w="4322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Tratamiento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I-01</w:t>
            </w:r>
          </w:p>
        </w:tc>
        <w:tc>
          <w:tcPr>
            <w:tcW w:w="4418" w:type="dxa"/>
          </w:tcPr>
          <w:p>
            <w:pPr>
              <w:pStyle w:val="Tabla"/>
            </w:pPr>
            <w:r>
              <w:rPr/>
              <w:t xml:space="preserve">La tabla 1 del GT-M4 (procesos y propietarios) viene de una plantilla de empresa privada: «Comercial», «Postventa», «SAGRILAFT», «Gerente General». El FOR.01 sí lista los 17 procesos de la Gobernación.</w:t>
            </w:r>
          </w:p>
        </w:tc>
        <w:tc>
          <w:tcPr>
            <w:tcW w:w="4322" w:type="dxa"/>
          </w:tcPr>
          <w:p>
            <w:pPr>
              <w:pStyle w:val="Tabla"/>
            </w:pPr>
            <w:r>
              <w:rPr/>
              <w:t xml:space="preserve">Se usan los procesos del FOR.01.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I-02</w:t>
            </w:r>
          </w:p>
        </w:tc>
        <w:tc>
          <w:tcPr>
            <w:tcW w:w="441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El FOR.01 y sus ejemplos dicen «Empresa» y usan nombres anteriores al Decreto 609 («DIRECION DE SISTEMAS»).</w:t>
            </w:r>
          </w:p>
        </w:tc>
        <w:tc>
          <w:tcPr>
            <w:tcW w:w="432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Tabla de equivalencias hacia los nombres oficiales.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I-03</w:t>
            </w:r>
          </w:p>
        </w:tc>
        <w:tc>
          <w:tcPr>
            <w:tcW w:w="4418" w:type="dxa"/>
          </w:tcPr>
          <w:p>
            <w:pPr>
              <w:pStyle w:val="Tabla"/>
            </w:pPr>
            <w:r>
              <w:rPr/>
              <w:t xml:space="preserve">La tabla 6 del GT-M4 pone la importancia baja «de 0 a 3», aunque la suma mínima es 3.</w:t>
            </w:r>
          </w:p>
        </w:tc>
        <w:tc>
          <w:tcPr>
            <w:tcW w:w="4322" w:type="dxa"/>
          </w:tcPr>
          <w:p>
            <w:pPr>
              <w:pStyle w:val="Tabla"/>
            </w:pPr>
            <w:r>
              <w:rPr/>
              <w:t xml:space="preserve">Se acepta 3 como mínimo real.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I-04</w:t>
            </w:r>
          </w:p>
        </w:tc>
        <w:tc>
          <w:tcPr>
            <w:tcW w:w="441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El Decreto 607 escaneado asigna el código 430 al Auxiliar de Servicios Generales; el artículo 15 y la planta usan 470.</w:t>
            </w:r>
          </w:p>
        </w:tc>
        <w:tc>
          <w:tcPr>
            <w:tcW w:w="432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Se usa 470.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I-05</w:t>
            </w:r>
          </w:p>
        </w:tc>
        <w:tc>
          <w:tcPr>
            <w:tcW w:w="4418" w:type="dxa"/>
          </w:tcPr>
          <w:p>
            <w:pPr>
              <w:pStyle w:val="Tabla"/>
            </w:pPr>
            <w:r>
              <w:rPr/>
              <w:t xml:space="preserve">Fondo Territorial de Pensiones aparece bajo Hacienda en el PAMP y bajo Gestión Administrativa en la planta.</w:t>
            </w:r>
          </w:p>
        </w:tc>
        <w:tc>
          <w:tcPr>
            <w:tcW w:w="4322" w:type="dxa"/>
          </w:tcPr>
          <w:p>
            <w:pPr>
              <w:pStyle w:val="Tabla"/>
            </w:pPr>
            <w:r>
              <w:rPr/>
              <w:t xml:space="preserve">Planta (oficial de personal); por confirmar.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I-06</w:t>
            </w:r>
          </w:p>
        </w:tc>
        <w:tc>
          <w:tcPr>
            <w:tcW w:w="441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El PAMP se titula «Plan anual de Mantenimiento 2024», pero programa la vigencia 2026.</w:t>
            </w:r>
          </w:p>
        </w:tc>
        <w:tc>
          <w:tcPr>
            <w:tcW w:w="432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Sus ubicaciones se toman como vigentes en 2026.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I-07</w:t>
            </w:r>
          </w:p>
        </w:tc>
        <w:tc>
          <w:tcPr>
            <w:tcW w:w="4418" w:type="dxa"/>
          </w:tcPr>
          <w:p>
            <w:pPr>
              <w:pStyle w:val="Tabla"/>
            </w:pPr>
            <w:r>
              <w:rPr/>
              <w:t xml:space="preserve">En el FOR.01 hay activos con «Contiene datos personales = NO» y clasificación «Reservado» o «Sensible».</w:t>
            </w:r>
          </w:p>
        </w:tc>
        <w:tc>
          <w:tcPr>
            <w:tcW w:w="4322" w:type="dxa"/>
          </w:tcPr>
          <w:p>
            <w:pPr>
              <w:pStyle w:val="Tabla"/>
            </w:pPr>
            <w:r>
              <w:rPr/>
              <w:t xml:space="preserve">El sistema exige </w:t>
            </w:r>
            <w:r>
              <w:rPr>
                <w:rFonts w:ascii="Consolas" w:hAnsi="Consolas"/>
                <w:sz w:val="19"/>
              </w:rPr>
              <w:t xml:space="preserve">no_aplica</w:t>
            </w:r>
            <w:r>
              <w:rPr/>
              <w:t xml:space="preserve"> cuando no hay datos personales (RN-24).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3. Diagnóstico de la situación con las fuentes oficiales</w:t>
      </w:r>
    </w:p>
    <w:p>
      <w:pPr>
        <w:pStyle w:val="Lista"/>
        <w:ind w:left="360" w:hanging="360"/>
      </w:pPr>
      <w:r>
        <w:rPr/>
        <w:t xml:space="preserve">1. </w:t>
      </w:r>
      <w:r>
        <w:rPr>
          <w:b/>
        </w:rPr>
        <w:t xml:space="preserve">Hoy la entidad tiene tres fuentes que no se cruzan:</w:t>
      </w:r>
      <w:r>
        <w:rPr/>
        <w:t xml:space="preserve"> la matriz de activos de información (FOR.01, valoración de seguridad), el programa de mantenimiento (ubicaciones y conteos por dependencia) y el inventario 2026 (equipos por puesto). El sistema une la ficha y la valoración en un solo registro por equipo y toma del programa las ubicaciones oficiales.</w:t>
      </w:r>
    </w:p>
    <w:p>
      <w:pPr>
        <w:pStyle w:val="Lista"/>
        <w:ind w:left="360" w:hanging="360"/>
      </w:pPr>
      <w:r>
        <w:rPr/>
        <w:t xml:space="preserve">2. </w:t>
      </w:r>
      <w:r>
        <w:rPr>
          <w:b/>
        </w:rPr>
        <w:t xml:space="preserve">La estructura organizacional es jerárquica y cambió en 2023.</w:t>
      </w:r>
      <w:r>
        <w:rPr/>
        <w:t xml:space="preserve"> Una lista plana de dependencias no permite consultar «todo lo de la Secretaría de Hacienda» (con sus seis direcciones), ni reconocer nombres viejos.</w:t>
      </w:r>
    </w:p>
    <w:p>
      <w:pPr>
        <w:pStyle w:val="Lista"/>
        <w:ind w:left="360" w:hanging="360"/>
      </w:pPr>
      <w:r>
        <w:rPr/>
        <w:t xml:space="preserve">3. </w:t>
      </w:r>
      <w:r>
        <w:rPr>
          <w:b/>
        </w:rPr>
        <w:t xml:space="preserve">Las sedes tienen pisos distintos.</w:t>
      </w:r>
      <w:r>
        <w:rPr/>
        <w:t xml:space="preserve"> Palacio de Naín tiene 8 pisos ocupados; Places Mall, un local en el piso 2; el Laboratorio, uno solo. El PAMP dice qué dependencia está en cada piso.</w:t>
      </w:r>
    </w:p>
    <w:p>
      <w:pPr>
        <w:pStyle w:val="Lista"/>
        <w:ind w:left="360" w:hanging="360"/>
      </w:pPr>
      <w:r>
        <w:rPr/>
        <w:t xml:space="preserve">4. </w:t>
      </w:r>
      <w:r>
        <w:rPr>
          <w:b/>
        </w:rPr>
        <w:t xml:space="preserve">El responsable es un empleo oficial,</w:t>
      </w:r>
      <w:r>
        <w:rPr/>
        <w:t xml:space="preserve"> con código, grado y jefe inmediato. La planta trae mucho más (salario, RH, salud, etnia, hijos, dirección); la Ley 1581 obliga a no copiarlo.</w:t>
      </w:r>
    </w:p>
    <w:p>
      <w:pPr>
        <w:pStyle w:val="Lista"/>
        <w:ind w:left="360" w:hanging="360"/>
      </w:pPr>
      <w:r>
        <w:rPr/>
        <w:t xml:space="preserve">5. </w:t>
      </w:r>
      <w:r>
        <w:rPr>
          <w:b/>
        </w:rPr>
        <w:t xml:space="preserve">La valoración de seguridad es parte de la ficha del activo</w:t>
      </w:r>
      <w:r>
        <w:rPr/>
        <w:t xml:space="preserve"> según el GT-M4, y define qué activos pasan a gestión de riesgos.</w:t>
      </w:r>
    </w:p>
    <w:p>
      <w:pPr>
        <w:pStyle w:val="Lista"/>
        <w:ind w:left="360" w:hanging="360"/>
      </w:pPr>
      <w:r>
        <w:rPr/>
        <w:t xml:space="preserve">6. </w:t>
      </w:r>
      <w:r>
        <w:rPr>
          <w:b/>
        </w:rPr>
        <w:t xml:space="preserve">El PAMP estima 507 equipos y 64 impresoras</w:t>
      </w:r>
      <w:r>
        <w:rPr/>
        <w:t xml:space="preserve"> en las sedes de la entidad: es la referencia para saber si la carga y la verificación quedaron completas.</w:t>
      </w: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4. Usuarios y actores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4233"/>
        <w:gridCol w:w="1107"/>
        <w:gridCol w:w="4300"/>
      </w:tblGrid>
      <w:tr>
        <w:trPr>
          <w:tblHeader/>
          <w:cantSplit/>
        </w:trPr>
        <w:tc>
          <w:tcPr>
            <w:tcW w:w="4233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Actor</w:t>
            </w:r>
          </w:p>
        </w:tc>
        <w:tc>
          <w:tcPr>
            <w:tcW w:w="110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¿Ingresa?</w:t>
            </w:r>
          </w:p>
        </w:tc>
        <w:tc>
          <w:tcPr>
            <w:tcW w:w="430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Qué hace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Tabla"/>
            </w:pPr>
            <w:r>
              <w:rPr>
                <w:b/>
              </w:rPr>
              <w:t xml:space="preserve">Administrador</w:t>
            </w:r>
          </w:p>
        </w:tc>
        <w:tc>
          <w:tcPr>
            <w:tcW w:w="1107" w:type="dxa"/>
          </w:tcPr>
          <w:p>
            <w:pPr>
              <w:pStyle w:val="Tabla"/>
            </w:pPr>
            <w:r>
              <w:rPr/>
              <w:t xml:space="preserve">Sí</w:t>
            </w:r>
          </w:p>
        </w:tc>
        <w:tc>
          <w:tcPr>
            <w:tcW w:w="4300" w:type="dxa"/>
          </w:tcPr>
          <w:p>
            <w:pPr>
              <w:pStyle w:val="Tabla"/>
            </w:pPr>
            <w:r>
              <w:rPr/>
              <w:t xml:space="preserve">Usuarios, contraseñas, catálogos (árbol de dependencias, sedes y pisos, cargos, procesos, tipos, modelos, proveedores). Además, todo lo de un usuario.</w:t>
            </w:r>
          </w:p>
        </w:tc>
      </w:tr>
      <w:tr>
        <w:trPr>
          <w:cantSplit/>
        </w:trPr>
        <w:tc>
          <w:tcPr>
            <w:tcW w:w="4233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Usuario</w:t>
            </w:r>
            <w:r>
              <w:rPr/>
              <w:t xml:space="preserve"> (ingeniero, técnico o pasante de soporte TIC)</w:t>
            </w:r>
          </w:p>
        </w:tc>
        <w:tc>
          <w:tcPr>
            <w:tcW w:w="110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Sí</w:t>
            </w:r>
          </w:p>
        </w:tc>
        <w:tc>
          <w:tcPr>
            <w:tcW w:w="43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 equipos, valoraciones, traslados, componentes, diagnósticos y bajas; genera formatos; sube documentos firmados; carga datos; consulta reportes.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Tabla"/>
            </w:pPr>
            <w:r>
              <w:rPr>
                <w:b/>
              </w:rPr>
              <w:t xml:space="preserve">Responsable del equipo</w:t>
            </w:r>
            <w:r>
              <w:rPr/>
              <w:t xml:space="preserve"> (funcionario o contratista)</w:t>
            </w:r>
          </w:p>
        </w:tc>
        <w:tc>
          <w:tcPr>
            <w:tcW w:w="1107" w:type="dxa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</w:tcPr>
          <w:p>
            <w:pPr>
              <w:pStyle w:val="Tabla"/>
            </w:pPr>
            <w:r>
              <w:rPr/>
              <w:t xml:space="preserve">Firma la entrega y la devolución; informa los cambios del equipo a su cargo (Decreto 608, función común).</w:t>
            </w:r>
          </w:p>
        </w:tc>
      </w:tr>
      <w:tr>
        <w:trPr>
          <w:cantSplit/>
        </w:trPr>
        <w:tc>
          <w:tcPr>
            <w:tcW w:w="4233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Propietario del activo</w:t>
            </w:r>
            <w:r>
              <w:rPr/>
              <w:t xml:space="preserve"> (director o líder del proceso)</w:t>
            </w:r>
          </w:p>
        </w:tc>
        <w:tc>
          <w:tcPr>
            <w:tcW w:w="110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Valida la valoración y firma el acta de aceptación del levantamiento.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Tabla"/>
            </w:pPr>
            <w:r>
              <w:rPr>
                <w:b/>
              </w:rPr>
              <w:t xml:space="preserve">Custodio del activo</w:t>
            </w:r>
          </w:p>
        </w:tc>
        <w:tc>
          <w:tcPr>
            <w:tcW w:w="1107" w:type="dxa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</w:tcPr>
          <w:p>
            <w:pPr>
              <w:pStyle w:val="Tabla"/>
            </w:pPr>
            <w:r>
              <w:rPr/>
              <w:t xml:space="preserve">Firma el acta del levantamiento; aplica los controles.</w:t>
            </w:r>
          </w:p>
        </w:tc>
      </w:tr>
      <w:tr>
        <w:trPr>
          <w:cantSplit/>
        </w:trPr>
        <w:tc>
          <w:tcPr>
            <w:tcW w:w="4233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Responsable del SGSI</w:t>
            </w:r>
          </w:p>
        </w:tc>
        <w:tc>
          <w:tcPr>
            <w:tcW w:w="110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Orienta el levantamiento y dirime dudas de clasificación; recibe el reporte de activos críticos.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Tabla"/>
            </w:pPr>
            <w:r>
              <w:rPr>
                <w:b/>
              </w:rPr>
              <w:t xml:space="preserve">Director TIC</w:t>
            </w:r>
          </w:p>
        </w:tc>
        <w:tc>
          <w:tcPr>
            <w:tcW w:w="1107" w:type="dxa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</w:tcPr>
          <w:p>
            <w:pPr>
              <w:pStyle w:val="Tabla"/>
            </w:pPr>
            <w:r>
              <w:rPr/>
              <w:t xml:space="preserve">Recibe reportes; firma como propietario los activos del proceso Gestión Tecnológica.</w:t>
            </w:r>
          </w:p>
        </w:tc>
      </w:tr>
      <w:tr>
        <w:trPr>
          <w:cantSplit/>
        </w:trPr>
        <w:tc>
          <w:tcPr>
            <w:tcW w:w="4233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Almacén General</w:t>
            </w:r>
          </w:p>
        </w:tc>
        <w:tc>
          <w:tcPr>
            <w:tcW w:w="110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Fuente del código de activo y de los datos de adquisición.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Tabla"/>
            </w:pPr>
            <w:r>
              <w:rPr>
                <w:b/>
              </w:rPr>
              <w:t xml:space="preserve">Dirección de Talento Humano</w:t>
            </w:r>
          </w:p>
        </w:tc>
        <w:tc>
          <w:tcPr>
            <w:tcW w:w="1107" w:type="dxa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4300" w:type="dxa"/>
          </w:tcPr>
          <w:p>
            <w:pPr>
              <w:pStyle w:val="Tabla"/>
            </w:pPr>
            <w:r>
              <w:rPr/>
              <w:t xml:space="preserve">Fuente de la planta de personal.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5. Requerimientos funcionales</w:t>
      </w:r>
    </w:p>
    <w:p>
      <w:pPr/>
      <w:r>
        <w:rPr>
          <w:b/>
        </w:rPr>
        <w:t xml:space="preserve">60 requerimientos en 12 módulos.</w:t>
      </w:r>
      <w:r>
        <w:rPr/>
        <w:t xml:space="preserve"> Los RF-01 a RF-51 conservan su número de v3: los que cambian se marcan </w:t>
      </w:r>
      <w:r>
        <w:rPr>
          <w:b/>
        </w:rPr>
        <w:t xml:space="preserve">(mod. v4)</w:t>
      </w:r>
      <w:r>
        <w:rPr/>
        <w:t xml:space="preserve">. Los nuevos son RF-52 a RF-60 </w:t>
      </w:r>
      <w:r>
        <w:rPr>
          <w:b/>
        </w:rPr>
        <w:t xml:space="preserve">(nuevo v4)</w:t>
      </w:r>
      <w:r>
        <w:rPr/>
        <w:t xml:space="preserve">. Prioridades: E = esencial, I = importante, D = deseable.</w:t>
      </w:r>
    </w:p>
    <w:p>
      <w:pPr>
        <w:pStyle w:val="Heading2"/>
      </w:pPr>
      <w:r>
        <w:rPr/>
        <w:t xml:space="preserve">5.1 Inventario maestro de equipos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RF-01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Registrar cualquier activo de tipo hardware o soporte, de la Gobernación o de terceros, con los campos de la sección 8, aunque aún no tenga responsable ni eventos.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RF-02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Identificar cada equipo por serial (obligatorio y único), código de activo de Almacén (I1-######, cuando lo tiene) y un consecutivo de activo (</w:t>
            </w:r>
            <w:r>
              <w:rPr>
                <w:rFonts w:ascii="Consolas" w:hAnsi="Consolas"/>
                <w:sz w:val="19"/>
              </w:rPr>
              <w:t xml:space="preserve">ID ACTIVO</w:t>
            </w:r>
            <w:r>
              <w:rPr/>
              <w:t xml:space="preserve"> del FOR.01) que asigna el sistema.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RF-03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Mostrar campos distintos según el tipo de equipo.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RF-04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la propiedad: Gobernación o tercero (comodato, convenio, proveedor, arrendamiento), con el propietario tomado del catálogo de proveedores.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RF-05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Agrupar equipos en un puesto de trabajo y trasladar el puesto completo.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RF-06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Adjuntar fotografías al equipo.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RF-07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Buscar por serial, código de activo, número de activo, responsable, documento, dependencia (incluidas sus subdependencias) o sede, tolerando espacios y guiones.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RF-52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los datos de adquisición: forma de ingreso, fecha, valor en COP, proveedor, contrato, factura, fin de garantía y vida útil; avisar las garantías por vencer y los equipos que superan su vida útil. </w:t>
            </w:r>
            <w:r>
              <w:rPr>
                <w:b/>
              </w:rPr>
              <w:t xml:space="preserve">(nuevo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5.2 Hoja de vida e historial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RF-09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Mostrar en una sola vista la ficha, la valoración vigente, la configuración y los componentes, el responsable y la ubicación, los datos de adquisición y el historial completo.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RF-10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eventos con tipo, fecha, descripción y adjuntos. Tipos: alta, traslado, cambio de componente, diagnóstico, valoración, baja, actualización de datos, anulación o aclaración.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RF-11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Asignar el autor del evento automáticamente.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RF-12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Eventos inmutables; un cambio de responsable, ubicación, estado o valoración genera un evento con valor anterior y nuevo.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RF-13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Configurar nuevos tipos de evento sin desarrollo.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5.3 Componentes y configuración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RF-14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Registrar los componentes de un equipo de cómputo; RAM, disco y procesador son obligatorios para darlo por verificado.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RF-15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un cambio de componente (agregar, cambiar, quitar) como evento.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RF-16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Consultar la configuración en una fecha dada.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RF-17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el destino del componente retirado (bodega, otro equipo con su referencia, descarte).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5.4 Responsables, ubicación y traslados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RF-18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Registrar la persona responsable con tipo y número de documento, nombres, apellidos, correo institucional, cargo oficial (código, denominación, grado, encargo), dependencia real, jefe inmediato, planta, tipo de vinculación (planta, contratista, pasante) y provisión.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RF-19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la ubicación como sede → piso de esa sede → dependencia del árbol oficial, proponiendo las dependencias que el PAMP ubica en ese piso.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RF-20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Traslado o cambio de responsable con los dos formatos firmados (o documento único).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RF-21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Equipo sin responsable (bodega) como estado válido.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RF-22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Consultar los equipos a cargo de una persona y su formato de entrega consolidado.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RF-23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Paz y salvo cuando un funcionario se retira; el sistema avisa de las personas con </w:t>
            </w:r>
            <w:r>
              <w:rPr>
                <w:rFonts w:ascii="Consolas" w:hAnsi="Consolas"/>
                <w:sz w:val="19"/>
              </w:rPr>
              <w:t xml:space="preserve">fecha_fin_vinculacion</w:t>
            </w:r>
            <w:r>
              <w:rPr/>
              <w:t xml:space="preserve"> próxima que aún tienen equipos.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5.5 Diagnóstico y baja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RF-24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Registrar un diagnóstico técnico.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RF-25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Registrar la baja con diagnóstico, motivo y formato firmado.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RF-26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Anular una baja con evento justificado.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RF-27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Listado de bajas por período.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5.6 Formatos y firmas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RF-28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Formato de entrega en PDF.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RF-29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Formato de baja en PDF.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RF-30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Subir documentos firmados; «Pendiente de firma» hasta tenerlos.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RF-31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Listar pendientes de firma.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RF-32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Firma en pantalla.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D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RF-33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Exportar la hoja de vida completa en PDF (incluye valoración y datos de adquisición).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5.7 Consultas y reportes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RF-34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Catálogo de reportes de la sección 11, con filtros por sede, piso, dependencia (con o sin subdependencias), proceso, tipo, marca, estado, propiedad, importancia, responsable, vinculación y fechas.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RF-35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Exportar a Excel y PDF.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RF-36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Tablero de totales.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RF-37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Indicadores de calidad: sin serial, sin código, sin responsable, código repetido, pendientes de verificar, </w:t>
            </w:r>
            <w:r>
              <w:rPr>
                <w:b/>
              </w:rPr>
              <w:t xml:space="preserve">sin valoración</w:t>
            </w:r>
            <w:r>
              <w:rPr/>
              <w:t xml:space="preserve">, </w:t>
            </w:r>
            <w:r>
              <w:rPr>
                <w:b/>
              </w:rPr>
              <w:t xml:space="preserve">sin datos de adquisición</w:t>
            </w:r>
            <w:r>
              <w:rPr/>
              <w:t xml:space="preserve">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RF-53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Exportar la matriz de inventario de activos con las columnas y el encabezado del formato FOR.01, por proceso o dependencia. </w:t>
            </w:r>
            <w:r>
              <w:rPr>
                <w:b/>
              </w:rPr>
              <w:t xml:space="preserve">(nuevo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RF-54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Reporte de activos que requieren gestión de riesgos (algún criterio CID = 4, o importancia alta o muy alta). </w:t>
            </w:r>
            <w:r>
              <w:rPr>
                <w:b/>
              </w:rPr>
              <w:t xml:space="preserve">(nuevo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5.8 Carga de datos desde Excel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RF-38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Importar equipos desde la </w:t>
            </w:r>
            <w:r>
              <w:rPr>
                <w:b/>
              </w:rPr>
              <w:t xml:space="preserve">plantilla oficial de carga</w:t>
            </w:r>
            <w:r>
              <w:rPr/>
              <w:t xml:space="preserve"> (columnas del modelo v4 y del FOR.01), con vista previa, número de fila de origen y modo simulación. El inventario 2026 se carga mapeando sus columnas a esa plantilla.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RF-39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Normalizar con la tabla de equivalencias editable (dependencias con nombres anteriores al Decreto 609, sedes, marcas, modelos, sistemas operativos).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RF-40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Vista previa con errores y advertencias por fila.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RF-41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Marcar «Pendiente de verificar» lo importado sin serial o con datos dudosos.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RF-42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Cargas posteriores sin duplicar equipos existentes.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RF-55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Importar personas desde la planta de Talento Humano (Central y Educación), tomando </w:t>
            </w:r>
            <w:r>
              <w:rPr>
                <w:b/>
              </w:rPr>
              <w:t xml:space="preserve">solo</w:t>
            </w:r>
            <w:r>
              <w:rPr/>
              <w:t xml:space="preserve"> las columnas permitidas y descartando el resto sin guardarlo. </w:t>
            </w:r>
            <w:r>
              <w:rPr>
                <w:b/>
              </w:rPr>
              <w:t xml:space="preserve">(nuevo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5.9 Usuarios y administración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RF-43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Dos perfiles: Administrador y Usuario.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RF-44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Crear, editar y desactivar usuarios, con cambio de contraseña en el primer ingreso; enlazar el usuario con su persona.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RF-45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Mantener los catálogos: procesos, árbol de dependencias y equivalencias, municipios, sedes y pisos, ubicación de dependencias, cargos, tipos de equipo, marcas, modelos, proveedores, sistemas operativos, tipos de componente, motivos de baja. </w:t>
            </w:r>
            <w:r>
              <w:rPr>
                <w:b/>
              </w:rPr>
              <w:t xml:space="preserve">(mod. v4)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RF-46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Bitácora de auditoría.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RF-47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Restablecer contraseñas.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5.10 Códigos QR y etiquetas</w:t>
      </w:r>
    </w:p>
    <w:p>
      <w:pPr/>
      <w:r>
        <w:rPr/>
        <w:t xml:space="preserve">RF-08 (E), RF-48 (E), RF-49 (I), RF-50 (E) y RF-51 (I) quedan </w:t>
      </w:r>
      <w:r>
        <w:rPr>
          <w:b/>
        </w:rPr>
        <w:t xml:space="preserve">sin cambios</w:t>
      </w:r>
      <w:r>
        <w:rPr/>
        <w:t xml:space="preserve"> respecto a v3. RF-49 filtra ahora por sede y piso reales.</w:t>
      </w:r>
    </w:p>
    <w:p>
      <w:pPr>
        <w:pStyle w:val="Heading2"/>
      </w:pPr>
      <w:r>
        <w:rPr/>
        <w:t xml:space="preserve">5.11 Clasificación y valoración del activo — GT-M4 (nuevo v4)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RF-56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Registrar la valoración de un activo de hardware: datos personales y su clasificación, infraestructura crítica, continuidad del negocio, cargo del propietario, cargo del custodio, tipo de ubicación, tiempo de retención, controles de monitoreo y calificación de 1 a 4 de confidencialidad, integridad y disponibilidad, mostrando junto a cada nivel el texto de la escala del GT-M4.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RF-57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Calcular automáticamente el total, la importancia y la marca «requiere gestión de riesgos».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RF-58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Reclasificar un activo (por incidente o a pedido del propietario) como evento </w:t>
            </w:r>
            <w:r>
              <w:rPr>
                <w:rFonts w:ascii="Consolas" w:hAnsi="Consolas"/>
                <w:sz w:val="19"/>
              </w:rPr>
              <w:t xml:space="preserve">valoracion</w:t>
            </w:r>
            <w:r>
              <w:rPr/>
              <w:t xml:space="preserve">, conservando la historia de valoraciones.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  <w:tr>
        <w:trPr>
          <w:cantSplit/>
        </w:trPr>
        <w:tc>
          <w:tcPr>
            <w:tcW w:w="130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RF-59</w:t>
            </w:r>
          </w:p>
        </w:tc>
        <w:tc>
          <w:tcPr>
            <w:tcW w:w="662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Llevar un levantamiento de activos por dependencia y proceso: lista de sus equipos con su valoración, acta de identificación y aceptación prellenada, firma del propietario y los custodios, y carga del acta firmada.</w:t>
            </w:r>
          </w:p>
        </w:tc>
        <w:tc>
          <w:tcPr>
            <w:tcW w:w="170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I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5.12 Estructura organizacional (nuevo v4)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5"/>
        <w:gridCol w:w="6627"/>
        <w:gridCol w:w="1708"/>
      </w:tblGrid>
      <w:tr>
        <w:trPr>
          <w:tblHeader/>
          <w:cantSplit/>
        </w:trPr>
        <w:tc>
          <w:tcPr>
            <w:tcW w:w="130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170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pStyle w:val="Tabla"/>
            </w:pPr>
            <w:r>
              <w:rPr/>
              <w:t xml:space="preserve">RF-60</w:t>
            </w:r>
          </w:p>
        </w:tc>
        <w:tc>
          <w:tcPr>
            <w:tcW w:w="6627" w:type="dxa"/>
          </w:tcPr>
          <w:p>
            <w:pPr>
              <w:pStyle w:val="Tabla"/>
            </w:pPr>
            <w:r>
              <w:rPr/>
              <w:t xml:space="preserve">Mostrar y filtrar por el árbol de dependencias: al elegir una secretaría se incluyen sus direcciones y áreas; las dependencias suprimidas se desactivan, sin borrarse, y se pueden fusionar con equivalencias.</w:t>
            </w:r>
          </w:p>
        </w:tc>
        <w:tc>
          <w:tcPr>
            <w:tcW w:w="1708" w:type="dxa"/>
          </w:tcPr>
          <w:p>
            <w:pPr>
              <w:pStyle w:val="Tabla"/>
            </w:pPr>
            <w:r>
              <w:rPr/>
              <w:t xml:space="preserve">E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6. Requerimientos no funcionales</w:t>
      </w:r>
    </w:p>
    <w:p>
      <w:pPr/>
      <w:r>
        <w:rPr/>
        <w:t xml:space="preserve">Se mantienen </w:t>
      </w:r>
      <w:r>
        <w:rPr>
          <w:b/>
        </w:rPr>
        <w:t xml:space="preserve">RNF-01 a RNF-18 de v3</w:t>
      </w:r>
      <w:r>
        <w:rPr/>
        <w:t xml:space="preserve"> (web responsive, español, rendimiento con 5.000 equipos, servidor propio, integridad referencial, contraseñas, HTTPS, Ley 1581, bitácora 5 años, respaldos, adjuntos, PDF carta, formatos colombianos, código en repositorio, manuales, etiquetas QR resistentes, ruta corta del QR). Se agregan: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964"/>
        <w:gridCol w:w="4544"/>
        <w:gridCol w:w="4132"/>
      </w:tblGrid>
      <w:tr>
        <w:trPr>
          <w:tblHeader/>
          <w:cantSplit/>
        </w:trPr>
        <w:tc>
          <w:tcPr>
            <w:tcW w:w="964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4544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Requerimiento</w:t>
            </w:r>
          </w:p>
        </w:tc>
        <w:tc>
          <w:tcPr>
            <w:tcW w:w="4132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Criterio de verificación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Tabla"/>
            </w:pPr>
            <w:r>
              <w:rPr/>
              <w:t xml:space="preserve">RNF-19</w:t>
            </w:r>
          </w:p>
        </w:tc>
        <w:tc>
          <w:tcPr>
            <w:tcW w:w="4544" w:type="dxa"/>
          </w:tcPr>
          <w:p>
            <w:pPr>
              <w:pStyle w:val="Tabla"/>
            </w:pPr>
            <w:r>
              <w:rPr>
                <w:b/>
              </w:rPr>
              <w:t xml:space="preserve">Minimización de datos personales:</w:t>
            </w:r>
            <w:r>
              <w:rPr/>
              <w:t xml:space="preserve"> el sistema solo almacena de cada persona los datos de RF-18. Las cargas desde la planta descartan en memoria el resto de columnas.</w:t>
            </w:r>
          </w:p>
        </w:tc>
        <w:tc>
          <w:tcPr>
            <w:tcW w:w="4132" w:type="dxa"/>
          </w:tcPr>
          <w:p>
            <w:pPr>
              <w:pStyle w:val="Tabla"/>
            </w:pPr>
            <w:r>
              <w:rPr/>
              <w:t xml:space="preserve">Revisión del esquema y de una importación de prueba.</w:t>
            </w:r>
          </w:p>
        </w:tc>
      </w:tr>
      <w:tr>
        <w:trPr>
          <w:cantSplit/>
        </w:trPr>
        <w:tc>
          <w:tcPr>
            <w:tcW w:w="96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RNF-20</w:t>
            </w:r>
          </w:p>
        </w:tc>
        <w:tc>
          <w:tcPr>
            <w:tcW w:w="454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El propio sistema es un activo de información (tipo «Información electrónica», datos semiprivados) y debe quedar registrado en la matriz FOR.01 de la Dirección TIC.</w:t>
            </w:r>
          </w:p>
        </w:tc>
        <w:tc>
          <w:tcPr>
            <w:tcW w:w="413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Registro en la matriz.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Tabla"/>
            </w:pPr>
            <w:r>
              <w:rPr/>
              <w:t xml:space="preserve">RNF-21</w:t>
            </w:r>
          </w:p>
        </w:tc>
        <w:tc>
          <w:tcPr>
            <w:tcW w:w="4544" w:type="dxa"/>
          </w:tcPr>
          <w:p>
            <w:pPr>
              <w:pStyle w:val="Tabla"/>
            </w:pPr>
            <w:r>
              <w:rPr/>
              <w:t xml:space="preserve">Los PDF y las exportaciones llevan el encabezado del Sistema Integrado de Gestión (proceso, código, versión, fecha) cuando la Gobernación asigne el código del formato.</w:t>
            </w:r>
          </w:p>
        </w:tc>
        <w:tc>
          <w:tcPr>
            <w:tcW w:w="4132" w:type="dxa"/>
          </w:tcPr>
          <w:p>
            <w:pPr>
              <w:pStyle w:val="Tabla"/>
            </w:pPr>
            <w:r>
              <w:rPr/>
              <w:t xml:space="preserve">Revisión de un PDF.</w:t>
            </w:r>
          </w:p>
        </w:tc>
      </w:tr>
      <w:tr>
        <w:trPr>
          <w:cantSplit/>
        </w:trPr>
        <w:tc>
          <w:tcPr>
            <w:tcW w:w="96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RNF-22</w:t>
            </w:r>
          </w:p>
        </w:tc>
        <w:tc>
          <w:tcPr>
            <w:tcW w:w="454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Las direcciones reservadas (Casa Refugio) nunca aparecen en listados, exportaciones, PDF ni etiquetas.</w:t>
            </w:r>
          </w:p>
        </w:tc>
        <w:tc>
          <w:tcPr>
            <w:tcW w:w="413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Prueba funcional sobre todas las salidas.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7. Reglas de negocio</w:t>
      </w:r>
    </w:p>
    <w:p>
      <w:pPr/>
      <w:r>
        <w:rPr/>
        <w:t xml:space="preserve">Se mantienen </w:t>
      </w:r>
      <w:r>
        <w:rPr>
          <w:b/>
        </w:rPr>
        <w:t xml:space="preserve">RN-01 a RN-19 de v3</w:t>
      </w:r>
      <w:r>
        <w:rPr/>
        <w:t xml:space="preserve">; se repite </w:t>
      </w:r>
      <w:r>
        <w:rPr>
          <w:b/>
        </w:rPr>
        <w:t xml:space="preserve">RN-08</w:t>
      </w:r>
      <w:r>
        <w:rPr/>
        <w:t xml:space="preserve"> porque se confirmó en v4.1, y </w:t>
      </w:r>
      <w:r>
        <w:rPr>
          <w:b/>
        </w:rPr>
        <w:t xml:space="preserve">RN-11</w:t>
      </w:r>
      <w:r>
        <w:rPr/>
        <w:t xml:space="preserve"> se amplía: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12"/>
        <w:gridCol w:w="6628"/>
      </w:tblGrid>
      <w:tr>
        <w:trPr>
          <w:tblHeader/>
          <w:cantSplit/>
        </w:trPr>
        <w:tc>
          <w:tcPr>
            <w:tcW w:w="3012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662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Regla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pStyle w:val="Tabla"/>
            </w:pPr>
            <w:r>
              <w:rPr/>
              <w:t xml:space="preserve">RN-08 </w:t>
            </w:r>
            <w:r>
              <w:rPr>
                <w:b/>
              </w:rPr>
              <w:t xml:space="preserve">(sin cambio)</w:t>
            </w:r>
          </w:p>
        </w:tc>
        <w:tc>
          <w:tcPr>
            <w:tcW w:w="6628" w:type="dxa"/>
          </w:tcPr>
          <w:p>
            <w:pPr>
              <w:pStyle w:val="Tabla"/>
            </w:pPr>
            <w:r>
              <w:rPr/>
              <w:t xml:space="preserve">El mantenimiento preventivo y correctivo no se registra en este sistema; solo sus efectos sobre los componentes, como cambio de componente.</w:t>
            </w:r>
          </w:p>
        </w:tc>
      </w:tr>
      <w:tr>
        <w:trPr>
          <w:cantSplit/>
        </w:trPr>
        <w:tc>
          <w:tcPr>
            <w:tcW w:w="301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RN-11 </w:t>
            </w:r>
            <w:r>
              <w:rPr>
                <w:b/>
              </w:rPr>
              <w:t xml:space="preserve">(ampliada)</w:t>
            </w:r>
          </w:p>
        </w:tc>
        <w:tc>
          <w:tcPr>
            <w:tcW w:w="662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Sede, piso, dependencia, proceso, cargo, tipo, marca, modelo, proveedor, tipo de componente y sistema operativo solo se eligen de listas.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pStyle w:val="Tabla"/>
            </w:pPr>
            <w:r>
              <w:rPr/>
              <w:t xml:space="preserve">RN-20</w:t>
            </w:r>
          </w:p>
        </w:tc>
        <w:tc>
          <w:tcPr>
            <w:tcW w:w="6628" w:type="dxa"/>
          </w:tcPr>
          <w:p>
            <w:pPr>
              <w:pStyle w:val="Tabla"/>
            </w:pPr>
            <w:r>
              <w:rPr/>
              <w:t xml:space="preserve">Las dependencias usan los nombres oficiales del Decreto 609 y forman un árbol sin ciclos. Nunca se borran: se desactivan.</w:t>
            </w:r>
          </w:p>
        </w:tc>
      </w:tr>
      <w:tr>
        <w:trPr>
          <w:cantSplit/>
        </w:trPr>
        <w:tc>
          <w:tcPr>
            <w:tcW w:w="301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RN-21</w:t>
            </w:r>
          </w:p>
        </w:tc>
        <w:tc>
          <w:tcPr>
            <w:tcW w:w="662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Un piso pertenece a una sola sede; la ubicación de un equipo es un piso válido de esa sede.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pStyle w:val="Tabla"/>
            </w:pPr>
            <w:r>
              <w:rPr/>
              <w:t xml:space="preserve">RN-22</w:t>
            </w:r>
          </w:p>
        </w:tc>
        <w:tc>
          <w:tcPr>
            <w:tcW w:w="6628" w:type="dxa"/>
          </w:tcPr>
          <w:p>
            <w:pPr>
              <w:pStyle w:val="Tabla"/>
            </w:pPr>
            <w:r>
              <w:rPr/>
              <w:t xml:space="preserve">Cada equipo de hardware tiene como máximo una valoración vigente. El total, la importancia y la marca de gestión de riesgos los calcula el sistema; nunca se digitan.</w:t>
            </w:r>
          </w:p>
        </w:tc>
      </w:tr>
      <w:tr>
        <w:trPr>
          <w:cantSplit/>
        </w:trPr>
        <w:tc>
          <w:tcPr>
            <w:tcW w:w="301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RN-23</w:t>
            </w:r>
          </w:p>
        </w:tc>
        <w:tc>
          <w:tcPr>
            <w:tcW w:w="662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Un activo con algún criterio CID igual a 4, o con importancia alta o muy alta, queda marcado «requiere gestión de riesgos» (GT-M4 4.2.6).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pStyle w:val="Tabla"/>
            </w:pPr>
            <w:r>
              <w:rPr/>
              <w:t xml:space="preserve">RN-24</w:t>
            </w:r>
          </w:p>
        </w:tc>
        <w:tc>
          <w:tcPr>
            <w:tcW w:w="6628" w:type="dxa"/>
          </w:tcPr>
          <w:p>
            <w:pPr>
              <w:pStyle w:val="Tabla"/>
            </w:pPr>
            <w:r>
              <w:rPr/>
              <w:t xml:space="preserve">Si un activo no contiene datos personales, su clasificación de datos personales es «no aplica».</w:t>
            </w:r>
          </w:p>
        </w:tc>
      </w:tr>
      <w:tr>
        <w:trPr>
          <w:cantSplit/>
        </w:trPr>
        <w:tc>
          <w:tcPr>
            <w:tcW w:w="301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RN-25</w:t>
            </w:r>
          </w:p>
        </w:tc>
        <w:tc>
          <w:tcPr>
            <w:tcW w:w="662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Los activos de tipo soporte no tienen valoración de información.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pStyle w:val="Tabla"/>
            </w:pPr>
            <w:r>
              <w:rPr/>
              <w:t xml:space="preserve">RN-26</w:t>
            </w:r>
          </w:p>
        </w:tc>
        <w:tc>
          <w:tcPr>
            <w:tcW w:w="6628" w:type="dxa"/>
          </w:tcPr>
          <w:p>
            <w:pPr>
              <w:pStyle w:val="Tabla"/>
            </w:pPr>
            <w:r>
              <w:rPr/>
              <w:t xml:space="preserve">De la planta de personal solo se guardan los datos de RF-18 (RNF-19).</w:t>
            </w:r>
          </w:p>
        </w:tc>
      </w:tr>
      <w:tr>
        <w:trPr>
          <w:cantSplit/>
        </w:trPr>
        <w:tc>
          <w:tcPr>
            <w:tcW w:w="301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RN-27</w:t>
            </w:r>
          </w:p>
        </w:tc>
        <w:tc>
          <w:tcPr>
            <w:tcW w:w="662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El número de activo (consecutivo) se asigna al crear el equipo y nunca se reutiliza ni cambia.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pStyle w:val="Tabla"/>
            </w:pPr>
            <w:r>
              <w:rPr/>
              <w:t xml:space="preserve">RN-28</w:t>
            </w:r>
          </w:p>
        </w:tc>
        <w:tc>
          <w:tcPr>
            <w:tcW w:w="6628" w:type="dxa"/>
          </w:tcPr>
          <w:p>
            <w:pPr>
              <w:pStyle w:val="Tabla"/>
            </w:pPr>
            <w:r>
              <w:rPr/>
              <w:t xml:space="preserve">La dirección de una sede reservada no se muestra en ninguna salida del sistema.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8. Modelo de dominio</w:t>
      </w:r>
    </w:p>
    <w:p>
      <w:pPr/>
      <w:r>
        <w:rPr/>
        <w:t xml:space="preserve">El modelo físico completo, con diccionario, valores oficiales de los catálogos y plan de migración, está en </w:t>
      </w:r>
      <w:r>
        <w:rPr>
          <w:b/>
        </w:rPr>
        <w:t xml:space="preserve">base-de-datos.md</w:t>
      </w:r>
      <w:r>
        <w:rPr/>
        <w:t xml:space="preserve">. El DBML para dbdiagram.io está en database/dbml/hoja-vida-activos.dbml y el SQL equivalente en hoja-vida-activos.sql.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49"/>
        <w:gridCol w:w="4298"/>
        <w:gridCol w:w="3193"/>
      </w:tblGrid>
      <w:tr>
        <w:trPr>
          <w:tblHeader/>
          <w:cantSplit/>
        </w:trPr>
        <w:tc>
          <w:tcPr>
            <w:tcW w:w="2149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Bloque</w:t>
            </w:r>
          </w:p>
        </w:tc>
        <w:tc>
          <w:tcPr>
            <w:tcW w:w="429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Entidades</w:t>
            </w:r>
          </w:p>
        </w:tc>
        <w:tc>
          <w:tcPr>
            <w:tcW w:w="3193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Fuente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pStyle w:val="Tabla"/>
            </w:pPr>
            <w:r>
              <w:rPr/>
              <w:t xml:space="preserve">Estructura organizacional</w:t>
            </w:r>
          </w:p>
        </w:tc>
        <w:tc>
          <w:tcPr>
            <w:tcW w:w="4298" w:type="dxa"/>
          </w:tcPr>
          <w:p>
            <w:pPr>
              <w:pStyle w:val="Tabla"/>
            </w:pPr>
            <w:r>
              <w:rPr/>
              <w:t xml:space="preserve">Proceso, Dependencia (árbol), Equivalencia, Municipio, Sede, Piso, UbicaciónDependencia, Cargo, Persona</w:t>
            </w:r>
          </w:p>
        </w:tc>
        <w:tc>
          <w:tcPr>
            <w:tcW w:w="3193" w:type="dxa"/>
          </w:tcPr>
          <w:p>
            <w:pPr>
              <w:pStyle w:val="Tabla"/>
            </w:pPr>
            <w:r>
              <w:rPr/>
              <w:t xml:space="preserve">Decretos 607 y 609, plantas, PAMP, FOR.01</w:t>
            </w:r>
          </w:p>
        </w:tc>
      </w:tr>
      <w:tr>
        <w:trPr>
          <w:cantSplit/>
        </w:trPr>
        <w:tc>
          <w:tcPr>
            <w:tcW w:w="21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Catálogos del activo</w:t>
            </w:r>
          </w:p>
        </w:tc>
        <w:tc>
          <w:tcPr>
            <w:tcW w:w="429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TipoEquipo, Marca, Modelo, SistemaOperativo, TipoComponente, MotivoBaja, Proveedor</w:t>
            </w:r>
          </w:p>
        </w:tc>
        <w:tc>
          <w:tcPr>
            <w:tcW w:w="3193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FOR.01, GT-M4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pStyle w:val="Tabla"/>
            </w:pPr>
            <w:r>
              <w:rPr/>
              <w:t xml:space="preserve">Equipo</w:t>
            </w:r>
          </w:p>
        </w:tc>
        <w:tc>
          <w:tcPr>
            <w:tcW w:w="4298" w:type="dxa"/>
          </w:tcPr>
          <w:p>
            <w:pPr>
              <w:pStyle w:val="Tabla"/>
            </w:pPr>
            <w:r>
              <w:rPr/>
              <w:t xml:space="preserve">Equipo, ValoraciónActivo, ConfiguraciónCómputo, Componente, PuestoTrabajo, Asignación</w:t>
            </w:r>
          </w:p>
        </w:tc>
        <w:tc>
          <w:tcPr>
            <w:tcW w:w="3193" w:type="dxa"/>
          </w:tcPr>
          <w:p>
            <w:pPr>
              <w:pStyle w:val="Tabla"/>
            </w:pPr>
            <w:r>
              <w:rPr/>
              <w:t xml:space="preserve">GT-M4, FOR.01</w:t>
            </w:r>
          </w:p>
        </w:tc>
      </w:tr>
      <w:tr>
        <w:trPr>
          <w:cantSplit/>
        </w:trPr>
        <w:tc>
          <w:tcPr>
            <w:tcW w:w="21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Eventos</w:t>
            </w:r>
          </w:p>
        </w:tc>
        <w:tc>
          <w:tcPr>
            <w:tcW w:w="429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Evento, CambioComponente, Diagnóstico, Documento, EtiquetaQR</w:t>
            </w:r>
          </w:p>
        </w:tc>
        <w:tc>
          <w:tcPr>
            <w:tcW w:w="3193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v3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pStyle w:val="Tabla"/>
            </w:pPr>
            <w:r>
              <w:rPr/>
              <w:t xml:space="preserve">Levantamiento</w:t>
            </w:r>
          </w:p>
        </w:tc>
        <w:tc>
          <w:tcPr>
            <w:tcW w:w="4298" w:type="dxa"/>
          </w:tcPr>
          <w:p>
            <w:pPr>
              <w:pStyle w:val="Tabla"/>
            </w:pPr>
            <w:r>
              <w:rPr/>
              <w:t xml:space="preserve">LevantamientoActivos</w:t>
            </w:r>
          </w:p>
        </w:tc>
        <w:tc>
          <w:tcPr>
            <w:tcW w:w="3193" w:type="dxa"/>
          </w:tcPr>
          <w:p>
            <w:pPr>
              <w:pStyle w:val="Tabla"/>
            </w:pPr>
            <w:r>
              <w:rPr/>
              <w:t xml:space="preserve">GT-M4 4.1</w:t>
            </w:r>
          </w:p>
        </w:tc>
      </w:tr>
      <w:tr>
        <w:trPr>
          <w:cantSplit/>
        </w:trPr>
        <w:tc>
          <w:tcPr>
            <w:tcW w:w="21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Sistema</w:t>
            </w:r>
          </w:p>
        </w:tc>
        <w:tc>
          <w:tcPr>
            <w:tcW w:w="429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Usuario, Auditoría, Importación</w:t>
            </w:r>
          </w:p>
        </w:tc>
        <w:tc>
          <w:tcPr>
            <w:tcW w:w="3193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v3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8.1 Ficha del equipo frente al formato FOR.01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049"/>
        <w:gridCol w:w="4591"/>
      </w:tblGrid>
      <w:tr>
        <w:trPr>
          <w:tblHeader/>
          <w:cantSplit/>
        </w:trPr>
        <w:tc>
          <w:tcPr>
            <w:tcW w:w="5049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Columna del FOR.01</w:t>
            </w:r>
          </w:p>
        </w:tc>
        <w:tc>
          <w:tcPr>
            <w:tcW w:w="4591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Dónde queda en el sistema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ID ACTIVO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equipos.numero_activo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Sucursal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Sede de la asignación actual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Proceso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equipos.proceso_id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Área o Dependencia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Dependencia de la asignación actual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Nombre Activo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/>
              <w:t xml:space="preserve">Tipo de equipo + marca + modelo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Descripción Activo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equipos.descripcion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Tipo de Activo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tipos_equipo.tipo_activo</w:t>
            </w:r>
            <w:r>
              <w:rPr/>
              <w:t xml:space="preserve"> (hardware o soporte)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Contiene datos personales / Clasificación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valoraciones_activo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Infraestructura crítica / Continuidad del negocio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valoraciones_activo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Propietario del activo (cargo) / Custodio técnico (cargo)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valoraciones_activo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Tipo ubicación del activo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valoraciones_activo.tipo_ubicacion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Tiempo de retención de los datos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>
                <w:rFonts w:ascii="Consolas" w:hAnsi="Consolas"/>
                <w:sz w:val="19"/>
              </w:rPr>
              <w:t xml:space="preserve">valoraciones_activo.tiempo_retencion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pStyle w:val="Tabla"/>
            </w:pPr>
            <w:r>
              <w:rPr/>
              <w:t xml:space="preserve">Confidencialidad / Integridad / Disponibilidad (escenario y respuesta)</w:t>
            </w:r>
          </w:p>
        </w:tc>
        <w:tc>
          <w:tcPr>
            <w:tcW w:w="4591" w:type="dxa"/>
          </w:tcPr>
          <w:p>
            <w:pPr>
              <w:pStyle w:val="Tabla"/>
            </w:pPr>
            <w:r>
              <w:rPr/>
              <w:t xml:space="preserve">Valores 1 a 4; la respuesta es el texto de la escala</w:t>
            </w:r>
          </w:p>
        </w:tc>
      </w:tr>
      <w:tr>
        <w:trPr>
          <w:cantSplit/>
        </w:trPr>
        <w:tc>
          <w:tcPr>
            <w:tcW w:w="5049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Total / Importancia</w:t>
            </w:r>
          </w:p>
        </w:tc>
        <w:tc>
          <w:tcPr>
            <w:tcW w:w="4591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Calculados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9. Estados del equipo y tipos de evento</w:t>
      </w:r>
    </w:p>
    <w:p>
      <w:pPr/>
      <w:r>
        <w:rPr/>
        <w:t xml:space="preserve">Estados del ciclo de vida: </w:t>
      </w:r>
      <w:r>
        <w:rPr>
          <w:b/>
        </w:rPr>
        <w:t xml:space="preserve">En servicio</w:t>
      </w:r>
      <w:r>
        <w:rPr/>
        <w:t xml:space="preserve">, </w:t>
      </w:r>
      <w:r>
        <w:rPr>
          <w:b/>
        </w:rPr>
        <w:t xml:space="preserve">Sin asignar</w:t>
      </w:r>
      <w:r>
        <w:rPr/>
        <w:t xml:space="preserve"> y </w:t>
      </w:r>
      <w:r>
        <w:rPr>
          <w:b/>
        </w:rPr>
        <w:t xml:space="preserve">Dado de baja</w:t>
      </w:r>
      <w:r>
        <w:rPr/>
        <w:t xml:space="preserve">, más la marca </w:t>
      </w:r>
      <w:r>
        <w:rPr>
          <w:b/>
        </w:rPr>
        <w:t xml:space="preserve">Verificado / Pendiente de verificar</w:t>
      </w:r>
      <w:r>
        <w:rPr/>
        <w:t xml:space="preserve">. El estado de funcionamiento pasa a lista cerrada: bueno, regular (fallas menores), malo (requiere componentes), no funcional (requiere baja).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84"/>
        <w:gridCol w:w="2970"/>
        <w:gridCol w:w="2240"/>
        <w:gridCol w:w="2346"/>
      </w:tblGrid>
      <w:tr>
        <w:trPr>
          <w:tblHeader/>
          <w:cantSplit/>
        </w:trPr>
        <w:tc>
          <w:tcPr>
            <w:tcW w:w="2084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Tipo de evento</w:t>
            </w:r>
          </w:p>
        </w:tc>
        <w:tc>
          <w:tcPr>
            <w:tcW w:w="297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Efecto</w:t>
            </w:r>
          </w:p>
        </w:tc>
        <w:tc>
          <w:tcPr>
            <w:tcW w:w="224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Firmas</w:t>
            </w:r>
          </w:p>
        </w:tc>
        <w:tc>
          <w:tcPr>
            <w:tcW w:w="2346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Datos propios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pStyle w:val="Tabla"/>
            </w:pPr>
            <w:r>
              <w:rPr/>
              <w:t xml:space="preserve">Alta</w:t>
            </w:r>
          </w:p>
        </w:tc>
        <w:tc>
          <w:tcPr>
            <w:tcW w:w="2970" w:type="dxa"/>
          </w:tcPr>
          <w:p>
            <w:pPr>
              <w:pStyle w:val="Tabla"/>
            </w:pPr>
            <w:r>
              <w:rPr/>
              <w:t xml:space="preserve">Crea el equipo</w:t>
            </w:r>
          </w:p>
        </w:tc>
        <w:tc>
          <w:tcPr>
            <w:tcW w:w="2240" w:type="dxa"/>
          </w:tcPr>
          <w:p>
            <w:pPr>
              <w:pStyle w:val="Tabla"/>
            </w:pPr>
            <w:r>
              <w:rPr/>
              <w:t xml:space="preserve">Entrega, si se entrega</w:t>
            </w:r>
          </w:p>
        </w:tc>
        <w:tc>
          <w:tcPr>
            <w:tcW w:w="2346" w:type="dxa"/>
          </w:tcPr>
          <w:p>
            <w:pPr>
              <w:pStyle w:val="Tabla"/>
            </w:pPr>
            <w:r>
              <w:rPr/>
              <w:t xml:space="preserve">Forma de ingreso, adquisición</w:t>
            </w:r>
          </w:p>
        </w:tc>
      </w:tr>
      <w:tr>
        <w:trPr>
          <w:cantSplit/>
        </w:trPr>
        <w:tc>
          <w:tcPr>
            <w:tcW w:w="208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Traslado / cambio de responsable</w:t>
            </w:r>
          </w:p>
        </w:tc>
        <w:tc>
          <w:tcPr>
            <w:tcW w:w="297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Puede cambiar entre «en servicio» y «sin asignar»</w:t>
            </w:r>
          </w:p>
        </w:tc>
        <w:tc>
          <w:tcPr>
            <w:tcW w:w="224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Baja y entrega</w:t>
            </w:r>
          </w:p>
        </w:tc>
        <w:tc>
          <w:tcPr>
            <w:tcW w:w="2346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Origen, destino, motivo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pStyle w:val="Tabla"/>
            </w:pPr>
            <w:r>
              <w:rPr/>
              <w:t xml:space="preserve">Cambio de componente</w:t>
            </w:r>
          </w:p>
        </w:tc>
        <w:tc>
          <w:tcPr>
            <w:tcW w:w="2970" w:type="dxa"/>
          </w:tcPr>
          <w:p>
            <w:pPr>
              <w:pStyle w:val="Tabla"/>
            </w:pPr>
            <w:r>
              <w:rPr/>
              <w:t xml:space="preserve">Actualiza la configuración</w:t>
            </w:r>
          </w:p>
        </w:tc>
        <w:tc>
          <w:tcPr>
            <w:tcW w:w="2240" w:type="dxa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2346" w:type="dxa"/>
          </w:tcPr>
          <w:p>
            <w:pPr>
              <w:pStyle w:val="Tabla"/>
            </w:pPr>
            <w:r>
              <w:rPr/>
              <w:t xml:space="preserve">Acción, seriales, destino</w:t>
            </w:r>
          </w:p>
        </w:tc>
      </w:tr>
      <w:tr>
        <w:trPr>
          <w:cantSplit/>
        </w:trPr>
        <w:tc>
          <w:tcPr>
            <w:tcW w:w="208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Diagnóstico</w:t>
            </w:r>
          </w:p>
        </w:tc>
        <w:tc>
          <w:tcPr>
            <w:tcW w:w="297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Ninguno</w:t>
            </w:r>
          </w:p>
        </w:tc>
        <w:tc>
          <w:tcPr>
            <w:tcW w:w="224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Según el caso</w:t>
            </w:r>
          </w:p>
        </w:tc>
        <w:tc>
          <w:tcPr>
            <w:tcW w:w="2346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Estado, causa, recomendaciones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pStyle w:val="Tabla"/>
            </w:pPr>
            <w:r>
              <w:rPr>
                <w:b/>
              </w:rPr>
              <w:t xml:space="preserve">Valoración</w:t>
            </w:r>
            <w:r>
              <w:rPr/>
              <w:t xml:space="preserve"> (nuevo)</w:t>
            </w:r>
          </w:p>
        </w:tc>
        <w:tc>
          <w:tcPr>
            <w:tcW w:w="2970" w:type="dxa"/>
          </w:tcPr>
          <w:p>
            <w:pPr>
              <w:pStyle w:val="Tabla"/>
            </w:pPr>
            <w:r>
              <w:rPr/>
              <w:t xml:space="preserve">Reemplaza la valoración vigente</w:t>
            </w:r>
          </w:p>
        </w:tc>
        <w:tc>
          <w:tcPr>
            <w:tcW w:w="2240" w:type="dxa"/>
          </w:tcPr>
          <w:p>
            <w:pPr>
              <w:pStyle w:val="Tabla"/>
            </w:pPr>
            <w:r>
              <w:rPr/>
              <w:t xml:space="preserve">No (el acta va en el levantamiento)</w:t>
            </w:r>
          </w:p>
        </w:tc>
        <w:tc>
          <w:tcPr>
            <w:tcW w:w="2346" w:type="dxa"/>
          </w:tcPr>
          <w:p>
            <w:pPr>
              <w:pStyle w:val="Tabla"/>
            </w:pPr>
            <w:r>
              <w:rPr/>
              <w:t xml:space="preserve">CID, atributos, propietario, custodio</w:t>
            </w:r>
          </w:p>
        </w:tc>
      </w:tr>
      <w:tr>
        <w:trPr>
          <w:cantSplit/>
        </w:trPr>
        <w:tc>
          <w:tcPr>
            <w:tcW w:w="208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Baja</w:t>
            </w:r>
          </w:p>
        </w:tc>
        <w:tc>
          <w:tcPr>
            <w:tcW w:w="297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→ Dado de baja</w:t>
            </w:r>
          </w:p>
        </w:tc>
        <w:tc>
          <w:tcPr>
            <w:tcW w:w="224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Formato de baja</w:t>
            </w:r>
          </w:p>
        </w:tc>
        <w:tc>
          <w:tcPr>
            <w:tcW w:w="2346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Motivo, diagnóstico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pStyle w:val="Tabla"/>
            </w:pPr>
            <w:r>
              <w:rPr/>
              <w:t xml:space="preserve">Actualización de datos</w:t>
            </w:r>
          </w:p>
        </w:tc>
        <w:tc>
          <w:tcPr>
            <w:tcW w:w="2970" w:type="dxa"/>
          </w:tcPr>
          <w:p>
            <w:pPr>
              <w:pStyle w:val="Tabla"/>
            </w:pPr>
            <w:r>
              <w:rPr/>
              <w:t xml:space="preserve">Ninguno</w:t>
            </w:r>
          </w:p>
        </w:tc>
        <w:tc>
          <w:tcPr>
            <w:tcW w:w="2240" w:type="dxa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2346" w:type="dxa"/>
          </w:tcPr>
          <w:p>
            <w:pPr>
              <w:pStyle w:val="Tabla"/>
            </w:pPr>
            <w:r>
              <w:rPr/>
              <w:t xml:space="preserve">Antes y después</w:t>
            </w:r>
          </w:p>
        </w:tc>
      </w:tr>
      <w:tr>
        <w:trPr>
          <w:cantSplit/>
        </w:trPr>
        <w:tc>
          <w:tcPr>
            <w:tcW w:w="208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Anulación / aclaración</w:t>
            </w:r>
          </w:p>
        </w:tc>
        <w:tc>
          <w:tcPr>
            <w:tcW w:w="297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Revierte el evento anulado</w:t>
            </w:r>
          </w:p>
        </w:tc>
        <w:tc>
          <w:tcPr>
            <w:tcW w:w="224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No</w:t>
            </w:r>
          </w:p>
        </w:tc>
        <w:tc>
          <w:tcPr>
            <w:tcW w:w="2346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Evento y motivo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10. Casos de uso</w:t>
      </w:r>
    </w:p>
    <w:p>
      <w:pPr/>
      <w:r>
        <w:rPr/>
        <w:t xml:space="preserve">Se mantienen CU-01 a CU-15 de v3 (CU-01 cambia de fuente). Se agregan: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664"/>
        <w:gridCol w:w="4577"/>
        <w:gridCol w:w="1456"/>
        <w:gridCol w:w="1943"/>
      </w:tblGrid>
      <w:tr>
        <w:trPr>
          <w:tblHeader/>
          <w:cantSplit/>
        </w:trPr>
        <w:tc>
          <w:tcPr>
            <w:tcW w:w="1664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tcW w:w="4577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Caso de uso</w:t>
            </w:r>
          </w:p>
        </w:tc>
        <w:tc>
          <w:tcPr>
            <w:tcW w:w="1456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Actor</w:t>
            </w:r>
          </w:p>
        </w:tc>
        <w:tc>
          <w:tcPr>
            <w:tcW w:w="1943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RF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pStyle w:val="Tabla"/>
            </w:pPr>
            <w:r>
              <w:rPr/>
              <w:t xml:space="preserve">CU-01 </w:t>
            </w:r>
            <w:r>
              <w:rPr>
                <w:b/>
              </w:rPr>
              <w:t xml:space="preserve">(mod.)</w:t>
            </w:r>
          </w:p>
        </w:tc>
        <w:tc>
          <w:tcPr>
            <w:tcW w:w="4577" w:type="dxa"/>
          </w:tcPr>
          <w:p>
            <w:pPr>
              <w:pStyle w:val="Tabla"/>
            </w:pPr>
            <w:r>
              <w:rPr/>
              <w:t xml:space="preserve">Cargar datos desde la plantilla oficial (equipos, personas, valoraciones)</w:t>
            </w:r>
          </w:p>
        </w:tc>
        <w:tc>
          <w:tcPr>
            <w:tcW w:w="1456" w:type="dxa"/>
          </w:tcPr>
          <w:p>
            <w:pPr>
              <w:pStyle w:val="Tabla"/>
            </w:pPr>
            <w:r>
              <w:rPr/>
              <w:t xml:space="preserve">Usuario</w:t>
            </w:r>
          </w:p>
        </w:tc>
        <w:tc>
          <w:tcPr>
            <w:tcW w:w="1943" w:type="dxa"/>
          </w:tcPr>
          <w:p>
            <w:pPr>
              <w:pStyle w:val="Tabla"/>
            </w:pPr>
            <w:r>
              <w:rPr/>
              <w:t xml:space="preserve">RF-38 a RF-42, RF-55</w:t>
            </w:r>
          </w:p>
        </w:tc>
      </w:tr>
      <w:tr>
        <w:trPr>
          <w:cantSplit/>
        </w:trPr>
        <w:tc>
          <w:tcPr>
            <w:tcW w:w="166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CU-16</w:t>
            </w:r>
          </w:p>
        </w:tc>
        <w:tc>
          <w:tcPr>
            <w:tcW w:w="457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Valorar un activo</w:t>
            </w:r>
          </w:p>
        </w:tc>
        <w:tc>
          <w:tcPr>
            <w:tcW w:w="1456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Usuario</w:t>
            </w:r>
          </w:p>
        </w:tc>
        <w:tc>
          <w:tcPr>
            <w:tcW w:w="1943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RF-56, RF-57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pStyle w:val="Tabla"/>
            </w:pPr>
            <w:r>
              <w:rPr/>
              <w:t xml:space="preserve">CU-17</w:t>
            </w:r>
          </w:p>
        </w:tc>
        <w:tc>
          <w:tcPr>
            <w:tcW w:w="4577" w:type="dxa"/>
          </w:tcPr>
          <w:p>
            <w:pPr>
              <w:pStyle w:val="Tabla"/>
            </w:pPr>
            <w:r>
              <w:rPr/>
              <w:t xml:space="preserve">Reclasificar un activo</w:t>
            </w:r>
          </w:p>
        </w:tc>
        <w:tc>
          <w:tcPr>
            <w:tcW w:w="1456" w:type="dxa"/>
          </w:tcPr>
          <w:p>
            <w:pPr>
              <w:pStyle w:val="Tabla"/>
            </w:pPr>
            <w:r>
              <w:rPr/>
              <w:t xml:space="preserve">Usuario</w:t>
            </w:r>
          </w:p>
        </w:tc>
        <w:tc>
          <w:tcPr>
            <w:tcW w:w="1943" w:type="dxa"/>
          </w:tcPr>
          <w:p>
            <w:pPr>
              <w:pStyle w:val="Tabla"/>
            </w:pPr>
            <w:r>
              <w:rPr/>
              <w:t xml:space="preserve">RF-58</w:t>
            </w:r>
          </w:p>
        </w:tc>
      </w:tr>
      <w:tr>
        <w:trPr>
          <w:cantSplit/>
        </w:trPr>
        <w:tc>
          <w:tcPr>
            <w:tcW w:w="166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CU-18</w:t>
            </w:r>
          </w:p>
        </w:tc>
        <w:tc>
          <w:tcPr>
            <w:tcW w:w="4577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Hacer el levantamiento de activos de una dependencia</w:t>
            </w:r>
          </w:p>
        </w:tc>
        <w:tc>
          <w:tcPr>
            <w:tcW w:w="1456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Usuario</w:t>
            </w:r>
          </w:p>
        </w:tc>
        <w:tc>
          <w:tcPr>
            <w:tcW w:w="1943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RF-59, RF-53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pStyle w:val="Tabla"/>
            </w:pPr>
            <w:r>
              <w:rPr/>
              <w:t xml:space="preserve">CU-19</w:t>
            </w:r>
          </w:p>
        </w:tc>
        <w:tc>
          <w:tcPr>
            <w:tcW w:w="4577" w:type="dxa"/>
          </w:tcPr>
          <w:p>
            <w:pPr>
              <w:pStyle w:val="Tabla"/>
            </w:pPr>
            <w:r>
              <w:rPr/>
              <w:t xml:space="preserve">Administrar la estructura organizacional</w:t>
            </w:r>
          </w:p>
        </w:tc>
        <w:tc>
          <w:tcPr>
            <w:tcW w:w="1456" w:type="dxa"/>
          </w:tcPr>
          <w:p>
            <w:pPr>
              <w:pStyle w:val="Tabla"/>
            </w:pPr>
            <w:r>
              <w:rPr/>
              <w:t xml:space="preserve">Administrador</w:t>
            </w:r>
          </w:p>
        </w:tc>
        <w:tc>
          <w:tcPr>
            <w:tcW w:w="1943" w:type="dxa"/>
          </w:tcPr>
          <w:p>
            <w:pPr>
              <w:pStyle w:val="Tabla"/>
            </w:pPr>
            <w:r>
              <w:rPr/>
              <w:t xml:space="preserve">RF-45, RF-60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10.1 CU-16 · Valorar un activo</w:t>
      </w:r>
    </w:p>
    <w:p>
      <w:pPr/>
      <w:r>
        <w:rPr>
          <w:b/>
        </w:rPr>
        <w:t xml:space="preserve">Precondición:</w:t>
      </w:r>
      <w:r>
        <w:rPr/>
        <w:t xml:space="preserve"> el equipo existe, es de tipo hardware y no está dado de baja.</w:t>
      </w:r>
    </w:p>
    <w:p>
      <w:pPr>
        <w:pStyle w:val="Lista"/>
        <w:ind w:left="360" w:hanging="360"/>
      </w:pPr>
      <w:r>
        <w:rPr/>
        <w:t xml:space="preserve">1. Desde la hoja de vida, elegir «Valorar activo».</w:t>
      </w:r>
    </w:p>
    <w:p>
      <w:pPr>
        <w:pStyle w:val="Lista"/>
        <w:ind w:left="360" w:hanging="360"/>
      </w:pPr>
      <w:r>
        <w:rPr/>
        <w:t xml:space="preserve">2. Responder datos personales y su clasificación, infraestructura crítica, continuidad del negocio, tipo de ubicación y retención.</w:t>
      </w:r>
    </w:p>
    <w:p>
      <w:pPr>
        <w:pStyle w:val="Lista"/>
        <w:ind w:left="360" w:hanging="360"/>
      </w:pPr>
      <w:r>
        <w:rPr/>
        <w:t xml:space="preserve">3. Indicar los cargos del propietario (sugerido: el director de la dependencia) y del custodio.</w:t>
      </w:r>
    </w:p>
    <w:p>
      <w:pPr>
        <w:pStyle w:val="Lista"/>
        <w:ind w:left="360" w:hanging="360"/>
      </w:pPr>
      <w:r>
        <w:rPr/>
        <w:t xml:space="preserve">4. Elegir, para C, I y D, la respuesta de la escala del GT-M4; el sistema muestra el valor de 1 a 4.</w:t>
      </w:r>
    </w:p>
    <w:p>
      <w:pPr>
        <w:pStyle w:val="Lista"/>
        <w:ind w:left="360" w:hanging="360"/>
      </w:pPr>
      <w:r>
        <w:rPr/>
        <w:t xml:space="preserve">5. El sistema calcula el total y la importancia, y marca si requiere gestión de riesgos.</w:t>
      </w:r>
    </w:p>
    <w:p>
      <w:pPr>
        <w:pStyle w:val="Lista"/>
        <w:ind w:left="360" w:hanging="360"/>
      </w:pPr>
      <w:r>
        <w:rPr/>
        <w:t xml:space="preserve">6. Al guardar se crea el evento </w:t>
      </w:r>
      <w:r>
        <w:rPr>
          <w:rFonts w:ascii="Consolas" w:hAnsi="Consolas"/>
          <w:sz w:val="19"/>
        </w:rPr>
        <w:t xml:space="preserve">valoracion</w:t>
      </w:r>
      <w:r>
        <w:rPr/>
        <w:t xml:space="preserve"> y la valoración anterior deja de estar vigente.</w:t>
      </w:r>
    </w:p>
    <w:p>
      <w:pPr>
        <w:pStyle w:val="Heading2"/>
      </w:pPr>
      <w:r>
        <w:rPr/>
        <w:t xml:space="preserve">10.2 CU-18 · Levantamiento de activos de una dependencia</w:t>
      </w:r>
    </w:p>
    <w:p>
      <w:pPr>
        <w:pStyle w:val="Lista"/>
        <w:ind w:left="360" w:hanging="360"/>
      </w:pPr>
      <w:r>
        <w:rPr/>
        <w:t xml:space="preserve">1. Crear el levantamiento eligiendo dependencia, proceso y sede.</w:t>
      </w:r>
    </w:p>
    <w:p>
      <w:pPr>
        <w:pStyle w:val="Lista"/>
        <w:ind w:left="360" w:hanging="360"/>
      </w:pPr>
      <w:r>
        <w:rPr/>
        <w:t xml:space="preserve">2. El sistema lista los equipos asignados a esa dependencia (y sus subdependencias) y señala los que no tienen valoración.</w:t>
      </w:r>
    </w:p>
    <w:p>
      <w:pPr>
        <w:pStyle w:val="Lista"/>
        <w:ind w:left="360" w:hanging="360"/>
      </w:pPr>
      <w:r>
        <w:rPr/>
        <w:t xml:space="preserve">3. El técnico verifica cada equipo en sitio: serial, componentes, valoración y etiqueta QR.</w:t>
      </w:r>
    </w:p>
    <w:p>
      <w:pPr>
        <w:pStyle w:val="Lista"/>
        <w:ind w:left="360" w:hanging="360"/>
      </w:pPr>
      <w:r>
        <w:rPr/>
        <w:t xml:space="preserve">4. El sistema genera la matriz FOR.01 y el acta de aceptación prellenada.</w:t>
      </w:r>
    </w:p>
    <w:p>
      <w:pPr>
        <w:pStyle w:val="Lista"/>
        <w:ind w:left="360" w:hanging="360"/>
      </w:pPr>
      <w:r>
        <w:rPr/>
        <w:t xml:space="preserve">5. Firman el propietario y los custodios; se sube el acta y el levantamiento queda «Aceptado».</w:t>
      </w: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11. Reportes y salidas</w:t>
      </w:r>
    </w:p>
    <w:p>
      <w:pPr/>
      <w:r>
        <w:rPr>
          <w:b/>
        </w:rPr>
        <w:t xml:space="preserve">Formatos para firma:</w:t>
      </w:r>
      <w:r>
        <w:rPr/>
        <w:t xml:space="preserve"> entrega, baja y </w:t>
      </w:r>
      <w:r>
        <w:rPr>
          <w:b/>
        </w:rPr>
        <w:t xml:space="preserve">acta de aceptación de activos</w:t>
      </w:r>
      <w:r>
        <w:rPr/>
        <w:t xml:space="preserve"> (nueva).</w:t>
      </w:r>
    </w:p>
    <w:p>
      <w:pPr/>
      <w:r>
        <w:rPr>
          <w:b/>
        </w:rPr>
        <w:t xml:space="preserve">Reportes:</w:t>
      </w:r>
      <w:r>
        <w:rPr/>
        <w:t xml:space="preserve"> se mantienen los 15 de v3 y se agregan: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4155"/>
        <w:gridCol w:w="5485"/>
      </w:tblGrid>
      <w:tr>
        <w:trPr>
          <w:tblHeader/>
          <w:cantSplit/>
        </w:trPr>
        <w:tc>
          <w:tcPr>
            <w:tcW w:w="415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Reporte</w:t>
            </w:r>
          </w:p>
        </w:tc>
        <w:tc>
          <w:tcPr>
            <w:tcW w:w="5485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Pregunta</w:t>
            </w:r>
          </w:p>
        </w:tc>
      </w:tr>
      <w:tr>
        <w:trPr>
          <w:cantSplit/>
        </w:trPr>
        <w:tc>
          <w:tcPr>
            <w:tcW w:w="4155" w:type="dxa"/>
          </w:tcPr>
          <w:p>
            <w:pPr>
              <w:pStyle w:val="Tabla"/>
            </w:pPr>
            <w:r>
              <w:rPr/>
              <w:t xml:space="preserve">Matriz de inventario de activos (FOR.01)</w:t>
            </w:r>
          </w:p>
        </w:tc>
        <w:tc>
          <w:tcPr>
            <w:tcW w:w="5485" w:type="dxa"/>
          </w:tcPr>
          <w:p>
            <w:pPr>
              <w:pStyle w:val="Tabla"/>
            </w:pPr>
            <w:r>
              <w:rPr/>
              <w:t xml:space="preserve">¿Cómo queda la matriz oficial de un proceso o dependencia?</w:t>
            </w:r>
          </w:p>
        </w:tc>
      </w:tr>
      <w:tr>
        <w:trPr>
          <w:cantSplit/>
        </w:trPr>
        <w:tc>
          <w:tcPr>
            <w:tcW w:w="415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Activos que requieren gestión de riesgos</w:t>
            </w:r>
          </w:p>
        </w:tc>
        <w:tc>
          <w:tcPr>
            <w:tcW w:w="548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¿Qué activos deben pasar a la matriz de riesgos y por qué criterio?</w:t>
            </w:r>
          </w:p>
        </w:tc>
      </w:tr>
      <w:tr>
        <w:trPr>
          <w:cantSplit/>
        </w:trPr>
        <w:tc>
          <w:tcPr>
            <w:tcW w:w="4155" w:type="dxa"/>
          </w:tcPr>
          <w:p>
            <w:pPr>
              <w:pStyle w:val="Tabla"/>
            </w:pPr>
            <w:r>
              <w:rPr/>
              <w:t xml:space="preserve">Activos por importancia</w:t>
            </w:r>
          </w:p>
        </w:tc>
        <w:tc>
          <w:tcPr>
            <w:tcW w:w="5485" w:type="dxa"/>
          </w:tcPr>
          <w:p>
            <w:pPr>
              <w:pStyle w:val="Tabla"/>
            </w:pPr>
            <w:r>
              <w:rPr/>
              <w:t xml:space="preserve">¿Cuántos activos hay de importancia muy alta, alta, media y baja, por dependencia?</w:t>
            </w:r>
          </w:p>
        </w:tc>
      </w:tr>
      <w:tr>
        <w:trPr>
          <w:cantSplit/>
        </w:trPr>
        <w:tc>
          <w:tcPr>
            <w:tcW w:w="415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Garantías y vida útil</w:t>
            </w:r>
          </w:p>
        </w:tc>
        <w:tc>
          <w:tcPr>
            <w:tcW w:w="548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¿Qué garantías vencen y qué equipos superaron su vida útil?</w:t>
            </w:r>
          </w:p>
        </w:tc>
      </w:tr>
      <w:tr>
        <w:trPr>
          <w:cantSplit/>
        </w:trPr>
        <w:tc>
          <w:tcPr>
            <w:tcW w:w="4155" w:type="dxa"/>
          </w:tcPr>
          <w:p>
            <w:pPr>
              <w:pStyle w:val="Tabla"/>
            </w:pPr>
            <w:r>
              <w:rPr/>
              <w:t xml:space="preserve">Personas por retirarse con equipos a cargo</w:t>
            </w:r>
          </w:p>
        </w:tc>
        <w:tc>
          <w:tcPr>
            <w:tcW w:w="5485" w:type="dxa"/>
          </w:tcPr>
          <w:p>
            <w:pPr>
              <w:pStyle w:val="Tabla"/>
            </w:pPr>
            <w:r>
              <w:rPr/>
              <w:t xml:space="preserve">¿Quién termina contrato y aún tiene equipos?</w:t>
            </w:r>
          </w:p>
        </w:tc>
      </w:tr>
      <w:tr>
        <w:trPr>
          <w:cantSplit/>
        </w:trPr>
        <w:tc>
          <w:tcPr>
            <w:tcW w:w="415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Equipos por estructura</w:t>
            </w:r>
          </w:p>
        </w:tc>
        <w:tc>
          <w:tcPr>
            <w:tcW w:w="5485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¿Qué tiene cada secretaría, incluidas sus direcciones y áreas?</w:t>
            </w:r>
          </w:p>
        </w:tc>
      </w:tr>
    </w:tbl>
    <w:p>
      <w:pPr>
        <w:spacing w:after="60"/>
      </w:pP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12. Carga de datos</w:t>
      </w:r>
    </w:p>
    <w:p>
      <w:pPr/>
      <w:r>
        <w:rPr/>
        <w:t xml:space="preserve">Los Excel </w:t>
      </w:r>
      <w:r>
        <w:rPr>
          <w:b/>
        </w:rPr>
        <w:t xml:space="preserve">no definen el modelo</w:t>
      </w:r>
      <w:r>
        <w:rPr/>
        <w:t xml:space="preserve">; solo alimentan datos. Se hacen tres cargas, todas con vista previa, modo simulación y fila de origen:</w:t>
      </w:r>
    </w:p>
    <w:p>
      <w:pPr>
        <w:pStyle w:val="Lista"/>
        <w:ind w:left="360" w:hanging="360"/>
      </w:pPr>
      <w:r>
        <w:rPr/>
        <w:t xml:space="preserve">1. </w:t>
      </w:r>
      <w:r>
        <w:rPr>
          <w:b/>
        </w:rPr>
        <w:t xml:space="preserve">Catálogos oficiales</w:t>
      </w:r>
      <w:r>
        <w:rPr/>
        <w:t xml:space="preserve"> (seeders, no Excel): procesos, árbol de dependencias con equivalencias, municipios, sedes y pisos, ubicación de dependencias, cargos y tipos de equipo, con los valores de base-de-datos.md.</w:t>
      </w:r>
    </w:p>
    <w:p>
      <w:pPr>
        <w:pStyle w:val="Lista"/>
        <w:ind w:left="360" w:hanging="360"/>
      </w:pPr>
      <w:r>
        <w:rPr/>
        <w:t xml:space="preserve">2. </w:t>
      </w:r>
      <w:r>
        <w:rPr>
          <w:b/>
        </w:rPr>
        <w:t xml:space="preserve">Personas</w:t>
      </w:r>
      <w:r>
        <w:rPr/>
        <w:t xml:space="preserve"> desde las plantas de Talento Humano, Central y Educación, con solo las columnas permitidas (RNF-19).</w:t>
      </w:r>
    </w:p>
    <w:p>
      <w:pPr>
        <w:pStyle w:val="Lista"/>
        <w:ind w:left="360" w:hanging="360"/>
      </w:pPr>
      <w:r>
        <w:rPr/>
        <w:t xml:space="preserve">3. </w:t>
      </w:r>
      <w:r>
        <w:rPr>
          <w:b/>
        </w:rPr>
        <w:t xml:space="preserve">Equipos</w:t>
      </w:r>
      <w:r>
        <w:rPr/>
        <w:t xml:space="preserve"> desde la plantilla oficial de carga. Para el inventario 2026 se publica la tabla de correspondencia de sus columnas con la plantilla; sus 175 variantes de dependencia se resuelven con la tabla de equivalencias.</w:t>
      </w:r>
    </w:p>
    <w:p>
      <w:pPr>
        <w:pStyle w:val="Lista"/>
        <w:ind w:left="360" w:hanging="360"/>
      </w:pPr>
      <w:r>
        <w:rPr/>
        <w:t xml:space="preserve">4. </w:t>
      </w:r>
      <w:r>
        <w:rPr>
          <w:b/>
        </w:rPr>
        <w:t xml:space="preserve">Valoraciones</w:t>
      </w:r>
      <w:r>
        <w:rPr/>
        <w:t xml:space="preserve"> desde la matriz FOR.01 diligenciada por cada proceso (opcional; también se valora en pantalla).</w:t>
      </w:r>
    </w:p>
    <w:p>
      <w:pPr>
        <w:pStyle w:val="Lista"/>
        <w:ind w:left="360" w:hanging="360"/>
      </w:pPr>
      <w:r>
        <w:rPr/>
        <w:t xml:space="preserve">5. </w:t>
      </w:r>
      <w:r>
        <w:rPr>
          <w:b/>
        </w:rPr>
        <w:t xml:space="preserve">Datos de adquisición</w:t>
      </w:r>
      <w:r>
        <w:rPr/>
        <w:t xml:space="preserve"> desde el archivo de Almacén (fecha, valor, proveedor, contrato, factura), cruzando por código de activo.</w:t>
      </w:r>
    </w:p>
    <w:p>
      <w:pPr/>
      <w:r>
        <w:rPr/>
        <w:t xml:space="preserve">Todo lo cargado sin serial queda «Pendiente de verificar» y se verifica dentro de un levantamiento (CU-18), que es cuando se pega la etiqueta QR.</w:t>
      </w:r>
    </w:p>
    <w:p>
      <w:pPr/>
      <w:r>
        <w:rPr>
          <w:b/>
        </w:rPr>
        <w:t xml:space="preserve">Criterios de aceptación:</w:t>
      </w:r>
      <w:r>
        <w:rPr/>
        <w:t xml:space="preserve"> ningún catálogo como texto libre; cada equipo con su fila de origen; conteos por sede y piso comparables con los del PAMP; ninguna columna sensible de la planta guardada.</w:t>
      </w: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13. Alcance por fases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798"/>
        <w:gridCol w:w="3420"/>
        <w:gridCol w:w="3422"/>
      </w:tblGrid>
      <w:tr>
        <w:trPr>
          <w:tblHeader/>
          <w:cantSplit/>
        </w:trPr>
        <w:tc>
          <w:tcPr>
            <w:tcW w:w="279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Fase</w:t>
            </w:r>
          </w:p>
        </w:tc>
        <w:tc>
          <w:tcPr>
            <w:tcW w:w="342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Alcance</w:t>
            </w:r>
          </w:p>
        </w:tc>
        <w:tc>
          <w:tcPr>
            <w:tcW w:w="3422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RF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pStyle w:val="Tabla"/>
            </w:pPr>
            <w:r>
              <w:rPr>
                <w:b/>
              </w:rPr>
              <w:t xml:space="preserve">1 — Por cerrar</w:t>
            </w:r>
            <w:r>
              <w:rPr/>
              <w:t xml:space="preserve"> (oct-2026)</w:t>
            </w:r>
          </w:p>
        </w:tc>
        <w:tc>
          <w:tcPr>
            <w:tcW w:w="3420" w:type="dxa"/>
          </w:tcPr>
          <w:p>
            <w:pPr>
              <w:pStyle w:val="Tabla"/>
            </w:pPr>
            <w:r>
              <w:rPr/>
              <w:t xml:space="preserve">Inventario, hoja de vida, movimientos, formatos, QR, reportes, administración. Faltan fusionar los PR #9 y #10 (paso 1 de plan-fase2.md).</w:t>
            </w:r>
          </w:p>
        </w:tc>
        <w:tc>
          <w:tcPr>
            <w:tcW w:w="3422" w:type="dxa"/>
          </w:tcPr>
          <w:p>
            <w:pPr>
              <w:pStyle w:val="Tabla"/>
            </w:pPr>
            <w:r>
              <w:rPr/>
              <w:t xml:space="preserve">35 esenciales de v3</w:t>
            </w:r>
          </w:p>
        </w:tc>
      </w:tr>
      <w:tr>
        <w:trPr>
          <w:cantSplit/>
        </w:trPr>
        <w:tc>
          <w:tcPr>
            <w:tcW w:w="2798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2 — Reestructuración con fuentes oficiales</w:t>
            </w:r>
          </w:p>
        </w:tc>
        <w:tc>
          <w:tcPr>
            <w:tcW w:w="34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Modelo v4, catálogos oficiales, personas desde la planta, ficha ampliada, valoración GT-M4, levantamiento con acta, matriz FOR.01, cargas nuevas, y los «importantes» de v3 que más pesan</w:t>
            </w:r>
          </w:p>
        </w:tc>
        <w:tc>
          <w:tcPr>
            <w:tcW w:w="342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RF-01, 02, 04, 07, 09, 10, 12, 18, 19, 34, 37, 38, 39, 44, 45, 53 a 58, 60 (esenciales), más RF-23, 26, 33, 36, 47, 49, 51, 52, 59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pStyle w:val="Tabla"/>
            </w:pPr>
            <w:r>
              <w:rPr>
                <w:b/>
              </w:rPr>
              <w:t xml:space="preserve">3 — Consolidación</w:t>
            </w:r>
          </w:p>
        </w:tc>
        <w:tc>
          <w:tcPr>
            <w:tcW w:w="3420" w:type="dxa"/>
          </w:tcPr>
          <w:p>
            <w:pPr>
              <w:pStyle w:val="Tabla"/>
            </w:pPr>
            <w:r>
              <w:rPr/>
              <w:t xml:space="preserve">Puestos de trabajo, fotos, historial por fecha, tipos de evento configurables, destino de lo retirado, listado de bajas, cargas posteriores</w:t>
            </w:r>
          </w:p>
        </w:tc>
        <w:tc>
          <w:tcPr>
            <w:tcW w:w="3422" w:type="dxa"/>
          </w:tcPr>
          <w:p>
            <w:pPr>
              <w:pStyle w:val="Tabla"/>
            </w:pPr>
            <w:r>
              <w:rPr/>
              <w:t xml:space="preserve">RF-05, 06, 13, 16, 17, 27, 31, 42</w:t>
            </w:r>
          </w:p>
        </w:tc>
      </w:tr>
      <w:tr>
        <w:trPr>
          <w:cantSplit/>
        </w:trPr>
        <w:tc>
          <w:tcPr>
            <w:tcW w:w="2798" w:type="dxa"/>
            <w:shd w:val="clear" w:color="auto" w:fill="F3F5F8"/>
          </w:tcPr>
          <w:p>
            <w:pPr>
              <w:pStyle w:val="Tabla"/>
            </w:pPr>
            <w:r>
              <w:rPr>
                <w:b/>
              </w:rPr>
              <w:t xml:space="preserve">4 — Mejoras</w:t>
            </w:r>
          </w:p>
        </w:tc>
        <w:tc>
          <w:tcPr>
            <w:tcW w:w="342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Firma en pantalla</w:t>
            </w:r>
          </w:p>
        </w:tc>
        <w:tc>
          <w:tcPr>
            <w:tcW w:w="3422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RF-32</w:t>
            </w:r>
          </w:p>
        </w:tc>
      </w:tr>
    </w:tbl>
    <w:p>
      <w:pPr>
        <w:spacing w:after="60"/>
      </w:pPr>
    </w:p>
    <w:p>
      <w:pPr/>
      <w:r>
        <w:rPr/>
        <w:t xml:space="preserve">El reparto de la Fase 2 está en plan-fase2.md.</w:t>
      </w:r>
    </w:p>
    <w:p>
      <w:pPr>
        <w:pBdr>
          <w:bottom w:val="single" w:sz="6" w:space="1" w:color="C9CFD8"/>
        </w:pBdr>
      </w:pPr>
    </w:p>
    <w:p>
      <w:pPr>
        <w:pStyle w:val="Heading1"/>
      </w:pPr>
      <w:r>
        <w:rPr/>
        <w:t xml:space="preserve">14. Preguntas abiertas</w:t>
      </w:r>
    </w:p>
    <w:tbl>
      <w:tblPr>
        <w:tblW w:w="964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0"/>
        <w:gridCol w:w="3058"/>
        <w:gridCol w:w="3058"/>
        <w:gridCol w:w="2624"/>
      </w:tblGrid>
      <w:tr>
        <w:trPr>
          <w:tblHeader/>
          <w:cantSplit/>
        </w:trPr>
        <w:tc>
          <w:tcPr>
            <w:tcW w:w="900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#</w:t>
            </w:r>
          </w:p>
        </w:tc>
        <w:tc>
          <w:tcPr>
            <w:tcW w:w="305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Pregunta</w:t>
            </w:r>
          </w:p>
        </w:tc>
        <w:tc>
          <w:tcPr>
            <w:tcW w:w="3058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Supuesto actual</w:t>
            </w:r>
          </w:p>
        </w:tc>
        <w:tc>
          <w:tcPr>
            <w:tcW w:w="2624" w:type="dxa"/>
            <w:shd w:val="clear" w:color="auto" w:fill="1F3A5F"/>
          </w:tcPr>
          <w:p>
            <w:pPr>
              <w:pStyle w:val="Tabla"/>
            </w:pPr>
            <w:r>
              <w:rPr>
                <w:color w:val="FFFFFF"/>
                <w:b/>
              </w:rPr>
              <w:t xml:space="preserve">Qué cambia si es distinto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1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¿Entran los equipos de las instituciones educativas?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No por ahora</w:t>
            </w:r>
          </w:p>
        </w:tc>
        <w:tc>
          <w:tcPr>
            <w:tcW w:w="2624" w:type="dxa"/>
          </w:tcPr>
          <w:p>
            <w:pPr>
              <w:pStyle w:val="Tabla"/>
            </w:pPr>
            <w:r>
              <w:rPr/>
              <w:t xml:space="preserve">Cientos de sedes nuevas en 71 municipios; carga y verificación mucho más grandes.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2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¿Solo hardware y soporte, o todos los tipos de activo del GT-M4?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Solo hardware y soporte</w:t>
            </w:r>
          </w:p>
        </w:tc>
        <w:tc>
          <w:tcPr>
            <w:tcW w:w="262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Haría falta una ficha de activo sin serial ni componentes.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3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¿El propietario y el custodio se registran como cargo o como persona?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Cargo en la valoración, persona en el acta</w:t>
            </w:r>
          </w:p>
        </w:tc>
        <w:tc>
          <w:tcPr>
            <w:tcW w:w="2624" w:type="dxa"/>
          </w:tcPr>
          <w:p>
            <w:pPr>
              <w:pStyle w:val="Tabla"/>
            </w:pPr>
            <w:r>
              <w:rPr/>
              <w:t xml:space="preserve">Cambia </w:t>
            </w:r>
            <w:r>
              <w:rPr>
                <w:rFonts w:ascii="Consolas" w:hAnsi="Consolas"/>
                <w:sz w:val="19"/>
              </w:rPr>
              <w:t xml:space="preserve">valoraciones_activo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4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Tipo de cada proceso según el mapa del SIG.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Tabla 5.1 de base-de-datos.md</w:t>
            </w:r>
          </w:p>
        </w:tc>
        <w:tc>
          <w:tcPr>
            <w:tcW w:w="262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Solo cambia el seeder.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5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Tenencia de Morindó, Victoria Char, Places Mall; ¿Suricentro sigue en uso?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Por confirmar</w:t>
            </w:r>
          </w:p>
        </w:tc>
        <w:tc>
          <w:tcPr>
            <w:tcW w:w="2624" w:type="dxa"/>
          </w:tcPr>
          <w:p>
            <w:pPr>
              <w:pStyle w:val="Tabla"/>
            </w:pPr>
            <w:r>
              <w:rPr/>
              <w:t xml:space="preserve">Solo cambia el seeder.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6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¿De quién dependen Pensiones, Biblioparque y el Grupo Anticontrabando?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Ver base-de-datos.md 5.2</w:t>
            </w:r>
          </w:p>
        </w:tc>
        <w:tc>
          <w:tcPr>
            <w:tcW w:w="262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Solo cambia el árbol.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7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¿Qué código del SIG llevarán los formatos (entrega, baja, acta de aceptación)?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Sin código</w:t>
            </w:r>
          </w:p>
        </w:tc>
        <w:tc>
          <w:tcPr>
            <w:tcW w:w="2624" w:type="dxa"/>
          </w:tcPr>
          <w:p>
            <w:pPr>
              <w:pStyle w:val="Tabla"/>
            </w:pPr>
            <w:r>
              <w:rPr/>
              <w:t xml:space="preserve">Encabezado de los PDF (RNF-21).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8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¿Quién suministra los datos de adquisición (Almacén) y en qué formato?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Excel de Almacén</w:t>
            </w:r>
          </w:p>
        </w:tc>
        <w:tc>
          <w:tcPr>
            <w:tcW w:w="262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Plantilla de carga.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9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¿El traslado sigue con dos documentos o uno?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Ambos</w:t>
            </w:r>
          </w:p>
        </w:tc>
        <w:tc>
          <w:tcPr>
            <w:tcW w:w="2624" w:type="dxa"/>
          </w:tcPr>
          <w:p>
            <w:pPr>
              <w:pStyle w:val="Tabla"/>
            </w:pPr>
            <w:r>
              <w:rPr/>
              <w:t xml:space="preserve">(Igual que en v3.)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10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¿Vista pública reducida al escanear el QR?</w:t>
            </w:r>
          </w:p>
        </w:tc>
        <w:tc>
          <w:tcPr>
            <w:tcW w:w="3058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Solo con sesión</w:t>
            </w:r>
          </w:p>
        </w:tc>
        <w:tc>
          <w:tcPr>
            <w:tcW w:w="2624" w:type="dxa"/>
            <w:shd w:val="clear" w:color="auto" w:fill="F3F5F8"/>
          </w:tcPr>
          <w:p>
            <w:pPr>
              <w:pStyle w:val="Tabla"/>
            </w:pPr>
            <w:r>
              <w:rPr/>
              <w:t xml:space="preserve">(Igual que en v3.)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a"/>
            </w:pPr>
            <w:r>
              <w:rPr/>
              <w:t xml:space="preserve">11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Funciones de la Dirección TICS y del Almacén General en el Decreto 608 (págs. 334 a 353).</w:t>
            </w:r>
          </w:p>
        </w:tc>
        <w:tc>
          <w:tcPr>
            <w:tcW w:w="3058" w:type="dxa"/>
          </w:tcPr>
          <w:p>
            <w:pPr>
              <w:pStyle w:val="Tabla"/>
            </w:pPr>
            <w:r>
              <w:rPr/>
              <w:t xml:space="preserve">No leídas: la herramienta solo extrajo las 80 primeras páginas de 639</w:t>
            </w:r>
          </w:p>
        </w:tc>
        <w:tc>
          <w:tcPr>
            <w:tcW w:w="2624" w:type="dxa"/>
          </w:tcPr>
          <w:p>
            <w:pPr>
              <w:pStyle w:val="Tabla"/>
            </w:pPr>
            <w:r>
              <w:rPr/>
              <w:t xml:space="preserve">Podrían asignar responsabilidades del inventario y de la baja.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Próximos pasos</w:t>
      </w:r>
    </w:p>
    <w:p>
      <w:pPr>
        <w:pStyle w:val="Lista"/>
      </w:pPr>
      <w:r>
        <w:rPr/>
        <w:t xml:space="preserve">☐ Revisar v4.1 y el modelo de datos con el profesor y cerrar las preguntas 1 a 3.</w:t>
      </w:r>
    </w:p>
    <w:p>
      <w:pPr>
        <w:pStyle w:val="Lista"/>
      </w:pPr>
      <w:r>
        <w:rPr/>
        <w:t xml:space="preserve">☐ Aprobar el modelo v4 y crear las migraciones (líder).</w:t>
      </w:r>
    </w:p>
    <w:p>
      <w:pPr>
        <w:pStyle w:val="Lista"/>
      </w:pPr>
      <w:r>
        <w:rPr/>
        <w:t xml:space="preserve">☐ Pedir a Talento Humano el procedimiento de entrega de la planta (con autorización de tratamiento de datos).</w:t>
      </w:r>
    </w:p>
    <w:p>
      <w:pPr>
        <w:pStyle w:val="Lista"/>
      </w:pPr>
      <w:r>
        <w:rPr/>
        <w:t xml:space="preserve">☐ Pedir a Almacén los datos de adquisición y la base de códigos de activo.</w:t>
      </w:r>
    </w:p>
    <w:p>
      <w:pPr>
        <w:pStyle w:val="Lista"/>
      </w:pPr>
      <w:r>
        <w:rPr/>
        <w:t xml:space="preserve">☐ Leer las páginas 334 a 353 del Decreto 608.</w:t>
      </w:r>
    </w:p>
    <w:p>
      <w:pPr>
        <w:pStyle w:val="Lista"/>
      </w:pPr>
      <w:r>
        <w:rPr/>
        <w:t xml:space="preserve">☐ Arrancar la Fase 2 según plan-fase2.md.</w:t>
      </w:r>
    </w:p>
    <w:p>
      <w:pPr>
        <w:pBdr>
          <w:bottom w:val="single" w:sz="6" w:space="1" w:color="C9CFD8"/>
        </w:pBdr>
      </w:pPr>
    </w:p>
    <w:p>
      <w:pPr/>
      <w:r>
        <w:rPr>
          <w:b/>
        </w:rPr>
        <w:t xml:space="preserve">Ver también:</w:t>
      </w:r>
      <w:r>
        <w:rPr/>
        <w:t xml:space="preserve"> Base de datos v4 · Plan de Fase 2 · Normas de trabajo</w:t>
      </w:r>
    </w:p>
    <w:sectPr>
      <w:footerReference w:type="default" r:id="rIdF"/>
      <w:pgSz w:w="12240" w:h="15840"/>
      <w:pgMar w:top="1300" w:right="1300" w:bottom="1300" w:left="1300" w:header="7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  <w:color w:val="5B6472"/>
      </w:rPr>
      <w:t xml:space="preserve">Gobernación de Córdoba · Dirección TIC · Análisis de requerimientos v4.1 · Página </w:t>
    </w:r>
    <w:r>
      <w:rPr>
        <w:sz w:val="16"/>
        <w:color w:val="5B6472"/>
      </w:rPr>
      <w:fldChar w:fldCharType="begin"/>
    </w:r>
    <w:r>
      <w:rPr>
        <w:sz w:val="16"/>
        <w:color w:val="5B6472"/>
      </w:rPr>
      <w:instrText xml:space="preserve"> PAGE </w:instrText>
    </w:r>
    <w:r>
      <w:rPr>
        <w:sz w:val="16"/>
        <w:color w:val="5B6472"/>
      </w:rPr>
      <w:fldChar w:fldCharType="separate"/>
    </w:r>
    <w:r>
      <w:rPr>
        <w:sz w:val="16"/>
        <w:color w:val="5B6472"/>
      </w:rPr>
      <w:t>1</w:t>
    </w:r>
    <w:r>
      <w:rPr>
        <w:sz w:val="16"/>
        <w:color w:val="5B6472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270"/>
      </w:pPr>
    </w:lvl>
    <w:lvl w:ilvl="1">
      <w:start w:val="1"/>
      <w:numFmt w:val="bullet"/>
      <w:lvlText w:val="–"/>
      <w:lvlJc w:val="left"/>
      <w:pPr>
        <w:ind w:left="72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lang w:val="es-CO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160"/>
      <w:outlineLvl w:val="0"/>
    </w:pPr>
    <w:rPr>
      <w:b/>
      <w:color w:val="1F3A5F"/>
      <w:sz w:val="40"/>
    </w:rPr>
  </w:style>
  <w:style w:type="paragraph" w:styleId="Heading1">
    <w:name w:val="heading 1"/>
    <w:basedOn w:val="Normal"/>
    <w:qFormat/>
    <w:pPr>
      <w:keepNext/>
      <w:spacing w:before="360" w:after="120"/>
      <w:pBdr>
        <w:bottom w:val="single" w:sz="8" w:space="2" w:color="2563EB"/>
      </w:pBdr>
      <w:outlineLvl w:val="0"/>
    </w:pPr>
    <w:rPr>
      <w:b/>
      <w:color w:val="1F3A5F"/>
      <w:sz w:val="30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563EB"/>
      <w:sz w:val="25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F3A5F"/>
      <w:sz w:val="22"/>
    </w:rPr>
  </w:style>
  <w:style w:type="paragraph" w:styleId="Tabla">
    <w:name w:val="Texto tabla"/>
    <w:basedOn w:val="Normal"/>
    <w:qFormat/>
    <w:pPr>
      <w:spacing w:after="0" w:line="240" w:lineRule="auto"/>
    </w:pPr>
    <w:rPr>
      <w:sz w:val="18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3F5F8"/>
    </w:pPr>
    <w:rPr>
      <w:rFonts w:ascii="Consolas" w:hAnsi="Consolas"/>
      <w:sz w:val="16"/>
    </w:rPr>
  </w:style>
  <w:style w:type="paragraph" w:styleId="Nota">
    <w:name w:val="Nota"/>
    <w:basedOn w:val="Normal"/>
    <w:qFormat/>
    <w:pPr>
      <w:ind w:left="240"/>
      <w:pBdr>
        <w:left w:val="single" w:sz="18" w:space="8" w:color="2563EB"/>
      </w:pBdr>
    </w:pPr>
    <w:rPr>
      <w:i/>
      <w:color w:val="5B6472"/>
    </w:rPr>
  </w:style>
  <w:style w:type="paragraph" w:styleId="Lista">
    <w:name w:val="Lista"/>
    <w:basedOn w:val="Normal"/>
    <w:qFormat/>
    <w:pPr>
      <w:spacing w:after="60"/>
    </w:pPr>
    <w:rPr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N" Type="http://schemas.openxmlformats.org/officeDocument/2006/relationships/numbering" Target="numbering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de requerimientos v4.1 — Hoja de Vida de Activos Tecnológicos</dc:title>
  <dc:creator>Dirección TIC · Gobernación de Córdoba</dc:creator>
  <dc:language>es-CO</dc:language>
  <dcterms:created xsi:type="dcterms:W3CDTF">2026-10-17T00:00:00Z</dcterms:created>
</cp:coreProperties>
</file>