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/>
        <w:t xml:space="preserve">Análisis de requerimientos — Sistema de Hoja de Vida de Activos Tecnológicos</w:t>
      </w:r>
    </w:p>
    <w:p>
      <w:pPr/>
      <w:r>
        <w:rPr>
          <w:b/>
        </w:rPr>
        <w:t xml:space="preserve">Gobernación de Córdoba · Dirección TIC · Versión 4</w:t>
      </w:r>
    </w:p>
    <w:p>
      <w:pPr/>
      <w:r>
        <w:rPr/>
        <w:t xml:space="preserve">17 de octubre de 2026 · Jhon (líder) · @JWRCompany</w:t>
      </w:r>
    </w:p>
    <w:p>
      <w:pPr>
        <w:pStyle w:val="Nota"/>
      </w:pPr>
      <w:r>
        <w:rPr/>
        <w:t xml:space="preserve">Documento de referencia permanente del proyecto. La versión 4 cambia la </w:t>
      </w:r>
      <w:r>
        <w:rPr>
          <w:b/>
        </w:rPr>
        <w:t xml:space="preserve">fuente</w:t>
      </w:r>
      <w:r>
        <w:rPr/>
        <w:t xml:space="preserve"> del análisis: deja de construirse a partir del Excel del inventario 2026 y pasa a apoyarse en la documentación oficial de la Gobernación (sección 2). El modelo de datos completo está en base-de-datos.md.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1. Introducción</w:t>
      </w:r>
    </w:p>
    <w:p>
      <w:pPr/>
      <w:r>
        <w:rPr/>
        <w:t xml:space="preserve">El sistema es una aplicación web que lleva la </w:t>
      </w:r>
      <w:r>
        <w:rPr>
          <w:b/>
        </w:rPr>
        <w:t xml:space="preserve">hoja de vida de cada activo tecnológico</w:t>
      </w:r>
      <w:r>
        <w:rPr/>
        <w:t xml:space="preserve"> de la Gobernación de Córdoba, desde su ingreso hasta su baja. Su ficha sigue la estructura oficial del inventario de activos (Manual GT-M4 y formato FOR.01). Ubica cada activo en la estructura organizacional vigente (Decreto 609 de 2023) y en las sedes reales, asigna sus responsables con el catálogo oficial de cargos (Decreto 607 de 2023) y registra el mantenimiento preventivo según el Programa Anual de Mantenimiento.</w:t>
      </w:r>
    </w:p>
    <w:p>
      <w:pPr>
        <w:pStyle w:val="Heading2"/>
      </w:pPr>
      <w:r>
        <w:rPr/>
        <w:t xml:space="preserve">1.1 Propósito</w:t>
      </w:r>
    </w:p>
    <w:p>
      <w:pPr/>
      <w:r>
        <w:rPr/>
        <w:t xml:space="preserve">Responder, con evidencia y en un solo lugar:</w:t>
      </w:r>
    </w:p>
    <w:p>
      <w:pPr>
        <w:pStyle w:val="Lista"/>
        <w:ind w:left="360" w:hanging="360"/>
      </w:pPr>
      <w:r>
        <w:rPr/>
        <w:t xml:space="preserve">1. Qué activos tecnológicos tiene la entidad y cuánto valen para ella (valoración CID).</w:t>
      </w:r>
    </w:p>
    <w:p>
      <w:pPr>
        <w:pStyle w:val="Lista"/>
        <w:ind w:left="360" w:hanging="360"/>
      </w:pPr>
      <w:r>
        <w:rPr/>
        <w:t xml:space="preserve">2. Dónde están (sede, piso, dependencia) y quién responde por ellos (responsable, propietario, custodio).</w:t>
      </w:r>
    </w:p>
    <w:p>
      <w:pPr>
        <w:pStyle w:val="Lista"/>
        <w:ind w:left="360" w:hanging="360"/>
      </w:pPr>
      <w:r>
        <w:rPr/>
        <w:t xml:space="preserve">3. Qué se les ha hecho: traslados, cambios de componentes, mantenimientos, diagnósticos.</w:t>
      </w:r>
    </w:p>
    <w:p>
      <w:pPr>
        <w:pStyle w:val="Lista"/>
        <w:ind w:left="360" w:hanging="360"/>
      </w:pPr>
      <w:r>
        <w:rPr/>
        <w:t xml:space="preserve">4. Cuáles salieron de servicio y por qué.</w:t>
      </w:r>
    </w:p>
    <w:p>
      <w:pPr>
        <w:pStyle w:val="Heading2"/>
      </w:pPr>
      <w:r>
        <w:rPr/>
        <w:t xml:space="preserve">1.2 Alcance</w:t>
      </w:r>
    </w:p>
    <w:p>
      <w:pPr/>
      <w:r>
        <w:rPr>
          <w:b/>
        </w:rPr>
        <w:t xml:space="preserve">Incluido:</w:t>
      </w:r>
    </w:p>
    <w:p>
      <w:pPr>
        <w:pStyle w:val="Lista"/>
        <w:numPr>
          <w:ilvl w:val="0"/>
          <w:numId w:val="1"/>
        </w:numPr>
      </w:pPr>
      <w:r>
        <w:rPr/>
        <w:t xml:space="preserve">Registro y ficha de cada activo de tipo </w:t>
      </w:r>
      <w:r>
        <w:rPr>
          <w:b/>
        </w:rPr>
        <w:t xml:space="preserve">hardware</w:t>
      </w:r>
      <w:r>
        <w:rPr/>
        <w:t xml:space="preserve"> y </w:t>
      </w:r>
      <w:r>
        <w:rPr>
          <w:b/>
        </w:rPr>
        <w:t xml:space="preserve">soporte</w:t>
      </w:r>
      <w:r>
        <w:rPr/>
        <w:t xml:space="preserve"> (GT-M4, tabla 2): computadores, portátiles, servidores, monitores, impresoras, escáneres, equipos de red, NAS, videograbadores, cámaras, control de acceso, video beam, telefonía, UPS, plantas eléctricas y aires de cuartos técnicos.</w:t>
      </w:r>
    </w:p>
    <w:p>
      <w:pPr>
        <w:pStyle w:val="Lista"/>
        <w:numPr>
          <w:ilvl w:val="0"/>
          <w:numId w:val="1"/>
        </w:numPr>
      </w:pPr>
      <w:r>
        <w:rPr/>
        <w:t xml:space="preserve">Datos de adquisición, garantía y propiedad (Gobernación o tercero).</w:t>
      </w:r>
    </w:p>
    <w:p>
      <w:pPr>
        <w:pStyle w:val="Lista"/>
        <w:numPr>
          <w:ilvl w:val="0"/>
          <w:numId w:val="1"/>
        </w:numPr>
      </w:pPr>
      <w:r>
        <w:rPr>
          <w:b/>
        </w:rPr>
        <w:t xml:space="preserve">Clasificación y valoración del activo</w:t>
      </w:r>
      <w:r>
        <w:rPr/>
        <w:t xml:space="preserve"> según GT-M4: datos personales, infraestructura crítica, continuidad del negocio, propietario, custodio, retención y calificación de confidencialidad, integridad y disponibilidad.</w:t>
      </w:r>
    </w:p>
    <w:p>
      <w:pPr>
        <w:pStyle w:val="Lista"/>
        <w:numPr>
          <w:ilvl w:val="0"/>
          <w:numId w:val="1"/>
        </w:numPr>
      </w:pPr>
      <w:r>
        <w:rPr/>
        <w:t xml:space="preserve">Historial de eventos inmutable: alta, traslado, cambio de componente, </w:t>
      </w:r>
      <w:r>
        <w:rPr>
          <w:b/>
        </w:rPr>
        <w:t xml:space="preserve">mantenimiento</w:t>
      </w:r>
      <w:r>
        <w:rPr/>
        <w:t xml:space="preserve">, diagnóstico, </w:t>
      </w:r>
      <w:r>
        <w:rPr>
          <w:b/>
        </w:rPr>
        <w:t xml:space="preserve">valoración</w:t>
      </w:r>
      <w:r>
        <w:rPr/>
        <w:t xml:space="preserve">, baja.</w:t>
      </w:r>
    </w:p>
    <w:p>
      <w:pPr>
        <w:pStyle w:val="Lista"/>
        <w:numPr>
          <w:ilvl w:val="0"/>
          <w:numId w:val="1"/>
        </w:numPr>
      </w:pPr>
      <w:r>
        <w:rPr>
          <w:b/>
        </w:rPr>
        <w:t xml:space="preserve">Mantenimiento preventivo y correctivo</w:t>
      </w:r>
      <w:r>
        <w:rPr/>
        <w:t xml:space="preserve">: plan anual, programación por dependencia y mes, ejecución y cumplimiento. *(Cambio frente a v3, que lo excluía.)*</w:t>
      </w:r>
    </w:p>
    <w:p>
      <w:pPr>
        <w:pStyle w:val="Lista"/>
        <w:numPr>
          <w:ilvl w:val="0"/>
          <w:numId w:val="1"/>
        </w:numPr>
      </w:pPr>
      <w:r>
        <w:rPr/>
        <w:t xml:space="preserve">Levantamiento de activos por proceso con acta de aceptación firmada (GT-M4 4.1).</w:t>
      </w:r>
    </w:p>
    <w:p>
      <w:pPr>
        <w:pStyle w:val="Lista"/>
        <w:numPr>
          <w:ilvl w:val="0"/>
          <w:numId w:val="1"/>
        </w:numPr>
      </w:pPr>
      <w:r>
        <w:rPr/>
        <w:t xml:space="preserve">Formatos firmados (entrega, baja y mantenimiento), código QR y etiquetas.</w:t>
      </w:r>
    </w:p>
    <w:p>
      <w:pPr>
        <w:pStyle w:val="Lista"/>
        <w:numPr>
          <w:ilvl w:val="0"/>
          <w:numId w:val="1"/>
        </w:numPr>
      </w:pPr>
      <w:r>
        <w:rPr/>
        <w:t xml:space="preserve">Estructura organizacional oficial, sedes con sus pisos y personas responsables con datos mínimos.</w:t>
      </w:r>
    </w:p>
    <w:p>
      <w:pPr>
        <w:pStyle w:val="Lista"/>
        <w:numPr>
          <w:ilvl w:val="0"/>
          <w:numId w:val="1"/>
        </w:numPr>
      </w:pPr>
      <w:r>
        <w:rPr/>
        <w:t xml:space="preserve">Carga de datos desde Excel con plantilla oficial: equipos, personas y valoraciones.</w:t>
      </w:r>
    </w:p>
    <w:p>
      <w:pPr>
        <w:pStyle w:val="Lista"/>
        <w:numPr>
          <w:ilvl w:val="0"/>
          <w:numId w:val="1"/>
        </w:numPr>
      </w:pPr>
      <w:r>
        <w:rPr/>
        <w:t xml:space="preserve">Consultas, reportes y exportación de la matriz de activos en el formato FOR.01.</w:t>
      </w:r>
    </w:p>
    <w:p>
      <w:pPr/>
      <w:r>
        <w:rPr>
          <w:b/>
        </w:rPr>
        <w:t xml:space="preserve">Excluido:</w:t>
      </w:r>
    </w:p>
    <w:p>
      <w:pPr>
        <w:pStyle w:val="Lista"/>
        <w:numPr>
          <w:ilvl w:val="0"/>
          <w:numId w:val="1"/>
        </w:numPr>
      </w:pPr>
      <w:r>
        <w:rPr/>
        <w:t xml:space="preserve">Activos de información que no son equipos (software, bases de datos, servicios, información física o electrónica, personas, instalaciones e intangibles). El GT-M4 los incluye, pero no tienen hoja de vida de equipo; ver pregunta abierta 3.</w:t>
      </w:r>
    </w:p>
    <w:p>
      <w:pPr>
        <w:pStyle w:val="Lista"/>
        <w:numPr>
          <w:ilvl w:val="0"/>
          <w:numId w:val="1"/>
        </w:numPr>
      </w:pPr>
      <w:r>
        <w:rPr/>
        <w:t xml:space="preserve">Equipos de las instituciones educativas (166 IE, 201 sedes), hasta que se decida lo contrario (pregunta 2).</w:t>
      </w:r>
    </w:p>
    <w:p>
      <w:pPr>
        <w:pStyle w:val="Lista"/>
        <w:numPr>
          <w:ilvl w:val="0"/>
          <w:numId w:val="1"/>
        </w:numPr>
      </w:pPr>
      <w:r>
        <w:rPr/>
        <w:t xml:space="preserve">Equipos personales de los funcionarios.</w:t>
      </w:r>
    </w:p>
    <w:p>
      <w:pPr>
        <w:pStyle w:val="Lista"/>
        <w:numPr>
          <w:ilvl w:val="0"/>
          <w:numId w:val="1"/>
        </w:numPr>
      </w:pPr>
      <w:r>
        <w:rPr/>
        <w:t xml:space="preserve">Gestión de riesgos e incidentes de seguridad: el sistema solo </w:t>
      </w:r>
      <w:r>
        <w:rPr>
          <w:b/>
        </w:rPr>
        <w:t xml:space="preserve">marca</w:t>
      </w:r>
      <w:r>
        <w:rPr/>
        <w:t xml:space="preserve"> los activos que deben pasar a la matriz de riesgos (GT-M4 4.2.6), no la administra.</w:t>
      </w:r>
    </w:p>
    <w:p>
      <w:pPr>
        <w:pStyle w:val="Lista"/>
        <w:numPr>
          <w:ilvl w:val="0"/>
          <w:numId w:val="1"/>
        </w:numPr>
      </w:pPr>
      <w:r>
        <w:rPr/>
        <w:t xml:space="preserve">Contabilidad del Almacén, mesa de ayuda y monitoreo de red.</w:t>
      </w:r>
    </w:p>
    <w:p>
      <w:pPr>
        <w:pStyle w:val="Heading2"/>
      </w:pPr>
      <w:r>
        <w:rPr/>
        <w:t xml:space="preserve">1.3 Control de versiones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85"/>
        <w:gridCol w:w="7855"/>
      </w:tblGrid>
      <w:tr>
        <w:trPr>
          <w:tblHeader/>
          <w:cantSplit/>
        </w:trPr>
        <w:tc>
          <w:tcPr>
            <w:tcW w:w="178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Versión</w:t>
            </w:r>
          </w:p>
        </w:tc>
        <w:tc>
          <w:tcPr>
            <w:tcW w:w="785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Cambios principales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/>
              <w:t xml:space="preserve">1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Análisis inicial a partir del inventario 2026 y la primera reunión con el jefe.</w:t>
            </w:r>
          </w:p>
        </w:tc>
      </w:tr>
      <w:tr>
        <w:trPr>
          <w:cantSplit/>
        </w:trPr>
        <w:tc>
          <w:tcPr>
            <w:tcW w:w="17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2</w:t>
            </w:r>
          </w:p>
        </w:tc>
        <w:tc>
          <w:tcPr>
            <w:tcW w:w="78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Administrador y usuarios, dos formatos, traslado con dos firmas, mantenimiento fuera del alcance, componentes, serial y código de activo, terceros.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/>
              <w:t xml:space="preserve">3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Códigos QR (RF-08 esencial, RF-48 a RF-51).</w:t>
            </w:r>
          </w:p>
        </w:tc>
      </w:tr>
      <w:tr>
        <w:trPr>
          <w:cantSplit/>
        </w:trPr>
        <w:tc>
          <w:tcPr>
            <w:tcW w:w="1785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4</w:t>
            </w:r>
          </w:p>
        </w:tc>
        <w:tc>
          <w:tcPr>
            <w:tcW w:w="7855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Cambio de fuente:</w:t>
            </w:r>
            <w:r>
              <w:rPr/>
              <w:t xml:space="preserve"> documentación oficial en lugar del Excel 2026, que solo se usa para cargar datos. Estructura organizacional jerárquica, sedes reales con sus pisos, catálogo oficial de cargos, valoración GT-M4, datos de adquisición, mantenimiento preventivo dentro del alcance, levantamiento con acta. RF-52 a RF-65, RN-20 a RN-29, modelo de datos v4.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1.4 Definiciones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20"/>
        <w:gridCol w:w="4820"/>
      </w:tblGrid>
      <w:tr>
        <w:trPr>
          <w:tblHeader/>
          <w:cantSplit/>
        </w:trPr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Término</w:t>
            </w:r>
          </w:p>
        </w:tc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Activo de información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Lo que tiene valor para la entidad y contiene o manipula información (GT-M4). En este sistema: los de tipo hardware y soporte.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Equipo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Activo tecnológico individual con hoja de vida propia.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Activo de soporte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Componente físico que no contiene información pero sostiene su disponibilidad: UPS, aire acondicionado, planta eléctrica. No se clasifica por información (GT-M4).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Propietario del activo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Director o líder del proceso donde está el activo. Identifica, actualiza y mantiene sus activos (GT-M4).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Custodio del activo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Cargo que administra el activo y aplica los controles que define el propietario (GT-M4).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Funcionario o contratista que tiene el equipo a cargo y firma su entrega.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Valoración CID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Calificación de 1 a 4 de confidencialidad, integridad y disponibilidad; su suma (3 a 12) da la importancia (GT-M4, tablas 3 a 6).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Levantamiento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Identificación y valoración de los activos de un proceso, cerrada con un acta firmada por el propietario y los custodios (GT-M4 4.1).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PAMP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Programa Anual de Mantenimiento Preventivo de la Dirección TIC.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Dependencia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Unidad de la estructura del Decreto 609: despacho, secretaría, departamento administrativo, oficina, dirección o área.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Sede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Edificio donde funciona la entidad («sucursal» en el GT-M4). Cada sede tiene sus pisos.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Serial</w:t>
            </w:r>
            <w:r>
              <w:rPr/>
              <w:t xml:space="preserve">, </w:t>
            </w:r>
            <w:r>
              <w:rPr>
                <w:b/>
              </w:rPr>
              <w:t xml:space="preserve">código de activo</w:t>
            </w:r>
            <w:r>
              <w:rPr/>
              <w:t xml:space="preserve">, </w:t>
            </w:r>
            <w:r>
              <w:rPr>
                <w:b/>
              </w:rPr>
              <w:t xml:space="preserve">QR</w:t>
            </w:r>
            <w:r>
              <w:rPr/>
              <w:t xml:space="preserve">, </w:t>
            </w:r>
            <w:r>
              <w:rPr>
                <w:b/>
              </w:rPr>
              <w:t xml:space="preserve">evento</w:t>
            </w:r>
            <w:r>
              <w:rPr/>
              <w:t xml:space="preserve">, </w:t>
            </w:r>
            <w:r>
              <w:rPr>
                <w:b/>
              </w:rPr>
              <w:t xml:space="preserve">formato de entrega / de baja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Igual que en v3.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2. Fuentes del análisis</w:t>
      </w:r>
    </w:p>
    <w:p>
      <w:pPr>
        <w:pStyle w:val="Heading2"/>
      </w:pPr>
      <w:r>
        <w:rPr/>
        <w:t xml:space="preserve">2.1 Documentos usados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20"/>
        <w:gridCol w:w="4820"/>
      </w:tblGrid>
      <w:tr>
        <w:trPr>
          <w:tblHeader/>
          <w:cantSplit/>
        </w:trPr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Documento</w:t>
            </w:r>
          </w:p>
        </w:tc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aporta al sistema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GT-M4</w:t>
            </w:r>
            <w:r>
              <w:rPr/>
              <w:t xml:space="preserve"> Manual para elaboración del inventario, definición y clasificación de los activos de información (v01, 28/09/2023, proceso Gestión Tecnológica)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Campos oficiales del activo (identificación, atributo, propiedad, ubicación, valoración), tipos de activo, escalas CID e importancia, criterios para pasar a gestión de riesgos, levantamiento con acta de aceptación. Marco: ISO/IEC 27001:2013, Ley 1581 de 2012, Ley 1712 de 2014, MSPI de MinTIC.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FOR.01</w:t>
            </w:r>
            <w:r>
              <w:rPr/>
              <w:t xml:space="preserve"> Formato de inventario de activos de información v00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Las columnas exactas de la matriz y sus listas (hoja «Datos»): sedes, tipo de sede, dependencias, 17 procesos, tipos de activo, datos personales, tipo de ubicación, controles de monitoreo y la matriz de impacto. Trae 29 activos de ejemplo de la Dirección de Sistemas.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Programa Anual de Mantenimiento Preventivo</w:t>
            </w:r>
            <w:r>
              <w:rPr/>
              <w:t xml:space="preserve"> (v01, 21/10/2024, vigencia 2026)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Objetivo, alcance y recursos del mantenimiento; programación mensual por dependencia con impacto alto, medio o bajo; sedes con dirección, pisos y dependencias por piso; conteos de equipos e impresoras; 2,5 h por dispositivo.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Decreto 609 de 2023</w:t>
            </w:r>
            <w:r>
              <w:rPr/>
              <w:t xml:space="preserve"> (organigrama)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Estructura organizacional vigente, creación de la Secretaría de Minas y Energía y cambios de nombre de dependencias (la Dirección Técnica de Sistemas pasa a ser la Dirección TICS).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Decreto 607 de 2023</w:t>
            </w:r>
            <w:r>
              <w:rPr/>
              <w:t xml:space="preserve"> (planta global y nomenclatura)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Niveles jerárquicos y códigos oficiales de cargos (001 a 477), grados.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Decreto 608 de 2023</w:t>
            </w:r>
            <w:r>
              <w:rPr/>
              <w:t xml:space="preserve"> (manual de funciones, 2 copias)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Función común a todo empleo: usar bien los equipos e informar los cambios para mantener actualizado el inventario del área. *Solo se pudieron extraer las primeras 80 de 639 páginas* (ver pregunta 12).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Planta Central</w:t>
            </w:r>
            <w:r>
              <w:rPr/>
              <w:t xml:space="preserve"> (2-mar-2026) y </w:t>
            </w:r>
            <w:r>
              <w:rPr>
                <w:b/>
              </w:rPr>
              <w:t xml:space="preserve">Planta Educación</w:t>
            </w:r>
            <w:r>
              <w:rPr/>
              <w:t xml:space="preserve"> (13-may-2026)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Dependencias reales y ubicación de cada funcionario, cargo con código y grado, nivel, tipo de provisión, jefe inmediato. La de Educación muestra 686 cargos en 166 instituciones educativas de 71 municipios.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Organigrama_GobCordoba.webp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Imagen del organigrama del Decreto 609 (el texto del decreto ya lo transcribe).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2.2 Documentos descartados</w:t>
      </w:r>
    </w:p>
    <w:p>
      <w:pPr/>
      <w:r>
        <w:rPr/>
        <w:t xml:space="preserve">Descartados por indicación del profesor, porque no tienen relación con los activos:</w:t>
      </w:r>
    </w:p>
    <w:p>
      <w:pPr>
        <w:pStyle w:val="Lista"/>
        <w:numPr>
          <w:ilvl w:val="0"/>
          <w:numId w:val="1"/>
        </w:numPr>
      </w:pPr>
      <w:r>
        <w:rPr/>
        <w:t xml:space="preserve">*106. Reporte a la CNSC Auxiliar Administrativo 407-7 – Renuncia* (trámite de personal).</w:t>
      </w:r>
    </w:p>
    <w:p>
      <w:pPr>
        <w:pStyle w:val="Lista"/>
        <w:numPr>
          <w:ilvl w:val="0"/>
          <w:numId w:val="1"/>
        </w:numPr>
      </w:pPr>
      <w:r>
        <w:rPr/>
        <w:t xml:space="preserve">*Necesidad_DTH.pdf*.</w:t>
      </w:r>
    </w:p>
    <w:p>
      <w:pPr>
        <w:pStyle w:val="Lista"/>
        <w:numPr>
          <w:ilvl w:val="0"/>
          <w:numId w:val="1"/>
        </w:numPr>
      </w:pPr>
      <w:r>
        <w:rPr/>
        <w:t xml:space="preserve">*reporteEvaluacion_2914065.pdf*.</w:t>
      </w:r>
    </w:p>
    <w:p>
      <w:pPr>
        <w:pStyle w:val="Lista"/>
        <w:numPr>
          <w:ilvl w:val="0"/>
          <w:numId w:val="1"/>
        </w:numPr>
      </w:pPr>
      <w:r>
        <w:rPr/>
        <w:t xml:space="preserve">*Resolución 0148 de 2026 – Renuncia* (acto de personal).</w:t>
      </w:r>
    </w:p>
    <w:p>
      <w:pPr>
        <w:pStyle w:val="Heading2"/>
      </w:pPr>
      <w:r>
        <w:rPr/>
        <w:t xml:space="preserve">2.3 El inventario 2026 (Excel)</w:t>
      </w:r>
    </w:p>
    <w:p>
      <w:pPr/>
      <w:r>
        <w:rPr/>
        <w:t xml:space="preserve">Hasta v3, el modelo se construyó con las 53 columnas del inventario de marzo de 2026 (Microsoft Forms, 461 filas, 930 equipos). </w:t>
      </w:r>
      <w:r>
        <w:rPr>
          <w:b/>
        </w:rPr>
        <w:t xml:space="preserve">Desde v4 ese archivo no define la estructura del sistema.</w:t>
      </w:r>
      <w:r>
        <w:rPr/>
        <w:t xml:space="preserve"> Queda solo como </w:t>
      </w:r>
      <w:r>
        <w:rPr>
          <w:b/>
        </w:rPr>
        <w:t xml:space="preserve">fuente de datos para la carga</w:t>
      </w:r>
      <w:r>
        <w:rPr/>
        <w:t xml:space="preserve">: sus columnas se mapean a la plantilla oficial de carga (sección 12). Su diagnóstico de calidad (sin serial, códigos repetidos, 175 variantes de dependencia) sigue sirviendo para diseñar la depuración, pero ya no condiciona los campos.</w:t>
      </w:r>
    </w:p>
    <w:p>
      <w:pPr>
        <w:pStyle w:val="Heading2"/>
      </w:pPr>
      <w:r>
        <w:rPr/>
        <w:t xml:space="preserve">2.4 Inconsistencias encontradas en las fuentes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00"/>
        <w:gridCol w:w="4418"/>
        <w:gridCol w:w="4322"/>
      </w:tblGrid>
      <w:tr>
        <w:trPr>
          <w:tblHeader/>
          <w:cantSplit/>
        </w:trPr>
        <w:tc>
          <w:tcPr>
            <w:tcW w:w="9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#</w:t>
            </w:r>
          </w:p>
        </w:tc>
        <w:tc>
          <w:tcPr>
            <w:tcW w:w="441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Inconsistencia</w:t>
            </w:r>
          </w:p>
        </w:tc>
        <w:tc>
          <w:tcPr>
            <w:tcW w:w="432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Tratamiento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I-01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La tabla 1 del GT-M4 (procesos y propietarios) viene de una plantilla de empresa privada: «Comercial», «Postventa», «SAGRILAFT», «Gerente General». El FOR.01 sí lista los 17 procesos de la Gobernación.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Se usan los procesos del FOR.01.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I-02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FOR.01 y sus ejemplos dicen «Empresa» y usan nombres anteriores al Decreto 609 («DIRECION DE SISTEMAS»).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Tabla de equivalencias hacia los nombres oficiales.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I-03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La tabla 6 del GT-M4 pone la importancia baja «de 0 a 3», aunque la suma mínima es 3.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Se acepta 3 como mínimo real.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I-04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Decreto 607 escaneado asigna el código 430 al Auxiliar de Servicios Generales; el artículo 15 y la planta usan 470.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 usa 470.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I-05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Fondo Territorial de Pensiones aparece bajo Hacienda en el PAMP y bajo Gestión Administrativa en la planta.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Planta (oficial de personal); por confirmar.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I-06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PAMP se titula «Plan anual de Mantenimiento 2024», pero programa la vigencia 2026.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 registra como plan de la vigencia 2026.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I-07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En el FOR.01 hay activos con «Contiene datos personales = NO» y clasificación «Reservado» o «Sensible».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El sistema exige </w:t>
            </w:r>
            <w:r>
              <w:rPr>
                <w:rFonts w:ascii="Consolas" w:hAnsi="Consolas"/>
                <w:sz w:val="19"/>
              </w:rPr>
              <w:t xml:space="preserve">no_aplica</w:t>
            </w:r>
            <w:r>
              <w:rPr/>
              <w:t xml:space="preserve"> cuando no hay datos personales (RN-24).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3. Diagnóstico de la situación con las fuentes oficiales</w:t>
      </w:r>
    </w:p>
    <w:p>
      <w:pPr>
        <w:pStyle w:val="Lista"/>
        <w:ind w:left="360" w:hanging="360"/>
      </w:pPr>
      <w:r>
        <w:rPr/>
        <w:t xml:space="preserve">1. </w:t>
      </w:r>
      <w:r>
        <w:rPr>
          <w:b/>
        </w:rPr>
        <w:t xml:space="preserve">Hoy la entidad tiene tres inventarios que no se cruzan:</w:t>
      </w:r>
      <w:r>
        <w:rPr/>
        <w:t xml:space="preserve"> la matriz de activos de información (FOR.01, valoración de seguridad), el programa de mantenimiento (conteos por dependencia) y el inventario 2026 (equipos por puesto). El sistema los une en una sola ficha por equipo.</w:t>
      </w:r>
    </w:p>
    <w:p>
      <w:pPr>
        <w:pStyle w:val="Lista"/>
        <w:ind w:left="360" w:hanging="360"/>
      </w:pPr>
      <w:r>
        <w:rPr/>
        <w:t xml:space="preserve">2. </w:t>
      </w:r>
      <w:r>
        <w:rPr>
          <w:b/>
        </w:rPr>
        <w:t xml:space="preserve">La estructura organizacional es jerárquica y cambió en 2023.</w:t>
      </w:r>
      <w:r>
        <w:rPr/>
        <w:t xml:space="preserve"> Una lista plana de dependencias no permite consultar «todo lo de la Secretaría de Hacienda» (con sus seis direcciones), ni reconocer nombres viejos.</w:t>
      </w:r>
    </w:p>
    <w:p>
      <w:pPr>
        <w:pStyle w:val="Lista"/>
        <w:ind w:left="360" w:hanging="360"/>
      </w:pPr>
      <w:r>
        <w:rPr/>
        <w:t xml:space="preserve">3. </w:t>
      </w:r>
      <w:r>
        <w:rPr>
          <w:b/>
        </w:rPr>
        <w:t xml:space="preserve">Las sedes tienen pisos distintos.</w:t>
      </w:r>
      <w:r>
        <w:rPr/>
        <w:t xml:space="preserve"> Palacio de Naín tiene 8 pisos ocupados; Places Mall, un local en el piso 2; el Laboratorio, uno solo. El PAMP dice qué dependencia está en cada piso.</w:t>
      </w:r>
    </w:p>
    <w:p>
      <w:pPr>
        <w:pStyle w:val="Lista"/>
        <w:ind w:left="360" w:hanging="360"/>
      </w:pPr>
      <w:r>
        <w:rPr/>
        <w:t xml:space="preserve">4. </w:t>
      </w:r>
      <w:r>
        <w:rPr>
          <w:b/>
        </w:rPr>
        <w:t xml:space="preserve">El responsable es un empleo oficial,</w:t>
      </w:r>
      <w:r>
        <w:rPr/>
        <w:t xml:space="preserve"> con código, grado y jefe inmediato. La planta trae mucho más (salario, RH, salud, etnia, hijos, dirección); la Ley 1581 obliga a no copiarlo.</w:t>
      </w:r>
    </w:p>
    <w:p>
      <w:pPr>
        <w:pStyle w:val="Lista"/>
        <w:ind w:left="360" w:hanging="360"/>
      </w:pPr>
      <w:r>
        <w:rPr/>
        <w:t xml:space="preserve">5. </w:t>
      </w:r>
      <w:r>
        <w:rPr>
          <w:b/>
        </w:rPr>
        <w:t xml:space="preserve">La valoración de seguridad es parte de la ficha del activo</w:t>
      </w:r>
      <w:r>
        <w:rPr/>
        <w:t xml:space="preserve"> según el GT-M4, y define qué activos pasan a gestión de riesgos.</w:t>
      </w:r>
    </w:p>
    <w:p>
      <w:pPr>
        <w:pStyle w:val="Lista"/>
        <w:ind w:left="360" w:hanging="360"/>
      </w:pPr>
      <w:r>
        <w:rPr/>
        <w:t xml:space="preserve">6. </w:t>
      </w:r>
      <w:r>
        <w:rPr>
          <w:b/>
        </w:rPr>
        <w:t xml:space="preserve">El mantenimiento preventivo existe como programa oficial</w:t>
      </w:r>
      <w:r>
        <w:rPr/>
        <w:t xml:space="preserve"> con meta mensual: 507 equipos y 64 impresoras, a 2,5 h por dispositivo.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4. Usuarios y actores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233"/>
        <w:gridCol w:w="1107"/>
        <w:gridCol w:w="4300"/>
      </w:tblGrid>
      <w:tr>
        <w:trPr>
          <w:tblHeader/>
          <w:cantSplit/>
        </w:trPr>
        <w:tc>
          <w:tcPr>
            <w:tcW w:w="423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Actor</w:t>
            </w:r>
          </w:p>
        </w:tc>
        <w:tc>
          <w:tcPr>
            <w:tcW w:w="110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¿Ingresa?</w:t>
            </w:r>
          </w:p>
        </w:tc>
        <w:tc>
          <w:tcPr>
            <w:tcW w:w="43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hace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Administrador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Sí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Usuarios, contraseñas, catálogos (árbol de dependencias, sedes y pisos, cargos, procesos, tipos, modelos, proveedores). Además, todo lo de un usuario.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Usuario</w:t>
            </w:r>
            <w:r>
              <w:rPr/>
              <w:t xml:space="preserve"> (ingeniero, técnico o pasante de soporte TIC)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Sí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 equipos, valoraciones, traslados, componentes, mantenimientos, diagnósticos y bajas; genera formatos; sube documentos firmados; carga datos; consulta reportes.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Responsable del equipo</w:t>
            </w:r>
            <w:r>
              <w:rPr/>
              <w:t xml:space="preserve"> (funcionario o contratista)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Firma la entrega y la devolución; informa los cambios del equipo a su cargo (Decreto 608, función común).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Propietario del activo</w:t>
            </w:r>
            <w:r>
              <w:rPr/>
              <w:t xml:space="preserve"> (director o líder del proceso)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Valida la valoración y firma el acta de aceptación del levantamiento.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Custodio del activo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Firma el acta del levantamiento; aplica los controles.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Responsable del SGSI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Orienta el levantamiento y dirime dudas de clasificación; recibe el reporte de activos críticos.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Director TIC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Aprueba el PAMP, recibe reportes y cumplimiento.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Almacén General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Fuente del código de activo y de los datos de adquisición.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Dirección de Talento Humano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Fuente de la planta de personal.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5. Requerimientos funcionales</w:t>
      </w:r>
    </w:p>
    <w:p>
      <w:pPr/>
      <w:r>
        <w:rPr>
          <w:b/>
        </w:rPr>
        <w:t xml:space="preserve">65 requerimientos en 13 módulos.</w:t>
      </w:r>
      <w:r>
        <w:rPr/>
        <w:t xml:space="preserve"> Los RF-01 a RF-51 conservan su número de v3: los que cambian se marcan </w:t>
      </w:r>
      <w:r>
        <w:rPr>
          <w:b/>
        </w:rPr>
        <w:t xml:space="preserve">(mod. v4)</w:t>
      </w:r>
      <w:r>
        <w:rPr/>
        <w:t xml:space="preserve">. Los nuevos son RF-52 a RF-65 </w:t>
      </w:r>
      <w:r>
        <w:rPr>
          <w:b/>
        </w:rPr>
        <w:t xml:space="preserve">(nuevo v4)</w:t>
      </w:r>
      <w:r>
        <w:rPr/>
        <w:t xml:space="preserve">. Prioridades: E = esencial, I = importante, D = deseable.</w:t>
      </w:r>
    </w:p>
    <w:p>
      <w:pPr>
        <w:pStyle w:val="Heading2"/>
      </w:pPr>
      <w:r>
        <w:rPr/>
        <w:t xml:space="preserve">5.1 Inventario maestro de equipos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RF-01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cualquier activo de tipo hardware o soporte, de la Gobernación o de terceros, con los campos de la sección 8, aunque aún no tenga responsable ni eventos.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Identificar cada equipo por serial (obligatorio y único), código de activo de Almacén (I1-######, cuando lo tiene) y un consecutivo de activo (</w:t>
            </w:r>
            <w:r>
              <w:rPr>
                <w:rFonts w:ascii="Consolas" w:hAnsi="Consolas"/>
                <w:sz w:val="19"/>
              </w:rPr>
              <w:t xml:space="preserve">ID ACTIVO</w:t>
            </w:r>
            <w:r>
              <w:rPr/>
              <w:t xml:space="preserve"> del FOR.01) que asigna el sistema.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campos distintos según el tipo de equipo.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propiedad: Gobernación o tercero (comodato, convenio, proveedor, arrendamiento), con el propietario tomado del catálogo de proveedores.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RF-05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Agrupar equipos en un puesto de trabajo y trasladar el puesto completo.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RF-06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Adjuntar fotografías al equipo.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RF-07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Buscar por serial, código de activo, número de activo, responsable, documento, dependencia (incluidas sus subdependencias) o sede, tolerando espacios y guiones.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los datos de adquisición: forma de ingreso, fecha, valor en COP, proveedor, contrato, factura, fin de garantía y vida útil; avisar las garantías por vencer y los equipos que superan su vida útil.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5.2 Hoja de vida e historial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RF-09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en una sola vista la ficha, la valoración vigente, la configuración y los componentes, el responsable y la ubicación, los datos de adquisición y el historial completo, incluidos los mantenimientos.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RF-10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eventos con tipo, fecha, descripción y adjuntos. Tipos: alta, traslado, cambio de componente, mantenimiento, diagnóstico, valoración, baja, actualización de datos, anulación o aclaración.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RF-11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Asignar el autor del evento automáticamente.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Eventos inmutables; un cambio de responsable, ubicación, estado o valoración genera un evento con valor anterior y nuevo.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Configurar nuevos tipos de evento sin desarrollo.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5.3 Componentes y configuración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los componentes de un equipo de cómputo; RAM, disco y procesador son obligatorios para darlo por verificado.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un cambio de componente (agregar, cambiar, quitar) como evento.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Consultar la configuración en una fecha dada.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el destino del componente retirado (bodega, otro equipo con su referencia, descarte).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5.4 Responsables, ubicación y traslados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la persona responsable con tipo y número de documento, nombres, apellidos, correo institucional, cargo oficial (código, denominación, grado, encargo), dependencia real, jefe inmediato, planta, tipo de vinculación (planta, contratista, pasante) y provisión.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ubicación como sede → piso de esa sede → dependencia del árbol oficial, proponiendo las dependencias que el PAMP ubica en ese piso.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Traslado o cambio de responsable con los dos formatos firmados (o documento único).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Equipo sin responsable (bodega) como estado válido.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Consultar los equipos a cargo de una persona y su formato de entrega consolidado.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RF-23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Paz y salvo cuando un funcionario se retira; el sistema avisa de las personas con </w:t>
            </w:r>
            <w:r>
              <w:rPr>
                <w:rFonts w:ascii="Consolas" w:hAnsi="Consolas"/>
                <w:sz w:val="19"/>
              </w:rPr>
              <w:t xml:space="preserve">fecha_fin_vinculacion</w:t>
            </w:r>
            <w:r>
              <w:rPr/>
              <w:t xml:space="preserve"> próxima que aún tienen equipos.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5.5 Diagnóstico y baja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un diagnóstico técnico.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baja con diagnóstico, motivo y formato firmado.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Anular una baja con evento justificado.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Listado de bajas por período.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5.6 Formatos y firmas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Formato de entrega en PDF.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Formato de baja en PDF.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Subir documentos firmados; «Pendiente de firma» hasta tenerlos.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Listar pendientes de firma.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Firma en pantalla.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D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RF-33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Exportar la hoja de vida completa en PDF (incluye valoración y mantenimientos).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5.7 Consultas y reportes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Catálogo de reportes de la sección 11, con filtros por sede, piso, dependencia (con o sin subdependencias), proceso, tipo, marca, estado, propiedad, importancia, responsable, vinculación y fechas.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Exportar a Excel y PDF.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Tablero de totales.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Indicadores de calidad: sin serial, sin código, sin responsable, código repetido, pendientes de verificar, </w:t>
            </w:r>
            <w:r>
              <w:rPr>
                <w:b/>
              </w:rPr>
              <w:t xml:space="preserve">sin valoración</w:t>
            </w:r>
            <w:r>
              <w:rPr/>
              <w:t xml:space="preserve">, </w:t>
            </w:r>
            <w:r>
              <w:rPr>
                <w:b/>
              </w:rPr>
              <w:t xml:space="preserve">sin datos de adquisición</w:t>
            </w:r>
            <w:r>
              <w:rPr/>
              <w:t xml:space="preserve">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Exportar la matriz de inventario de activos con las columnas y el encabezado del formato FOR.01, por proceso o dependencia.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Reporte de activos que requieren gestión de riesgos (algún criterio CID = 4, o importancia alta o muy alta).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5.8 Carga de datos desde Excel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Importar equipos desde la </w:t>
            </w:r>
            <w:r>
              <w:rPr>
                <w:b/>
              </w:rPr>
              <w:t xml:space="preserve">plantilla oficial de carga</w:t>
            </w:r>
            <w:r>
              <w:rPr/>
              <w:t xml:space="preserve"> (columnas del modelo v4 y del FOR.01), con vista previa, número de fila de origen y modo simulación. El inventario 2026 se carga mapeando sus columnas a esa plantilla.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Normalizar con la tabla de equivalencias editable (dependencias con nombres anteriores al Decreto 609, sedes, marcas, modelos, sistemas operativos).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Vista previa con errores y advertencias por fila.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Marcar «Pendiente de verificar» lo importado sin serial o con datos dudosos.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Cargas posteriores sin duplicar equipos existentes.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Importar personas desde la planta de Talento Humano (Central y Educación), tomando </w:t>
            </w:r>
            <w:r>
              <w:rPr>
                <w:b/>
              </w:rPr>
              <w:t xml:space="preserve">solo</w:t>
            </w:r>
            <w:r>
              <w:rPr/>
              <w:t xml:space="preserve"> las columnas permitidas y descartando el resto sin guardarlo.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5.9 Usuarios y administración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Dos perfiles: Administrador y Usuario.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Crear, editar y desactivar usuarios, con cambio de contraseña en el primer ingreso; enlazar el usuario con su persona.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RF-45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Mantener los catálogos: procesos, árbol de dependencias y equivalencias, municipios, sedes y pisos, ubicación de dependencias, cargos, tipos de equipo, marcas, modelos, proveedores, sistemas operativos, tipos de componente, motivos de baja.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RF-46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Bitácora de auditoría.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RF-47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Restablecer contraseñas.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5.10 Códigos QR y etiquetas</w:t>
      </w:r>
    </w:p>
    <w:p>
      <w:pPr/>
      <w:r>
        <w:rPr/>
        <w:t xml:space="preserve">RF-08 (E), RF-48 (E), RF-49 (I), RF-50 (E) y RF-51 (I) quedan </w:t>
      </w:r>
      <w:r>
        <w:rPr>
          <w:b/>
        </w:rPr>
        <w:t xml:space="preserve">sin cambios</w:t>
      </w:r>
      <w:r>
        <w:rPr/>
        <w:t xml:space="preserve"> respecto a v3. RF-49 filtra ahora por sede y piso reales.</w:t>
      </w:r>
    </w:p>
    <w:p>
      <w:pPr>
        <w:pStyle w:val="Heading2"/>
      </w:pPr>
      <w:r>
        <w:rPr/>
        <w:t xml:space="preserve">5.11 Clasificación y valoración del activo — GT-M4 (nuevo v4)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la valoración de un activo de hardware: datos personales y su clasificación, infraestructura crítica, continuidad del negocio, cargo del propietario, cargo del custodio, tipo de ubicación, tiempo de retención, controles de monitoreo y calificación de 1 a 4 de confidencialidad, integridad y disponibilidad, mostrando junto a cada nivel el texto de la escala del GT-M4.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Calcular automáticamente el total, la importancia y la marca «requiere gestión de riesgos».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Reclasificar un activo (por incidente o a pedido del propietario) como evento </w:t>
            </w:r>
            <w:r>
              <w:rPr>
                <w:rFonts w:ascii="Consolas" w:hAnsi="Consolas"/>
                <w:sz w:val="19"/>
              </w:rPr>
              <w:t xml:space="preserve">valoracion</w:t>
            </w:r>
            <w:r>
              <w:rPr/>
              <w:t xml:space="preserve">, conservando la historia de valoraciones.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Llevar un levantamiento de activos por dependencia y proceso: lista de sus equipos con su valoración, acta de identificación y aceptación prellenada, firma del propietario y los custodios, y carga del acta firmada.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5.12 Mantenimiento preventivo y correctivo (nuevo v4)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RF-60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el plan anual de mantenimiento por vigencia (código, versión, objetivo, alcance, horas por dispositivo) y su programación por dependencia, sede y mes, con impacto, responsable, equipo ejecutor y equipos estimados. Debe poder cargarse desde el Excel del PAMP.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RF-61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el mantenimiento de un equipo (preventivo, enlazado a su programación, o correctivo) con checklist de actividades (inspección, limpieza, actualización, revisión), hallazgos, insumos, duración, estado resultante y ejecutor (propio o tercero). Si cambia una pieza, ofrecer el cambio de componente en el mismo flujo.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RF-62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Generar la lista de trabajo de una programación: los equipos asignados hoy a esa dependencia y sede, con su estado.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RF-63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Mostrar el cumplimiento del plan: equipos mantenidos frente a estimados, por mes, dependencia y sede, y los atrasados.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RF-64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Generar el formato de mantenimiento en PDF por equipo o por programación, con espacio para la firma del responsable de la dependencia.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5.13 Estructura organizacional (nuevo v4)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RF-65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y filtrar por el árbol de dependencias: al elegir una secretaría se incluyen sus direcciones y áreas; las dependencias suprimidas se desactivan, sin borrarse, y se pueden fusionar con equivalencias.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6. Requerimientos no funcionales</w:t>
      </w:r>
    </w:p>
    <w:p>
      <w:pPr/>
      <w:r>
        <w:rPr/>
        <w:t xml:space="preserve">Se mantienen </w:t>
      </w:r>
      <w:r>
        <w:rPr>
          <w:b/>
        </w:rPr>
        <w:t xml:space="preserve">RNF-01 a RNF-18 de v3</w:t>
      </w:r>
      <w:r>
        <w:rPr/>
        <w:t xml:space="preserve"> (web responsive, español, rendimiento con 5.000 equipos, servidor propio, integridad referencial, contraseñas, HTTPS, Ley 1581, bitácora 5 años, respaldos, adjuntos, PDF carta, formatos colombianos, código en repositorio, manuales, etiquetas QR resistentes, ruta corta del QR).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4"/>
        <w:gridCol w:w="4544"/>
        <w:gridCol w:w="4132"/>
      </w:tblGrid>
      <w:tr>
        <w:trPr>
          <w:tblHeader/>
          <w:cantSplit/>
        </w:trPr>
        <w:tc>
          <w:tcPr>
            <w:tcW w:w="96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454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413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Criterio de verificación</w:t>
            </w:r>
          </w:p>
        </w:tc>
      </w:tr>
      <w:tr>
        <w:trPr>
          <w:cantSplit/>
        </w:trPr>
        <w:tc>
          <w:tcPr>
            <w:tcW w:w="964" w:type="dxa"/>
          </w:tcPr>
          <w:p>
            <w:pPr>
              <w:pStyle w:val="Tabla"/>
            </w:pPr>
            <w:r>
              <w:rPr/>
              <w:t xml:space="preserve">RNF-19</w:t>
            </w:r>
          </w:p>
        </w:tc>
        <w:tc>
          <w:tcPr>
            <w:tcW w:w="4544" w:type="dxa"/>
          </w:tcPr>
          <w:p>
            <w:pPr>
              <w:pStyle w:val="Tabla"/>
            </w:pPr>
            <w:r>
              <w:rPr>
                <w:b/>
              </w:rPr>
              <w:t xml:space="preserve">Minimización de datos personales:</w:t>
            </w:r>
            <w:r>
              <w:rPr/>
              <w:t xml:space="preserve"> el sistema solo almacena de cada persona los datos de RF-18. Las cargas desde la planta descartan en memoria el resto de columnas.</w:t>
            </w:r>
          </w:p>
        </w:tc>
        <w:tc>
          <w:tcPr>
            <w:tcW w:w="4132" w:type="dxa"/>
          </w:tcPr>
          <w:p>
            <w:pPr>
              <w:pStyle w:val="Tabla"/>
            </w:pPr>
            <w:r>
              <w:rPr/>
              <w:t xml:space="preserve">Revisión del esquema y de una importación de prueba.</w:t>
            </w:r>
          </w:p>
        </w:tc>
      </w:tr>
      <w:tr>
        <w:trPr>
          <w:cantSplit/>
        </w:trPr>
        <w:tc>
          <w:tcPr>
            <w:tcW w:w="9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RNF-20</w:t>
            </w:r>
          </w:p>
        </w:tc>
        <w:tc>
          <w:tcPr>
            <w:tcW w:w="454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propio sistema es un activo de información (tipo «Información electrónica», datos semiprivados) y debe quedar registrado en la matriz FOR.01 de la Dirección TIC.</w:t>
            </w:r>
          </w:p>
        </w:tc>
        <w:tc>
          <w:tcPr>
            <w:tcW w:w="413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Registro en la matriz.</w:t>
            </w:r>
          </w:p>
        </w:tc>
      </w:tr>
      <w:tr>
        <w:trPr>
          <w:cantSplit/>
        </w:trPr>
        <w:tc>
          <w:tcPr>
            <w:tcW w:w="964" w:type="dxa"/>
          </w:tcPr>
          <w:p>
            <w:pPr>
              <w:pStyle w:val="Tabla"/>
            </w:pPr>
            <w:r>
              <w:rPr/>
              <w:t xml:space="preserve">RNF-21</w:t>
            </w:r>
          </w:p>
        </w:tc>
        <w:tc>
          <w:tcPr>
            <w:tcW w:w="4544" w:type="dxa"/>
          </w:tcPr>
          <w:p>
            <w:pPr>
              <w:pStyle w:val="Tabla"/>
            </w:pPr>
            <w:r>
              <w:rPr/>
              <w:t xml:space="preserve">Los PDF y las exportaciones llevan el encabezado del Sistema Integrado de Gestión (proceso, código, versión, fecha) cuando la Gobernación asigne el código del formato.</w:t>
            </w:r>
          </w:p>
        </w:tc>
        <w:tc>
          <w:tcPr>
            <w:tcW w:w="4132" w:type="dxa"/>
          </w:tcPr>
          <w:p>
            <w:pPr>
              <w:pStyle w:val="Tabla"/>
            </w:pPr>
            <w:r>
              <w:rPr/>
              <w:t xml:space="preserve">Revisión de un PDF.</w:t>
            </w:r>
          </w:p>
        </w:tc>
      </w:tr>
      <w:tr>
        <w:trPr>
          <w:cantSplit/>
        </w:trPr>
        <w:tc>
          <w:tcPr>
            <w:tcW w:w="9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RNF-22</w:t>
            </w:r>
          </w:p>
        </w:tc>
        <w:tc>
          <w:tcPr>
            <w:tcW w:w="454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Las direcciones reservadas (Casa Refugio) nunca aparecen en listados, exportaciones, PDF ni etiquetas.</w:t>
            </w:r>
          </w:p>
        </w:tc>
        <w:tc>
          <w:tcPr>
            <w:tcW w:w="413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Prueba funcional sobre todas las salidas.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7. Reglas de negocio</w:t>
      </w:r>
    </w:p>
    <w:p>
      <w:pPr/>
      <w:r>
        <w:rPr/>
        <w:t xml:space="preserve">Se mantienen </w:t>
      </w:r>
      <w:r>
        <w:rPr>
          <w:b/>
        </w:rPr>
        <w:t xml:space="preserve">RN-01 a RN-19 de v3</w:t>
      </w:r>
      <w:r>
        <w:rPr/>
        <w:t xml:space="preserve">, salvo </w:t>
      </w:r>
      <w:r>
        <w:rPr>
          <w:b/>
        </w:rPr>
        <w:t xml:space="preserve">RN-08</w:t>
      </w:r>
      <w:r>
        <w:rPr/>
        <w:t xml:space="preserve">, que se reemplaza, y </w:t>
      </w:r>
      <w:r>
        <w:rPr>
          <w:b/>
        </w:rPr>
        <w:t xml:space="preserve">RN-11</w:t>
      </w:r>
      <w:r>
        <w:rPr/>
        <w:t xml:space="preserve">, que se amplía: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80"/>
        <w:gridCol w:w="6560"/>
      </w:tblGrid>
      <w:tr>
        <w:trPr>
          <w:tblHeader/>
          <w:cantSplit/>
        </w:trPr>
        <w:tc>
          <w:tcPr>
            <w:tcW w:w="308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56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Regla</w:t>
            </w:r>
          </w:p>
        </w:tc>
      </w:tr>
      <w:tr>
        <w:trPr>
          <w:cantSplit/>
        </w:trPr>
        <w:tc>
          <w:tcPr>
            <w:tcW w:w="3080" w:type="dxa"/>
          </w:tcPr>
          <w:p>
            <w:pPr>
              <w:pStyle w:val="Tabla"/>
            </w:pPr>
            <w:r>
              <w:rPr/>
              <w:t xml:space="preserve">RN-08 </w:t>
            </w:r>
            <w:r>
              <w:rPr>
                <w:b/>
              </w:rPr>
              <w:t xml:space="preserve">(reemplazada)</w:t>
            </w:r>
          </w:p>
        </w:tc>
        <w:tc>
          <w:tcPr>
            <w:tcW w:w="6560" w:type="dxa"/>
          </w:tcPr>
          <w:p>
            <w:pPr>
              <w:pStyle w:val="Tabla"/>
            </w:pPr>
            <w:r>
              <w:rPr/>
              <w:t xml:space="preserve">El mantenimiento preventivo y correctivo se registra como evento </w:t>
            </w:r>
            <w:r>
              <w:rPr>
                <w:rFonts w:ascii="Consolas" w:hAnsi="Consolas"/>
                <w:sz w:val="19"/>
              </w:rPr>
              <w:t xml:space="preserve">mantenimiento</w:t>
            </w:r>
            <w:r>
              <w:rPr/>
              <w:t xml:space="preserve">. Si cambia una pieza, ese cambio se registra además como cambio de componente (RN-07).</w:t>
            </w:r>
          </w:p>
        </w:tc>
      </w:tr>
      <w:tr>
        <w:trPr>
          <w:cantSplit/>
        </w:trPr>
        <w:tc>
          <w:tcPr>
            <w:tcW w:w="308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RN-11 </w:t>
            </w:r>
            <w:r>
              <w:rPr>
                <w:b/>
              </w:rPr>
              <w:t xml:space="preserve">(ampliada)</w:t>
            </w:r>
          </w:p>
        </w:tc>
        <w:tc>
          <w:tcPr>
            <w:tcW w:w="656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Sede, piso, dependencia, proceso, cargo, tipo, marca, modelo, proveedor, tipo de componente y sistema operativo solo se eligen de listas.</w:t>
            </w:r>
          </w:p>
        </w:tc>
      </w:tr>
      <w:tr>
        <w:trPr>
          <w:cantSplit/>
        </w:trPr>
        <w:tc>
          <w:tcPr>
            <w:tcW w:w="3080" w:type="dxa"/>
          </w:tcPr>
          <w:p>
            <w:pPr>
              <w:pStyle w:val="Tabla"/>
            </w:pPr>
            <w:r>
              <w:rPr/>
              <w:t xml:space="preserve">RN-20</w:t>
            </w:r>
          </w:p>
        </w:tc>
        <w:tc>
          <w:tcPr>
            <w:tcW w:w="6560" w:type="dxa"/>
          </w:tcPr>
          <w:p>
            <w:pPr>
              <w:pStyle w:val="Tabla"/>
            </w:pPr>
            <w:r>
              <w:rPr/>
              <w:t xml:space="preserve">Las dependencias usan los nombres oficiales del Decreto 609 y forman un árbol sin ciclos. Nunca se borran: se desactivan.</w:t>
            </w:r>
          </w:p>
        </w:tc>
      </w:tr>
      <w:tr>
        <w:trPr>
          <w:cantSplit/>
        </w:trPr>
        <w:tc>
          <w:tcPr>
            <w:tcW w:w="308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RN-21</w:t>
            </w:r>
          </w:p>
        </w:tc>
        <w:tc>
          <w:tcPr>
            <w:tcW w:w="656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 piso pertenece a una sola sede; la ubicación de un equipo es un piso válido de esa sede.</w:t>
            </w:r>
          </w:p>
        </w:tc>
      </w:tr>
      <w:tr>
        <w:trPr>
          <w:cantSplit/>
        </w:trPr>
        <w:tc>
          <w:tcPr>
            <w:tcW w:w="3080" w:type="dxa"/>
          </w:tcPr>
          <w:p>
            <w:pPr>
              <w:pStyle w:val="Tabla"/>
            </w:pPr>
            <w:r>
              <w:rPr/>
              <w:t xml:space="preserve">RN-22</w:t>
            </w:r>
          </w:p>
        </w:tc>
        <w:tc>
          <w:tcPr>
            <w:tcW w:w="6560" w:type="dxa"/>
          </w:tcPr>
          <w:p>
            <w:pPr>
              <w:pStyle w:val="Tabla"/>
            </w:pPr>
            <w:r>
              <w:rPr/>
              <w:t xml:space="preserve">Cada equipo de hardware tiene como máximo una valoración vigente. El total, la importancia y la marca de gestión de riesgos los calcula el sistema; nunca se digitan.</w:t>
            </w:r>
          </w:p>
        </w:tc>
      </w:tr>
      <w:tr>
        <w:trPr>
          <w:cantSplit/>
        </w:trPr>
        <w:tc>
          <w:tcPr>
            <w:tcW w:w="308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RN-23</w:t>
            </w:r>
          </w:p>
        </w:tc>
        <w:tc>
          <w:tcPr>
            <w:tcW w:w="656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 activo con algún criterio CID igual a 4, o con importancia alta o muy alta, queda marcado «requiere gestión de riesgos» (GT-M4 4.2.6).</w:t>
            </w:r>
          </w:p>
        </w:tc>
      </w:tr>
      <w:tr>
        <w:trPr>
          <w:cantSplit/>
        </w:trPr>
        <w:tc>
          <w:tcPr>
            <w:tcW w:w="3080" w:type="dxa"/>
          </w:tcPr>
          <w:p>
            <w:pPr>
              <w:pStyle w:val="Tabla"/>
            </w:pPr>
            <w:r>
              <w:rPr/>
              <w:t xml:space="preserve">RN-24</w:t>
            </w:r>
          </w:p>
        </w:tc>
        <w:tc>
          <w:tcPr>
            <w:tcW w:w="6560" w:type="dxa"/>
          </w:tcPr>
          <w:p>
            <w:pPr>
              <w:pStyle w:val="Tabla"/>
            </w:pPr>
            <w:r>
              <w:rPr/>
              <w:t xml:space="preserve">Si un activo no contiene datos personales, su clasificación de datos personales es «no aplica».</w:t>
            </w:r>
          </w:p>
        </w:tc>
      </w:tr>
      <w:tr>
        <w:trPr>
          <w:cantSplit/>
        </w:trPr>
        <w:tc>
          <w:tcPr>
            <w:tcW w:w="308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RN-25</w:t>
            </w:r>
          </w:p>
        </w:tc>
        <w:tc>
          <w:tcPr>
            <w:tcW w:w="656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Los activos de tipo soporte no tienen valoración de información.</w:t>
            </w:r>
          </w:p>
        </w:tc>
      </w:tr>
      <w:tr>
        <w:trPr>
          <w:cantSplit/>
        </w:trPr>
        <w:tc>
          <w:tcPr>
            <w:tcW w:w="3080" w:type="dxa"/>
          </w:tcPr>
          <w:p>
            <w:pPr>
              <w:pStyle w:val="Tabla"/>
            </w:pPr>
            <w:r>
              <w:rPr/>
              <w:t xml:space="preserve">RN-26</w:t>
            </w:r>
          </w:p>
        </w:tc>
        <w:tc>
          <w:tcPr>
            <w:tcW w:w="6560" w:type="dxa"/>
          </w:tcPr>
          <w:p>
            <w:pPr>
              <w:pStyle w:val="Tabla"/>
            </w:pPr>
            <w:r>
              <w:rPr/>
              <w:t xml:space="preserve">De la planta de personal solo se guardan los datos de RF-18 (RNF-19).</w:t>
            </w:r>
          </w:p>
        </w:tc>
      </w:tr>
      <w:tr>
        <w:trPr>
          <w:cantSplit/>
        </w:trPr>
        <w:tc>
          <w:tcPr>
            <w:tcW w:w="308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RN-27</w:t>
            </w:r>
          </w:p>
        </w:tc>
        <w:tc>
          <w:tcPr>
            <w:tcW w:w="656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número de activo (consecutivo) se asigna al crear el equipo y nunca se reutiliza ni cambia.</w:t>
            </w:r>
          </w:p>
        </w:tc>
      </w:tr>
      <w:tr>
        <w:trPr>
          <w:cantSplit/>
        </w:trPr>
        <w:tc>
          <w:tcPr>
            <w:tcW w:w="3080" w:type="dxa"/>
          </w:tcPr>
          <w:p>
            <w:pPr>
              <w:pStyle w:val="Tabla"/>
            </w:pPr>
            <w:r>
              <w:rPr/>
              <w:t xml:space="preserve">RN-28</w:t>
            </w:r>
          </w:p>
        </w:tc>
        <w:tc>
          <w:tcPr>
            <w:tcW w:w="6560" w:type="dxa"/>
          </w:tcPr>
          <w:p>
            <w:pPr>
              <w:pStyle w:val="Tabla"/>
            </w:pPr>
            <w:r>
              <w:rPr/>
              <w:t xml:space="preserve">Un mantenimiento preventivo se enlaza a una programación de la vigencia; si el equipo no está en la dependencia y sede programadas, el sistema pide confirmación.</w:t>
            </w:r>
          </w:p>
        </w:tc>
      </w:tr>
      <w:tr>
        <w:trPr>
          <w:cantSplit/>
        </w:trPr>
        <w:tc>
          <w:tcPr>
            <w:tcW w:w="308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RN-29</w:t>
            </w:r>
          </w:p>
        </w:tc>
        <w:tc>
          <w:tcPr>
            <w:tcW w:w="656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La dirección de una sede reservada no se muestra en ninguna salida del sistema.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8. Modelo de dominio</w:t>
      </w:r>
    </w:p>
    <w:p>
      <w:pPr/>
      <w:r>
        <w:rPr/>
        <w:t xml:space="preserve">El modelo físico completo, con diccionario, valores oficiales de los catálogos y plan de migración, está en </w:t>
      </w:r>
      <w:r>
        <w:rPr>
          <w:b/>
        </w:rPr>
        <w:t xml:space="preserve">base-de-datos.md</w:t>
      </w:r>
      <w:r>
        <w:rPr/>
        <w:t xml:space="preserve">. El DBML para dbdiagram.io está en database/dbml/hoja-vida-activos.dbml y el SQL equivalente en hoja-vida-activos.sql.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49"/>
        <w:gridCol w:w="4298"/>
        <w:gridCol w:w="3193"/>
      </w:tblGrid>
      <w:tr>
        <w:trPr>
          <w:tblHeader/>
          <w:cantSplit/>
        </w:trPr>
        <w:tc>
          <w:tcPr>
            <w:tcW w:w="2149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Bloque</w:t>
            </w:r>
          </w:p>
        </w:tc>
        <w:tc>
          <w:tcPr>
            <w:tcW w:w="429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Entidades</w:t>
            </w:r>
          </w:p>
        </w:tc>
        <w:tc>
          <w:tcPr>
            <w:tcW w:w="319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Fuente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Estructura organizacional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Proceso, Dependencia (árbol), Equivalencia, Municipio, Sede, Piso, UbicaciónDependencia, Cargo, Persona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Decretos 607 y 609, plantas, PAMP, FOR.01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Catálogos del activo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TipoEquipo, Marca, Modelo, SistemaOperativo, TipoComponente, MotivoBaja, Proveedor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FOR.01, GT-M4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Equipo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Equipo, ValoraciónActivo, ConfiguraciónCómputo, Componente, PuestoTrabajo, Asignación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GT-M4, FOR.01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Eventos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Evento, CambioComponente, Diagnóstico, Documento, EtiquetaQR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v3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Mantenimiento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PlanMantenimiento, ProgramaciónMantenimiento, Mantenimiento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PAMP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Levantamiento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LevantamientoActivos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GT-M4 4.1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Sistema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Usuario, Auditoría, Importación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v3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8.1 Ficha del equipo frente al formato FOR.01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5049"/>
        <w:gridCol w:w="4591"/>
      </w:tblGrid>
      <w:tr>
        <w:trPr>
          <w:tblHeader/>
          <w:cantSplit/>
        </w:trPr>
        <w:tc>
          <w:tcPr>
            <w:tcW w:w="5049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Columna del FOR.01</w:t>
            </w:r>
          </w:p>
        </w:tc>
        <w:tc>
          <w:tcPr>
            <w:tcW w:w="4591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Dónde queda en el sistema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ID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equipos.numero_activo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Sucursal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Sede de la asignación actual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Proceso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equipos.proceso_id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Área o Dependencia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Dependencia de la asignación actual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Nombre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/>
              <w:t xml:space="preserve">Tipo de equipo + marca + modelo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Descripción Activo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equipos.descripcion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Tipo de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tipos_equipo.tipo_activo</w:t>
            </w:r>
            <w:r>
              <w:rPr/>
              <w:t xml:space="preserve"> (hardware o soporte)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Contiene datos personales / Clasificación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Infraestructura crítica / Continuidad del negocio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Propietario del activo (cargo) / Custodio técnico (cargo)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Tipo ubicación del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valoraciones_activo.tipo_ubicacion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Tiempo de retención de los datos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valoraciones_activo.tiempo_retencion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Confidencialidad / Integridad / Disponibilidad (escenario y respuesta)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/>
              <w:t xml:space="preserve">Valores 1 a 4; la respuesta es el texto de la escala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Total / Importancia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Calculados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9. Estados del equipo y tipos de evento</w:t>
      </w:r>
    </w:p>
    <w:p>
      <w:pPr/>
      <w:r>
        <w:rPr/>
        <w:t xml:space="preserve">Estados del ciclo de vida: </w:t>
      </w:r>
      <w:r>
        <w:rPr>
          <w:b/>
        </w:rPr>
        <w:t xml:space="preserve">En servicio</w:t>
      </w:r>
      <w:r>
        <w:rPr/>
        <w:t xml:space="preserve">, </w:t>
      </w:r>
      <w:r>
        <w:rPr>
          <w:b/>
        </w:rPr>
        <w:t xml:space="preserve">Sin asignar</w:t>
      </w:r>
      <w:r>
        <w:rPr/>
        <w:t xml:space="preserve"> y </w:t>
      </w:r>
      <w:r>
        <w:rPr>
          <w:b/>
        </w:rPr>
        <w:t xml:space="preserve">Dado de baja</w:t>
      </w:r>
      <w:r>
        <w:rPr/>
        <w:t xml:space="preserve">, más la marca </w:t>
      </w:r>
      <w:r>
        <w:rPr>
          <w:b/>
        </w:rPr>
        <w:t xml:space="preserve">Verificado / Pendiente de verificar</w:t>
      </w:r>
      <w:r>
        <w:rPr/>
        <w:t xml:space="preserve">. El estado de funcionamiento pasa a lista cerrada: bueno, regular (requiere mantenimiento), malo (requiere componentes), no funcional (requiere baja).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18"/>
        <w:gridCol w:w="2733"/>
        <w:gridCol w:w="2110"/>
        <w:gridCol w:w="2879"/>
      </w:tblGrid>
      <w:tr>
        <w:trPr>
          <w:tblHeader/>
          <w:cantSplit/>
        </w:trPr>
        <w:tc>
          <w:tcPr>
            <w:tcW w:w="191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Tipo de evento</w:t>
            </w:r>
          </w:p>
        </w:tc>
        <w:tc>
          <w:tcPr>
            <w:tcW w:w="273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Efecto</w:t>
            </w:r>
          </w:p>
        </w:tc>
        <w:tc>
          <w:tcPr>
            <w:tcW w:w="211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Firmas</w:t>
            </w:r>
          </w:p>
        </w:tc>
        <w:tc>
          <w:tcPr>
            <w:tcW w:w="2879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Datos propios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a"/>
            </w:pPr>
            <w:r>
              <w:rPr/>
              <w:t xml:space="preserve">Alta</w:t>
            </w:r>
          </w:p>
        </w:tc>
        <w:tc>
          <w:tcPr>
            <w:tcW w:w="2733" w:type="dxa"/>
          </w:tcPr>
          <w:p>
            <w:pPr>
              <w:pStyle w:val="Tabla"/>
            </w:pPr>
            <w:r>
              <w:rPr/>
              <w:t xml:space="preserve">Crea el equipo</w:t>
            </w:r>
          </w:p>
        </w:tc>
        <w:tc>
          <w:tcPr>
            <w:tcW w:w="2110" w:type="dxa"/>
          </w:tcPr>
          <w:p>
            <w:pPr>
              <w:pStyle w:val="Tabla"/>
            </w:pPr>
            <w:r>
              <w:rPr/>
              <w:t xml:space="preserve">Entrega, si se entrega</w:t>
            </w:r>
          </w:p>
        </w:tc>
        <w:tc>
          <w:tcPr>
            <w:tcW w:w="2879" w:type="dxa"/>
          </w:tcPr>
          <w:p>
            <w:pPr>
              <w:pStyle w:val="Tabla"/>
            </w:pPr>
            <w:r>
              <w:rPr/>
              <w:t xml:space="preserve">Forma de ingreso, adquisición</w:t>
            </w:r>
          </w:p>
        </w:tc>
      </w:tr>
      <w:tr>
        <w:trPr>
          <w:cantSplit/>
        </w:trPr>
        <w:tc>
          <w:tcPr>
            <w:tcW w:w="19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Traslado / cambio de responsable</w:t>
            </w:r>
          </w:p>
        </w:tc>
        <w:tc>
          <w:tcPr>
            <w:tcW w:w="273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Puede cambiar entre «en servicio» y «sin asignar»</w:t>
            </w:r>
          </w:p>
        </w:tc>
        <w:tc>
          <w:tcPr>
            <w:tcW w:w="211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Baja y entrega</w:t>
            </w:r>
          </w:p>
        </w:tc>
        <w:tc>
          <w:tcPr>
            <w:tcW w:w="287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Origen, destino, motivo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a"/>
            </w:pPr>
            <w:r>
              <w:rPr/>
              <w:t xml:space="preserve">Cambio de componente</w:t>
            </w:r>
          </w:p>
        </w:tc>
        <w:tc>
          <w:tcPr>
            <w:tcW w:w="2733" w:type="dxa"/>
          </w:tcPr>
          <w:p>
            <w:pPr>
              <w:pStyle w:val="Tabla"/>
            </w:pPr>
            <w:r>
              <w:rPr/>
              <w:t xml:space="preserve">Actualiza la configuración</w:t>
            </w:r>
          </w:p>
        </w:tc>
        <w:tc>
          <w:tcPr>
            <w:tcW w:w="2110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879" w:type="dxa"/>
          </w:tcPr>
          <w:p>
            <w:pPr>
              <w:pStyle w:val="Tabla"/>
            </w:pPr>
            <w:r>
              <w:rPr/>
              <w:t xml:space="preserve">Acción, seriales, destino</w:t>
            </w:r>
          </w:p>
        </w:tc>
      </w:tr>
      <w:tr>
        <w:trPr>
          <w:cantSplit/>
        </w:trPr>
        <w:tc>
          <w:tcPr>
            <w:tcW w:w="1918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Mantenimiento</w:t>
            </w:r>
            <w:r>
              <w:rPr/>
              <w:t xml:space="preserve"> (nuevo)</w:t>
            </w:r>
          </w:p>
        </w:tc>
        <w:tc>
          <w:tcPr>
            <w:tcW w:w="273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Actualiza el estado de funcionamiento</w:t>
            </w:r>
          </w:p>
        </w:tc>
        <w:tc>
          <w:tcPr>
            <w:tcW w:w="211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Formato de mantenimiento (si aplica)</w:t>
            </w:r>
          </w:p>
        </w:tc>
        <w:tc>
          <w:tcPr>
            <w:tcW w:w="287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Tipo, programación, actividades, hallazgos, duración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a"/>
            </w:pPr>
            <w:r>
              <w:rPr/>
              <w:t xml:space="preserve">Diagnóstico</w:t>
            </w:r>
          </w:p>
        </w:tc>
        <w:tc>
          <w:tcPr>
            <w:tcW w:w="2733" w:type="dxa"/>
          </w:tcPr>
          <w:p>
            <w:pPr>
              <w:pStyle w:val="Tabla"/>
            </w:pPr>
            <w:r>
              <w:rPr/>
              <w:t xml:space="preserve">Ninguno</w:t>
            </w:r>
          </w:p>
        </w:tc>
        <w:tc>
          <w:tcPr>
            <w:tcW w:w="2110" w:type="dxa"/>
          </w:tcPr>
          <w:p>
            <w:pPr>
              <w:pStyle w:val="Tabla"/>
            </w:pPr>
            <w:r>
              <w:rPr/>
              <w:t xml:space="preserve">Según el caso</w:t>
            </w:r>
          </w:p>
        </w:tc>
        <w:tc>
          <w:tcPr>
            <w:tcW w:w="2879" w:type="dxa"/>
          </w:tcPr>
          <w:p>
            <w:pPr>
              <w:pStyle w:val="Tabla"/>
            </w:pPr>
            <w:r>
              <w:rPr/>
              <w:t xml:space="preserve">Estado, causa, recomendaciones</w:t>
            </w:r>
          </w:p>
        </w:tc>
      </w:tr>
      <w:tr>
        <w:trPr>
          <w:cantSplit/>
        </w:trPr>
        <w:tc>
          <w:tcPr>
            <w:tcW w:w="1918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Valoración</w:t>
            </w:r>
            <w:r>
              <w:rPr/>
              <w:t xml:space="preserve"> (nuevo)</w:t>
            </w:r>
          </w:p>
        </w:tc>
        <w:tc>
          <w:tcPr>
            <w:tcW w:w="273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Reemplaza la valoración vigente</w:t>
            </w:r>
          </w:p>
        </w:tc>
        <w:tc>
          <w:tcPr>
            <w:tcW w:w="211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 (el acta va en el levantamiento)</w:t>
            </w:r>
          </w:p>
        </w:tc>
        <w:tc>
          <w:tcPr>
            <w:tcW w:w="287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CID, atributos, propietario, custodio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a"/>
            </w:pPr>
            <w:r>
              <w:rPr/>
              <w:t xml:space="preserve">Baja</w:t>
            </w:r>
          </w:p>
        </w:tc>
        <w:tc>
          <w:tcPr>
            <w:tcW w:w="2733" w:type="dxa"/>
          </w:tcPr>
          <w:p>
            <w:pPr>
              <w:pStyle w:val="Tabla"/>
            </w:pPr>
            <w:r>
              <w:rPr/>
              <w:t xml:space="preserve">→ Dado de baja</w:t>
            </w:r>
          </w:p>
        </w:tc>
        <w:tc>
          <w:tcPr>
            <w:tcW w:w="2110" w:type="dxa"/>
          </w:tcPr>
          <w:p>
            <w:pPr>
              <w:pStyle w:val="Tabla"/>
            </w:pPr>
            <w:r>
              <w:rPr/>
              <w:t xml:space="preserve">Formato de baja</w:t>
            </w:r>
          </w:p>
        </w:tc>
        <w:tc>
          <w:tcPr>
            <w:tcW w:w="2879" w:type="dxa"/>
          </w:tcPr>
          <w:p>
            <w:pPr>
              <w:pStyle w:val="Tabla"/>
            </w:pPr>
            <w:r>
              <w:rPr/>
              <w:t xml:space="preserve">Motivo, diagnóstico</w:t>
            </w:r>
          </w:p>
        </w:tc>
      </w:tr>
      <w:tr>
        <w:trPr>
          <w:cantSplit/>
        </w:trPr>
        <w:tc>
          <w:tcPr>
            <w:tcW w:w="19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Actualización de datos</w:t>
            </w:r>
          </w:p>
        </w:tc>
        <w:tc>
          <w:tcPr>
            <w:tcW w:w="273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Ninguno</w:t>
            </w:r>
          </w:p>
        </w:tc>
        <w:tc>
          <w:tcPr>
            <w:tcW w:w="211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87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Antes y después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a"/>
            </w:pPr>
            <w:r>
              <w:rPr/>
              <w:t xml:space="preserve">Anulación / aclaración</w:t>
            </w:r>
          </w:p>
        </w:tc>
        <w:tc>
          <w:tcPr>
            <w:tcW w:w="2733" w:type="dxa"/>
          </w:tcPr>
          <w:p>
            <w:pPr>
              <w:pStyle w:val="Tabla"/>
            </w:pPr>
            <w:r>
              <w:rPr/>
              <w:t xml:space="preserve">Revierte el evento anulado</w:t>
            </w:r>
          </w:p>
        </w:tc>
        <w:tc>
          <w:tcPr>
            <w:tcW w:w="2110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879" w:type="dxa"/>
          </w:tcPr>
          <w:p>
            <w:pPr>
              <w:pStyle w:val="Tabla"/>
            </w:pPr>
            <w:r>
              <w:rPr/>
              <w:t xml:space="preserve">Evento y motivo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10. Casos de uso</w:t>
      </w:r>
    </w:p>
    <w:p>
      <w:pPr/>
      <w:r>
        <w:rPr/>
        <w:t xml:space="preserve">Se mantienen CU-01 a CU-15 de v3 (CU-01 cambia de fuente).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664"/>
        <w:gridCol w:w="4577"/>
        <w:gridCol w:w="1456"/>
        <w:gridCol w:w="1943"/>
      </w:tblGrid>
      <w:tr>
        <w:trPr>
          <w:tblHeader/>
          <w:cantSplit/>
        </w:trPr>
        <w:tc>
          <w:tcPr>
            <w:tcW w:w="166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457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Caso de uso</w:t>
            </w:r>
          </w:p>
        </w:tc>
        <w:tc>
          <w:tcPr>
            <w:tcW w:w="1456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Actor</w:t>
            </w:r>
          </w:p>
        </w:tc>
        <w:tc>
          <w:tcPr>
            <w:tcW w:w="194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RF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CU-01 </w:t>
            </w:r>
            <w:r>
              <w:rPr>
                <w:b/>
              </w:rPr>
              <w:t xml:space="preserve">(mod.)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Cargar datos desde la plantilla oficial (equipos, personas, valoraciones)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RF-38 a RF-42, RF-55</w:t>
            </w:r>
          </w:p>
        </w:tc>
      </w:tr>
      <w:tr>
        <w:trPr>
          <w:cantSplit/>
        </w:trPr>
        <w:tc>
          <w:tcPr>
            <w:tcW w:w="16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CU-16</w:t>
            </w:r>
          </w:p>
        </w:tc>
        <w:tc>
          <w:tcPr>
            <w:tcW w:w="457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Valorar un activo</w:t>
            </w:r>
          </w:p>
        </w:tc>
        <w:tc>
          <w:tcPr>
            <w:tcW w:w="145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RF-56, RF-57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CU-17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Reclasificar un activo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RF-58</w:t>
            </w:r>
          </w:p>
        </w:tc>
      </w:tr>
      <w:tr>
        <w:trPr>
          <w:cantSplit/>
        </w:trPr>
        <w:tc>
          <w:tcPr>
            <w:tcW w:w="16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CU-18</w:t>
            </w:r>
          </w:p>
        </w:tc>
        <w:tc>
          <w:tcPr>
            <w:tcW w:w="457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Hacer el levantamiento de activos de una dependencia</w:t>
            </w:r>
          </w:p>
        </w:tc>
        <w:tc>
          <w:tcPr>
            <w:tcW w:w="145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RF-59, RF-53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CU-19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Registrar el plan anual de mantenimiento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RF-60</w:t>
            </w:r>
          </w:p>
        </w:tc>
      </w:tr>
      <w:tr>
        <w:trPr>
          <w:cantSplit/>
        </w:trPr>
        <w:tc>
          <w:tcPr>
            <w:tcW w:w="16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CU-20</w:t>
            </w:r>
          </w:p>
        </w:tc>
        <w:tc>
          <w:tcPr>
            <w:tcW w:w="457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Ejecutar un mantenimiento programado</w:t>
            </w:r>
          </w:p>
        </w:tc>
        <w:tc>
          <w:tcPr>
            <w:tcW w:w="145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RF-61, RF-62, RF-64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CU-21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Consultar el cumplimiento del plan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RF-63</w:t>
            </w:r>
          </w:p>
        </w:tc>
      </w:tr>
      <w:tr>
        <w:trPr>
          <w:cantSplit/>
        </w:trPr>
        <w:tc>
          <w:tcPr>
            <w:tcW w:w="16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CU-22</w:t>
            </w:r>
          </w:p>
        </w:tc>
        <w:tc>
          <w:tcPr>
            <w:tcW w:w="457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Administrar la estructura organizacional</w:t>
            </w:r>
          </w:p>
        </w:tc>
        <w:tc>
          <w:tcPr>
            <w:tcW w:w="145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Administrador</w:t>
            </w:r>
          </w:p>
        </w:tc>
        <w:tc>
          <w:tcPr>
            <w:tcW w:w="194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RF-45, RF-65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10.1 CU-16 · Valorar un activo</w:t>
      </w:r>
    </w:p>
    <w:p>
      <w:pPr/>
      <w:r>
        <w:rPr>
          <w:b/>
        </w:rPr>
        <w:t xml:space="preserve">Precondición:</w:t>
      </w:r>
      <w:r>
        <w:rPr/>
        <w:t xml:space="preserve"> el equipo existe, es de tipo hardware y no está dado de baja.</w:t>
      </w:r>
    </w:p>
    <w:p>
      <w:pPr>
        <w:pStyle w:val="Lista"/>
        <w:ind w:left="360" w:hanging="360"/>
      </w:pPr>
      <w:r>
        <w:rPr/>
        <w:t xml:space="preserve">1. Desde la hoja de vida, elegir «Valorar activo».</w:t>
      </w:r>
    </w:p>
    <w:p>
      <w:pPr>
        <w:pStyle w:val="Lista"/>
        <w:ind w:left="360" w:hanging="360"/>
      </w:pPr>
      <w:r>
        <w:rPr/>
        <w:t xml:space="preserve">2. Responder datos personales y su clasificación, infraestructura crítica, continuidad del negocio, tipo de ubicación y retención.</w:t>
      </w:r>
    </w:p>
    <w:p>
      <w:pPr>
        <w:pStyle w:val="Lista"/>
        <w:ind w:left="360" w:hanging="360"/>
      </w:pPr>
      <w:r>
        <w:rPr/>
        <w:t xml:space="preserve">3. Indicar los cargos del propietario (sugerido: el director de la dependencia) y del custodio.</w:t>
      </w:r>
    </w:p>
    <w:p>
      <w:pPr>
        <w:pStyle w:val="Lista"/>
        <w:ind w:left="360" w:hanging="360"/>
      </w:pPr>
      <w:r>
        <w:rPr/>
        <w:t xml:space="preserve">4. Elegir, para C, I y D, la respuesta de la escala del GT-M4; el sistema muestra el valor de 1 a 4.</w:t>
      </w:r>
    </w:p>
    <w:p>
      <w:pPr>
        <w:pStyle w:val="Lista"/>
        <w:ind w:left="360" w:hanging="360"/>
      </w:pPr>
      <w:r>
        <w:rPr/>
        <w:t xml:space="preserve">5. El sistema calcula el total y la importancia, y marca si requiere gestión de riesgos.</w:t>
      </w:r>
    </w:p>
    <w:p>
      <w:pPr>
        <w:pStyle w:val="Lista"/>
        <w:ind w:left="360" w:hanging="360"/>
      </w:pPr>
      <w:r>
        <w:rPr/>
        <w:t xml:space="preserve">6. Al guardar se crea el evento </w:t>
      </w:r>
      <w:r>
        <w:rPr>
          <w:rFonts w:ascii="Consolas" w:hAnsi="Consolas"/>
          <w:sz w:val="19"/>
        </w:rPr>
        <w:t xml:space="preserve">valoracion</w:t>
      </w:r>
      <w:r>
        <w:rPr/>
        <w:t xml:space="preserve"> y la valoración anterior deja de estar vigente.</w:t>
      </w:r>
    </w:p>
    <w:p>
      <w:pPr>
        <w:pStyle w:val="Heading2"/>
      </w:pPr>
      <w:r>
        <w:rPr/>
        <w:t xml:space="preserve">10.2 CU-18 · Levantamiento de activos de una dependencia</w:t>
      </w:r>
    </w:p>
    <w:p>
      <w:pPr>
        <w:pStyle w:val="Lista"/>
        <w:ind w:left="360" w:hanging="360"/>
      </w:pPr>
      <w:r>
        <w:rPr/>
        <w:t xml:space="preserve">1. Crear el levantamiento eligiendo dependencia, proceso y sede.</w:t>
      </w:r>
    </w:p>
    <w:p>
      <w:pPr>
        <w:pStyle w:val="Lista"/>
        <w:ind w:left="360" w:hanging="360"/>
      </w:pPr>
      <w:r>
        <w:rPr/>
        <w:t xml:space="preserve">2. El sistema lista los equipos asignados a esa dependencia (y sus subdependencias) y señala los que no tienen valoración.</w:t>
      </w:r>
    </w:p>
    <w:p>
      <w:pPr>
        <w:pStyle w:val="Lista"/>
        <w:ind w:left="360" w:hanging="360"/>
      </w:pPr>
      <w:r>
        <w:rPr/>
        <w:t xml:space="preserve">3. El técnico verifica cada equipo en sitio: serial, componentes, valoración y etiqueta QR.</w:t>
      </w:r>
    </w:p>
    <w:p>
      <w:pPr>
        <w:pStyle w:val="Lista"/>
        <w:ind w:left="360" w:hanging="360"/>
      </w:pPr>
      <w:r>
        <w:rPr/>
        <w:t xml:space="preserve">4. El sistema genera la matriz FOR.01 y el acta de aceptación prellenada.</w:t>
      </w:r>
    </w:p>
    <w:p>
      <w:pPr>
        <w:pStyle w:val="Lista"/>
        <w:ind w:left="360" w:hanging="360"/>
      </w:pPr>
      <w:r>
        <w:rPr/>
        <w:t xml:space="preserve">5. Firman el propietario y los custodios; se sube el acta y el levantamiento queda «Aceptado».</w:t>
      </w:r>
    </w:p>
    <w:p>
      <w:pPr>
        <w:pStyle w:val="Heading2"/>
      </w:pPr>
      <w:r>
        <w:rPr/>
        <w:t xml:space="preserve">10.3 CU-20 · Ejecutar un mantenimiento programado</w:t>
      </w:r>
    </w:p>
    <w:p>
      <w:pPr/>
      <w:r>
        <w:rPr>
          <w:b/>
        </w:rPr>
        <w:t xml:space="preserve">Precondición:</w:t>
      </w:r>
      <w:r>
        <w:rPr/>
        <w:t xml:space="preserve"> existe un plan aprobado para la vigencia.</w:t>
      </w:r>
    </w:p>
    <w:p>
      <w:pPr>
        <w:pStyle w:val="Lista"/>
        <w:ind w:left="360" w:hanging="360"/>
      </w:pPr>
      <w:r>
        <w:rPr/>
        <w:t xml:space="preserve">1. Elegir la programación del mes (dependencia y sede).</w:t>
      </w:r>
    </w:p>
    <w:p>
      <w:pPr>
        <w:pStyle w:val="Lista"/>
        <w:ind w:left="360" w:hanging="360"/>
      </w:pPr>
      <w:r>
        <w:rPr/>
        <w:t xml:space="preserve">2. El sistema muestra la lista de trabajo con los equipos asignados ahí.</w:t>
      </w:r>
    </w:p>
    <w:p>
      <w:pPr>
        <w:pStyle w:val="Lista"/>
        <w:ind w:left="360" w:hanging="360"/>
      </w:pPr>
      <w:r>
        <w:rPr/>
        <w:t xml:space="preserve">3. Por cada equipo: marcar las actividades hechas, anotar hallazgos, insumos y duración, y elegir el estado resultante.</w:t>
      </w:r>
    </w:p>
    <w:p>
      <w:pPr>
        <w:pStyle w:val="Lista"/>
        <w:ind w:left="360" w:hanging="360"/>
      </w:pPr>
      <w:r>
        <w:rPr/>
        <w:t xml:space="preserve">4. Si se cambió una pieza, registrar en el mismo flujo el cambio de componente.</w:t>
      </w:r>
    </w:p>
    <w:p>
      <w:pPr>
        <w:pStyle w:val="Lista"/>
        <w:ind w:left="360" w:hanging="360"/>
      </w:pPr>
      <w:r>
        <w:rPr/>
        <w:t xml:space="preserve">5. Cada equipo queda con su evento </w:t>
      </w:r>
      <w:r>
        <w:rPr>
          <w:rFonts w:ascii="Consolas" w:hAnsi="Consolas"/>
          <w:sz w:val="19"/>
        </w:rPr>
        <w:t xml:space="preserve">mantenimiento</w:t>
      </w:r>
      <w:r>
        <w:rPr/>
        <w:t xml:space="preserve">; opcionalmente se genera el formato para firma.</w:t>
      </w:r>
    </w:p>
    <w:p>
      <w:pPr/>
      <w:r>
        <w:rPr>
          <w:b/>
        </w:rPr>
        <w:t xml:space="preserve">Alternativo:</w:t>
      </w:r>
      <w:r>
        <w:rPr/>
        <w:t xml:space="preserve"> mantenimiento correctivo, sin programación, desde la hoja de vida.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11. Reportes y salidas</w:t>
      </w:r>
    </w:p>
    <w:p>
      <w:pPr/>
      <w:r>
        <w:rPr>
          <w:b/>
        </w:rPr>
        <w:t xml:space="preserve">Formatos para firma:</w:t>
      </w:r>
      <w:r>
        <w:rPr/>
        <w:t xml:space="preserve"> entrega, baja, </w:t>
      </w:r>
      <w:r>
        <w:rPr>
          <w:b/>
        </w:rPr>
        <w:t xml:space="preserve">mantenimiento</w:t>
      </w:r>
      <w:r>
        <w:rPr/>
        <w:t xml:space="preserve"> (nuevo) y </w:t>
      </w:r>
      <w:r>
        <w:rPr>
          <w:b/>
        </w:rPr>
        <w:t xml:space="preserve">acta de aceptación de activos</w:t>
      </w:r>
      <w:r>
        <w:rPr/>
        <w:t xml:space="preserve"> (nueva).</w:t>
      </w:r>
    </w:p>
    <w:p>
      <w:pPr/>
      <w:r>
        <w:rPr>
          <w:b/>
        </w:rPr>
        <w:t xml:space="preserve">Reportes:</w:t>
      </w:r>
      <w:r>
        <w:rPr/>
        <w:t xml:space="preserve"> se mantienen los 15 de v3 y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155"/>
        <w:gridCol w:w="5485"/>
      </w:tblGrid>
      <w:tr>
        <w:trPr>
          <w:tblHeader/>
          <w:cantSplit/>
        </w:trPr>
        <w:tc>
          <w:tcPr>
            <w:tcW w:w="415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Reporte</w:t>
            </w:r>
          </w:p>
        </w:tc>
        <w:tc>
          <w:tcPr>
            <w:tcW w:w="548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Pregunta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Matriz de inventario de activos (FOR.01)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¿Cómo queda la matriz oficial de un proceso o dependencia?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Activos que requieren gestión de riesgos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activos deben pasar a la matriz de riesgos y por qué criterio?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Activos por importancia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¿Cuántos activos hay de importancia muy alta, alta, media y baja, por dependencia?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Cumplimiento del plan de mantenimiento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se ha mantenido frente a lo programado, por mes?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Historial de mantenimientos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¿Qué mantenimientos tuvo un equipo o una dependencia?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Garantías y vida útil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garantías vencen y qué equipos superaron su vida útil?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Personas por retirarse con equipos a cargo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¿Quién termina contrato y aún tiene equipos?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Equipos por estructura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tiene cada secretaría, incluidas sus direcciones y áreas?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12. Carga de datos</w:t>
      </w:r>
    </w:p>
    <w:p>
      <w:pPr/>
      <w:r>
        <w:rPr/>
        <w:t xml:space="preserve">Los Excel </w:t>
      </w:r>
      <w:r>
        <w:rPr>
          <w:b/>
        </w:rPr>
        <w:t xml:space="preserve">no definen el modelo</w:t>
      </w:r>
      <w:r>
        <w:rPr/>
        <w:t xml:space="preserve">; solo alimentan datos. Se hacen tres cargas, todas con vista previa, modo simulación y fila de origen:</w:t>
      </w:r>
    </w:p>
    <w:p>
      <w:pPr>
        <w:pStyle w:val="Lista"/>
        <w:ind w:left="360" w:hanging="360"/>
      </w:pPr>
      <w:r>
        <w:rPr/>
        <w:t xml:space="preserve">1. </w:t>
      </w:r>
      <w:r>
        <w:rPr>
          <w:b/>
        </w:rPr>
        <w:t xml:space="preserve">Catálogos oficiales</w:t>
      </w:r>
      <w:r>
        <w:rPr/>
        <w:t xml:space="preserve"> (seeders, no Excel): procesos, árbol de dependencias con equivalencias, municipios, sedes y pisos, ubicación de dependencias, cargos y tipos de equipo, con los valores de base-de-datos.md.</w:t>
      </w:r>
    </w:p>
    <w:p>
      <w:pPr>
        <w:pStyle w:val="Lista"/>
        <w:ind w:left="360" w:hanging="360"/>
      </w:pPr>
      <w:r>
        <w:rPr/>
        <w:t xml:space="preserve">2. </w:t>
      </w:r>
      <w:r>
        <w:rPr>
          <w:b/>
        </w:rPr>
        <w:t xml:space="preserve">Personas</w:t>
      </w:r>
      <w:r>
        <w:rPr/>
        <w:t xml:space="preserve"> desde las plantas de Talento Humano, Central y Educación, con solo las columnas permitidas (RNF-19).</w:t>
      </w:r>
    </w:p>
    <w:p>
      <w:pPr>
        <w:pStyle w:val="Lista"/>
        <w:ind w:left="360" w:hanging="360"/>
      </w:pPr>
      <w:r>
        <w:rPr/>
        <w:t xml:space="preserve">3. </w:t>
      </w:r>
      <w:r>
        <w:rPr>
          <w:b/>
        </w:rPr>
        <w:t xml:space="preserve">Equipos</w:t>
      </w:r>
      <w:r>
        <w:rPr/>
        <w:t xml:space="preserve"> desde la plantilla oficial de carga. Para el inventario 2026 se publica la tabla de correspondencia de sus columnas con la plantilla; sus 175 variantes de dependencia se resuelven con la tabla de equivalencias.</w:t>
      </w:r>
    </w:p>
    <w:p>
      <w:pPr>
        <w:pStyle w:val="Lista"/>
        <w:ind w:left="360" w:hanging="360"/>
      </w:pPr>
      <w:r>
        <w:rPr/>
        <w:t xml:space="preserve">4. </w:t>
      </w:r>
      <w:r>
        <w:rPr>
          <w:b/>
        </w:rPr>
        <w:t xml:space="preserve">Valoraciones</w:t>
      </w:r>
      <w:r>
        <w:rPr/>
        <w:t xml:space="preserve"> desde la matriz FOR.01 diligenciada por cada proceso (opcional; también se valora en pantalla).</w:t>
      </w:r>
    </w:p>
    <w:p>
      <w:pPr>
        <w:pStyle w:val="Lista"/>
        <w:ind w:left="360" w:hanging="360"/>
      </w:pPr>
      <w:r>
        <w:rPr/>
        <w:t xml:space="preserve">5. </w:t>
      </w:r>
      <w:r>
        <w:rPr>
          <w:b/>
        </w:rPr>
        <w:t xml:space="preserve">Plan de mantenimiento</w:t>
      </w:r>
      <w:r>
        <w:rPr/>
        <w:t xml:space="preserve"> desde el Excel del PAMP.</w:t>
      </w:r>
    </w:p>
    <w:p>
      <w:pPr/>
      <w:r>
        <w:rPr/>
        <w:t xml:space="preserve">Todo lo cargado sin serial queda «Pendiente de verificar» y se verifica dentro de un levantamiento (CU-18), que es cuando se pega la etiqueta QR.</w:t>
      </w:r>
    </w:p>
    <w:p>
      <w:pPr/>
      <w:r>
        <w:rPr>
          <w:b/>
        </w:rPr>
        <w:t xml:space="preserve">Criterios de aceptación:</w:t>
      </w:r>
      <w:r>
        <w:rPr/>
        <w:t xml:space="preserve"> ningún catálogo como texto libre; cada equipo con su fila de origen; conteos por sede y piso comparables con los del PAMP; ninguna columna sensible de la planta guardada.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13. Alcance por fases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798"/>
        <w:gridCol w:w="3420"/>
        <w:gridCol w:w="3422"/>
      </w:tblGrid>
      <w:tr>
        <w:trPr>
          <w:tblHeader/>
          <w:cantSplit/>
        </w:trPr>
        <w:tc>
          <w:tcPr>
            <w:tcW w:w="279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Fase</w:t>
            </w:r>
          </w:p>
        </w:tc>
        <w:tc>
          <w:tcPr>
            <w:tcW w:w="34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Alcance</w:t>
            </w:r>
          </w:p>
        </w:tc>
        <w:tc>
          <w:tcPr>
            <w:tcW w:w="342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RF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pStyle w:val="Tabla"/>
            </w:pPr>
            <w:r>
              <w:rPr>
                <w:b/>
              </w:rPr>
              <w:t xml:space="preserve">1 — Cerrada</w:t>
            </w:r>
            <w:r>
              <w:rPr/>
              <w:t xml:space="preserve"> (oct-2026)</w:t>
            </w:r>
          </w:p>
        </w:tc>
        <w:tc>
          <w:tcPr>
            <w:tcW w:w="3420" w:type="dxa"/>
          </w:tcPr>
          <w:p>
            <w:pPr>
              <w:pStyle w:val="Tabla"/>
            </w:pPr>
            <w:r>
              <w:rPr/>
              <w:t xml:space="preserve">Inventario, hoja de vida, movimientos, formatos, QR, reportes, administración</w:t>
            </w:r>
          </w:p>
        </w:tc>
        <w:tc>
          <w:tcPr>
            <w:tcW w:w="3422" w:type="dxa"/>
          </w:tcPr>
          <w:p>
            <w:pPr>
              <w:pStyle w:val="Tabla"/>
            </w:pPr>
            <w:r>
              <w:rPr/>
              <w:t xml:space="preserve">35 esenciales de v3</w:t>
            </w:r>
          </w:p>
        </w:tc>
      </w:tr>
      <w:tr>
        <w:trPr>
          <w:cantSplit/>
        </w:trPr>
        <w:tc>
          <w:tcPr>
            <w:tcW w:w="2798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2 — Reestructuración con fuentes oficiales</w:t>
            </w:r>
          </w:p>
        </w:tc>
        <w:tc>
          <w:tcPr>
            <w:tcW w:w="34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Modelo v4, catálogos oficiales, personas desde la planta, ficha ampliada, valoración GT-M4, mantenimiento preventivo, matriz FOR.01, cargas nuevas, y los «importantes» de v3 que más pesan (RF-23, RF-47, RF-49, RF-51)</w:t>
            </w:r>
          </w:p>
        </w:tc>
        <w:tc>
          <w:tcPr>
            <w:tcW w:w="34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RF-01, 02, 04, 07, 09, 10, 12, 18, 19, 34, 37, 38, 39, 44, 45, 53 a 58, 60 a 62, 65 (esenciales), más RF-23, 47, 49, 51, 52, 59, 63, 64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pStyle w:val="Tabla"/>
            </w:pPr>
            <w:r>
              <w:rPr>
                <w:b/>
              </w:rPr>
              <w:t xml:space="preserve">3 — Consolidación</w:t>
            </w:r>
          </w:p>
        </w:tc>
        <w:tc>
          <w:tcPr>
            <w:tcW w:w="3420" w:type="dxa"/>
          </w:tcPr>
          <w:p>
            <w:pPr>
              <w:pStyle w:val="Tabla"/>
            </w:pPr>
            <w:r>
              <w:rPr/>
              <w:t xml:space="preserve">Puestos de trabajo, fotos, historial por fecha, tipos de evento configurables, tablero, anular baja</w:t>
            </w:r>
          </w:p>
        </w:tc>
        <w:tc>
          <w:tcPr>
            <w:tcW w:w="3422" w:type="dxa"/>
          </w:tcPr>
          <w:p>
            <w:pPr>
              <w:pStyle w:val="Tabla"/>
            </w:pPr>
            <w:r>
              <w:rPr/>
              <w:t xml:space="preserve">RF-05, 06, 13, 16, 17, 26, 27, 31, 33, 36, 42</w:t>
            </w:r>
          </w:p>
        </w:tc>
      </w:tr>
      <w:tr>
        <w:trPr>
          <w:cantSplit/>
        </w:trPr>
        <w:tc>
          <w:tcPr>
            <w:tcW w:w="2798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4 — Mejoras</w:t>
            </w:r>
          </w:p>
        </w:tc>
        <w:tc>
          <w:tcPr>
            <w:tcW w:w="34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Firma en pantalla</w:t>
            </w:r>
          </w:p>
        </w:tc>
        <w:tc>
          <w:tcPr>
            <w:tcW w:w="34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RF-32</w:t>
            </w:r>
          </w:p>
        </w:tc>
      </w:tr>
    </w:tbl>
    <w:p>
      <w:pPr>
        <w:spacing w:after="60"/>
      </w:pPr>
    </w:p>
    <w:p>
      <w:pPr/>
      <w:r>
        <w:rPr/>
        <w:t xml:space="preserve">El reparto de la Fase 2 está en plan-fase2.md.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14. Preguntas abiertas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00"/>
        <w:gridCol w:w="3058"/>
        <w:gridCol w:w="3058"/>
        <w:gridCol w:w="2624"/>
      </w:tblGrid>
      <w:tr>
        <w:trPr>
          <w:tblHeader/>
          <w:cantSplit/>
        </w:trPr>
        <w:tc>
          <w:tcPr>
            <w:tcW w:w="9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#</w:t>
            </w:r>
          </w:p>
        </w:tc>
        <w:tc>
          <w:tcPr>
            <w:tcW w:w="305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Pregunta</w:t>
            </w:r>
          </w:p>
        </w:tc>
        <w:tc>
          <w:tcPr>
            <w:tcW w:w="305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Supuesto actual</w:t>
            </w:r>
          </w:p>
        </w:tc>
        <w:tc>
          <w:tcPr>
            <w:tcW w:w="262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cambia si es distinto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1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¿Se confirma que el mantenimiento preventivo entra al alcance?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Sí (PAMP oficial)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Se quitan RF-60 a RF-64 y sus tablas.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2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¿Entran los equipos de las instituciones educativas?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 por ahora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Cientos de sedes nuevas en 71 municipios; carga y verificación mucho más grandes.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3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¿Solo hardware y soporte, o todos los tipos de activo del GT-M4?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Solo hardware y soporte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Haría falta una ficha de activo sin serial ni componentes.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4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¿El propietario y el custodio se registran como cargo o como persona?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Cargo en la valoración, persona en el acta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Cambia </w:t>
            </w:r>
            <w:r>
              <w:rPr>
                <w:rFonts w:ascii="Consolas" w:hAnsi="Consolas"/>
                <w:sz w:val="19"/>
              </w:rPr>
              <w:t xml:space="preserve">valoraciones_activo</w:t>
            </w: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5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Tipo de cada proceso según el mapa del SIG.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Tabla 5.1 de base-de-datos.md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Solo cambia el seeder.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6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Tenencia de Morindó, Victoria Char, Places Mall; ¿Suricentro sigue en uso?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Por confirmar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cambia el seeder.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7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¿De quién dependen Pensiones, Biblioparque y el Grupo Anticontrabando?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Ver base-de-datos.md 5.2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Solo cambia el árbol.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8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código del SIG llevarán los formatos (entrega, baja, mantenimiento, acta)?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Sin código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Encabezado de los PDF (RNF-21).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9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¿Quién suministra los datos de adquisición (Almacén) y en qué formato?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Excel de Almacén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Plantilla de carga.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10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¿El traslado sigue con dos documentos o uno?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Ambos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(Igual que en v3.)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11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¿Vista pública reducida al escanear el QR?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Solo con sesión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(Igual que en v3.)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12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Funciones de la Dirección TICS y del Almacén General en el Decreto 608 (págs. 334 a 353).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 leídas: la herramienta solo extrajo las 80 primeras páginas de 639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Podrían asignar responsabilidades del inventario y de la baja.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Próximos pasos</w:t>
      </w:r>
    </w:p>
    <w:p>
      <w:pPr>
        <w:pStyle w:val="Lista"/>
      </w:pPr>
      <w:r>
        <w:rPr/>
        <w:t xml:space="preserve">☐ Revisar v4 y el modelo de datos con el profesor y cerrar las preguntas 1 a 4.</w:t>
      </w:r>
    </w:p>
    <w:p>
      <w:pPr>
        <w:pStyle w:val="Lista"/>
      </w:pPr>
      <w:r>
        <w:rPr/>
        <w:t xml:space="preserve">☐ Aprobar el modelo v4 y crear las migraciones (líder).</w:t>
      </w:r>
    </w:p>
    <w:p>
      <w:pPr>
        <w:pStyle w:val="Lista"/>
      </w:pPr>
      <w:r>
        <w:rPr/>
        <w:t xml:space="preserve">☐ Pedir a Talento Humano el procedimiento de entrega de la planta (con autorización de tratamiento de datos).</w:t>
      </w:r>
    </w:p>
    <w:p>
      <w:pPr>
        <w:pStyle w:val="Lista"/>
      </w:pPr>
      <w:r>
        <w:rPr/>
        <w:t xml:space="preserve">☐ Pedir a Almacén los datos de adquisición y la base de códigos de activo.</w:t>
      </w:r>
    </w:p>
    <w:p>
      <w:pPr>
        <w:pStyle w:val="Lista"/>
      </w:pPr>
      <w:r>
        <w:rPr/>
        <w:t xml:space="preserve">☐ Leer las páginas 334 a 353 del Decreto 608.</w:t>
      </w:r>
    </w:p>
    <w:p>
      <w:pPr>
        <w:pStyle w:val="Lista"/>
      </w:pPr>
      <w:r>
        <w:rPr/>
        <w:t xml:space="preserve">☐ Arrancar la Fase 2 según plan-fase2.md.</w:t>
      </w:r>
    </w:p>
    <w:p>
      <w:pPr>
        <w:pBdr>
          <w:bottom w:val="single" w:sz="6" w:space="1" w:color="C9CFD8"/>
        </w:pBdr>
      </w:pPr>
    </w:p>
    <w:p>
      <w:pPr/>
      <w:r>
        <w:rPr>
          <w:b/>
        </w:rPr>
        <w:t xml:space="preserve">Ver también:</w:t>
      </w:r>
      <w:r>
        <w:rPr/>
        <w:t xml:space="preserve"> Base de datos v4 · Plan de Fase 2 · Normas de trabajo · Plan de la Fase 1</w:t>
      </w:r>
    </w:p>
    <w:sectPr>
      <w:footerReference w:type="default" r:id="rIdF"/>
      <w:pgSz w:w="12240" w:h="15840"/>
      <w:pgMar w:top="1300" w:right="1300" w:bottom="1300" w:left="1300" w:header="700" w:footer="6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16"/>
        <w:color w:val="5B6472"/>
      </w:rPr>
      <w:t xml:space="preserve">Gobernación de Córdoba · Dirección TIC · Análisis de requerimientos v4 · Página </w:t>
    </w:r>
    <w:r>
      <w:rPr>
        <w:sz w:val="16"/>
        <w:color w:val="5B6472"/>
      </w:rPr>
      <w:fldChar w:fldCharType="begin"/>
    </w:r>
    <w:r>
      <w:rPr>
        <w:sz w:val="16"/>
        <w:color w:val="5B6472"/>
      </w:rPr>
      <w:instrText xml:space="preserve"> PAGE </w:instrText>
    </w:r>
    <w:r>
      <w:rPr>
        <w:sz w:val="16"/>
        <w:color w:val="5B6472"/>
      </w:rPr>
      <w:fldChar w:fldCharType="separate"/>
    </w:r>
    <w:r>
      <w:rPr>
        <w:sz w:val="16"/>
        <w:color w:val="5B6472"/>
      </w:rPr>
      <w:t>1</w:t>
    </w:r>
    <w:r>
      <w:rPr>
        <w:sz w:val="16"/>
        <w:color w:val="5B6472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270"/>
      </w:pPr>
    </w:lvl>
    <w:lvl w:ilvl="1">
      <w:start w:val="1"/>
      <w:numFmt w:val="bullet"/>
      <w:lvlText w:val="–"/>
      <w:lvlJc w:val="left"/>
      <w:pPr>
        <w:ind w:left="72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1"/>
        <w:lang w:val="es-CO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160"/>
      <w:outlineLvl w:val="0"/>
    </w:pPr>
    <w:rPr>
      <w:b/>
      <w:color w:val="1F3A5F"/>
      <w:sz w:val="40"/>
    </w:rPr>
  </w:style>
  <w:style w:type="paragraph" w:styleId="Heading1">
    <w:name w:val="heading 1"/>
    <w:basedOn w:val="Normal"/>
    <w:qFormat/>
    <w:pPr>
      <w:keepNext/>
      <w:spacing w:before="360" w:after="120"/>
      <w:pBdr>
        <w:bottom w:val="single" w:sz="8" w:space="2" w:color="2563EB"/>
      </w:pBdr>
      <w:outlineLvl w:val="0"/>
    </w:pPr>
    <w:rPr>
      <w:b/>
      <w:color w:val="1F3A5F"/>
      <w:sz w:val="30"/>
    </w:rPr>
  </w:style>
  <w:style w:type="paragraph" w:styleId="Heading2">
    <w:name w:val="heading 2"/>
    <w:basedOn w:val="Normal"/>
    <w:qFormat/>
    <w:pPr>
      <w:keepNext/>
      <w:spacing w:before="240" w:after="80"/>
      <w:outlineLvl w:val="1"/>
    </w:pPr>
    <w:rPr>
      <w:b/>
      <w:color w:val="2563EB"/>
      <w:sz w:val="25"/>
    </w:rPr>
  </w:style>
  <w:style w:type="paragraph" w:styleId="Heading3">
    <w:name w:val="heading 3"/>
    <w:basedOn w:val="Normal"/>
    <w:qFormat/>
    <w:pPr>
      <w:keepNext/>
      <w:spacing w:before="180" w:after="60"/>
      <w:outlineLvl w:val="2"/>
    </w:pPr>
    <w:rPr>
      <w:b/>
      <w:color w:val="1F3A5F"/>
      <w:sz w:val="22"/>
    </w:rPr>
  </w:style>
  <w:style w:type="paragraph" w:styleId="Tabla">
    <w:name w:val="Texto tabla"/>
    <w:basedOn w:val="Normal"/>
    <w:qFormat/>
    <w:pPr>
      <w:spacing w:after="0" w:line="240" w:lineRule="auto"/>
    </w:pPr>
    <w:rPr>
      <w:sz w:val="18"/>
    </w:rPr>
  </w:style>
  <w:style w:type="paragraph" w:styleId="Codigo">
    <w:name w:val="Codigo"/>
    <w:basedOn w:val="Normal"/>
    <w:qFormat/>
    <w:pPr>
      <w:spacing w:after="0" w:line="240" w:lineRule="auto"/>
      <w:shd w:val="clear" w:color="auto" w:fill="F3F5F8"/>
    </w:pPr>
    <w:rPr>
      <w:rFonts w:ascii="Consolas" w:hAnsi="Consolas"/>
      <w:sz w:val="16"/>
    </w:rPr>
  </w:style>
  <w:style w:type="paragraph" w:styleId="Nota">
    <w:name w:val="Nota"/>
    <w:basedOn w:val="Normal"/>
    <w:qFormat/>
    <w:pPr>
      <w:ind w:left="240"/>
      <w:pBdr>
        <w:left w:val="single" w:sz="18" w:space="8" w:color="2563EB"/>
      </w:pBdr>
    </w:pPr>
    <w:rPr>
      <w:i/>
      <w:color w:val="5B6472"/>
    </w:rPr>
  </w:style>
  <w:style w:type="paragraph" w:styleId="Lista">
    <w:name w:val="Lista"/>
    <w:basedOn w:val="Normal"/>
    <w:qFormat/>
    <w:pPr>
      <w:spacing w:after="60"/>
    </w:pPr>
    <w:rPr/>
  </w:style>
</w:styles>
</file>

<file path=word/_rels/document.xml.rels><?xml version="1.0" encoding="UTF-8" standalone="yes"?>
<Relationships xmlns="http://schemas.openxmlformats.org/package/2006/relationships">
<Relationship Id="rIdS" Type="http://schemas.openxmlformats.org/officeDocument/2006/relationships/styles" Target="styles.xml"/>
<Relationship Id="rIdN" Type="http://schemas.openxmlformats.org/officeDocument/2006/relationships/numbering" Target="numbering.xml"/>
<Relationship Id="rIdF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Análisis de requerimientos v4 — Hoja de Vida de Activos Tecnológicos</dc:title>
  <dc:creator>Dirección TIC · Gobernación de Córdoba</dc:creator>
  <dc:language>es-CO</dc:language>
  <dcterms:created xsi:type="dcterms:W3CDTF">2026-10-17T00:00:00Z</dcterms:created>
</cp:coreProperties>
</file>