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数据结构教学案例：折半查找的有序性条件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7085"/>
          <w:sz w:val="20"/>
        </w:rPr>
        <w:t>测试数据用途：用于教学案例库精准匹配、证据片段检索与教案生成案例匹配评估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适用课程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数据结构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核心课题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折半查找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难度等级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medium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建议课时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1 课时 / 45 分钟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知识点标签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折半查找、二分查找、Binary Search、有序表、low、high、mid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案例摘要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以图书馆按编号查书为情境，讲解折半查找的有序性前提、low/high/mid 区间收缩和 O(log n) 复杂度。</w:t>
            </w:r>
          </w:p>
        </w:tc>
      </w:tr>
    </w:tbl>
    <w:p/>
    <w:p>
      <w:pPr>
        <w:pStyle w:val="Heading1"/>
      </w:pPr>
      <w:r>
        <w:t>一、教学情境与问题驱动</w:t>
      </w:r>
    </w:p>
    <w:p>
      <w:r>
        <w:t>图书馆书架按编号递增排列。查找某本书时，不需要从第一本开始顺序扫描，而是先查看中间编号，再判断目标在左半区还是右半区。</w:t>
      </w:r>
    </w:p>
    <w:p>
      <w:r>
        <w:t>教师给出 1 到 31 的编号卡片，让学生扮演查找者，每次只允许翻开中间卡片，并用 low、high、mid 三个磁贴标记当前查找区间。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FF4E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驱动问题：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折半查找为什么必须要求数据有序？如果数组没有排序，mid 的比较还能排除一半数据吗？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01706"/>
            <wp:docPr id="1" name="Picture 1" title="图 1  折半查找核心结构或过程示意图" descr="图 1  折半查找核心结构或过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_binary_search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0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8"/>
        </w:rPr>
        <w:t>图 1  折半查找核心结构或过程示意图</w:t>
      </w:r>
    </w:p>
    <w:p>
      <w:pPr>
        <w:pStyle w:val="Heading1"/>
      </w:pPr>
      <w:r>
        <w:t>二、教学目标</w:t>
      </w:r>
    </w:p>
    <w:p>
      <w:pPr>
        <w:pStyle w:val="ListBullet"/>
      </w:pPr>
      <w:r>
        <w:t>能说明折半查找必须作用于有序顺序表。</w:t>
      </w:r>
    </w:p>
    <w:p>
      <w:pPr>
        <w:pStyle w:val="ListBullet"/>
      </w:pPr>
      <w:r>
        <w:t>能正确更新 low、high、mid 三个变量。</w:t>
      </w:r>
    </w:p>
    <w:p>
      <w:pPr>
        <w:pStyle w:val="ListBullet"/>
      </w:pPr>
      <w:r>
        <w:t>能分析折半查找时间复杂度 O(log n)，并与顺序查找比较。</w:t>
      </w:r>
    </w:p>
    <w:p>
      <w:pPr>
        <w:pStyle w:val="Heading1"/>
      </w:pPr>
      <w:r>
        <w:t>三、教学重点与难点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教学重点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有序性前提、区间收缩、low/high/mid 更新。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教学难点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target 与 a[mid] 比较后的区间更新方向，以及 mid = low + (high - low) / 2 的安全写法。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检索锚点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本案例应围绕“折半查找”命中，证据优先来自知识点标签、核心算法、课堂活动和示意图说明。</w:t>
            </w:r>
          </w:p>
        </w:tc>
      </w:tr>
    </w:tbl>
    <w:p/>
    <w:p>
      <w:pPr>
        <w:pStyle w:val="Heading1"/>
      </w:pPr>
      <w:r>
        <w:t>四、课堂活动设计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1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环节</w:t>
            </w:r>
          </w:p>
        </w:tc>
        <w:tc>
          <w:tcPr>
            <w:tcW w:type="dxa" w:w="33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教师活动</w:t>
            </w:r>
          </w:p>
        </w:tc>
        <w:tc>
          <w:tcPr>
            <w:tcW w:type="dxa" w:w="30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学生活动</w:t>
            </w:r>
          </w:p>
        </w:tc>
        <w:tc>
          <w:tcPr>
            <w:tcW w:type="dxa" w:w="22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观察证据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情境建模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展示按编号排列的书架。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指出有序性带来的排除能力。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能说出“必须有序”。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手工查找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用 1 到 31 查找 23。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记录 low、high、mid。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每轮区间缩小一半。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边界讨论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比较 low &lt;= high 与 low &lt; high。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分析找不到元素的退出条件。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不会漏查最后一个元素。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复杂度对比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画出查找次数随 n 增长的表格。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比较顺序查找和折半查找。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能解释 O(log n)。</w:t>
            </w:r>
          </w:p>
        </w:tc>
      </w:tr>
    </w:tbl>
    <w:p/>
    <w:p>
      <w:pPr>
        <w:pStyle w:val="Heading1"/>
      </w:pPr>
      <w:r>
        <w:t>五、核心算法或操作过程</w:t>
      </w:r>
    </w:p>
    <w:p>
      <w:r>
        <w:t>以下片段用于突出本案例的核心知识点“折半查找”，也是案例检索时应命中的主要证据。</w:t>
      </w:r>
    </w:p>
    <w:p>
      <w:pPr>
        <w:pStyle w:val="ListNumber"/>
      </w:pPr>
      <w:r>
        <w:t>令 low 指向首元素，high 指向末元素。</w:t>
      </w:r>
    </w:p>
    <w:p>
      <w:pPr>
        <w:pStyle w:val="ListNumber"/>
      </w:pPr>
      <w:r>
        <w:t>当 low &lt;= high 时，计算 mid = low + (high - low) / 2。</w:t>
      </w:r>
    </w:p>
    <w:p>
      <w:pPr>
        <w:pStyle w:val="ListNumber"/>
      </w:pPr>
      <w:r>
        <w:t>若 a[mid] 等于目标，查找成功。</w:t>
      </w:r>
    </w:p>
    <w:p>
      <w:pPr>
        <w:pStyle w:val="ListNumber"/>
      </w:pPr>
      <w:r>
        <w:t>若 a[mid] 小于目标，说明目标只可能在右半区，更新 low = mid + 1。</w:t>
      </w:r>
    </w:p>
    <w:p>
      <w:pPr>
        <w:pStyle w:val="ListNumber"/>
      </w:pPr>
      <w:r>
        <w:t>若 a[mid] 大于目标，说明目标只可能在左半区，更新 high = mid - 1。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shd w:fill="F8FAF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D2939"/>
                <w:sz w:val="18"/>
              </w:rPr>
              <w:t>while low &lt;= high:</w:t>
              <w:br/>
              <w:t xml:space="preserve">    mid = low + (high - low) / 2</w:t>
              <w:br/>
              <w:t xml:space="preserve">    if a[mid] == key: return mid</w:t>
              <w:br/>
              <w:t xml:space="preserve">    if a[mid] &lt; key:</w:t>
              <w:br/>
              <w:t xml:space="preserve">        low = mid + 1</w:t>
              <w:br/>
              <w:t xml:space="preserve">    else:</w:t>
              <w:br/>
              <w:t xml:space="preserve">        high = mid - 1</w:t>
              <w:br/>
              <w:br/>
              <w:t>return -1</w:t>
            </w:r>
          </w:p>
        </w:tc>
      </w:tr>
    </w:tbl>
    <w:p/>
    <w:p>
      <w:pPr>
        <w:pStyle w:val="Heading1"/>
      </w:pPr>
      <w:r>
        <w:t>六、过程演示与板书记录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1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轮次</w:t>
            </w:r>
          </w:p>
        </w:tc>
        <w:tc>
          <w:tcPr>
            <w:tcW w:type="dxa" w:w="16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low</w:t>
            </w:r>
          </w:p>
        </w:tc>
        <w:tc>
          <w:tcPr>
            <w:tcW w:type="dxa" w:w="16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high</w:t>
            </w:r>
          </w:p>
        </w:tc>
        <w:tc>
          <w:tcPr>
            <w:tcW w:type="dxa" w:w="16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mid</w:t>
            </w:r>
          </w:p>
        </w:tc>
        <w:tc>
          <w:tcPr>
            <w:tcW w:type="dxa" w:w="39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判断</w:t>
            </w:r>
          </w:p>
        </w:tc>
      </w:tr>
      <w:tr>
        <w:tc>
          <w:tcPr>
            <w:tcW w:type="dxa" w:w="1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31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type="dxa" w:w="3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23 &gt; 16，去右半区</w:t>
            </w:r>
          </w:p>
        </w:tc>
      </w:tr>
      <w:tr>
        <w:tc>
          <w:tcPr>
            <w:tcW w:type="dxa" w:w="1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17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31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24</w:t>
            </w:r>
          </w:p>
        </w:tc>
        <w:tc>
          <w:tcPr>
            <w:tcW w:type="dxa" w:w="3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23 &lt; 24，去左半区</w:t>
            </w:r>
          </w:p>
        </w:tc>
      </w:tr>
      <w:tr>
        <w:tc>
          <w:tcPr>
            <w:tcW w:type="dxa" w:w="1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17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23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3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23 &gt; 20，去右半区</w:t>
            </w:r>
          </w:p>
        </w:tc>
      </w:tr>
      <w:tr>
        <w:tc>
          <w:tcPr>
            <w:tcW w:type="dxa" w:w="1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21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23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22</w:t>
            </w:r>
          </w:p>
        </w:tc>
        <w:tc>
          <w:tcPr>
            <w:tcW w:type="dxa" w:w="3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23 &gt; 22，去右半区</w:t>
            </w:r>
          </w:p>
        </w:tc>
      </w:tr>
      <w:tr>
        <w:tc>
          <w:tcPr>
            <w:tcW w:type="dxa" w:w="1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23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23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23</w:t>
            </w:r>
          </w:p>
        </w:tc>
        <w:tc>
          <w:tcPr>
            <w:tcW w:type="dxa" w:w="3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查找成功</w:t>
            </w:r>
          </w:p>
        </w:tc>
      </w:tr>
    </w:tbl>
    <w:p/>
    <w:p>
      <w:pPr>
        <w:pStyle w:val="Heading1"/>
      </w:pPr>
      <w:r>
        <w:t>七、易错点诊断与教师追问</w:t>
      </w:r>
    </w:p>
    <w:p>
      <w:pPr>
        <w:pStyle w:val="ListBullet"/>
      </w:pPr>
      <w:r>
        <w:t>在无序数组上使用折半查找，导致错误排除数据。</w:t>
      </w:r>
    </w:p>
    <w:p>
      <w:pPr>
        <w:pStyle w:val="ListBullet"/>
      </w:pPr>
      <w:r>
        <w:t>mid 更新后没有 +1 或 -1，区间无法缩小，可能死循环。</w:t>
      </w:r>
    </w:p>
    <w:p>
      <w:pPr>
        <w:pStyle w:val="ListBullet"/>
      </w:pPr>
      <w:r>
        <w:t>使用 (low + high) / 2 时忽略整数溢出风险。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EF3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追问方式：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让学生先画状态图，再解释变量或指针为什么这样变化；若只会背代码，要求回到示意图重新说明。</w:t>
            </w:r>
          </w:p>
        </w:tc>
      </w:tr>
    </w:tbl>
    <w:p/>
    <w:p>
      <w:pPr>
        <w:pStyle w:val="Heading1"/>
      </w:pPr>
      <w:r>
        <w:t>八、课堂练习与拓展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基础练习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在有序数组 [3, 7, 12, 18, 25, 31, 40] 中查找 25，写出 low、high、mid 的变化。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拓展任务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讨论二分思想在答案空间搜索、查找第一个满足条件的位置中的应用。</w:t>
            </w:r>
          </w:p>
        </w:tc>
      </w:tr>
    </w:tbl>
    <w:p/>
    <w:p>
      <w:pPr>
        <w:pStyle w:val="Heading1"/>
      </w:pPr>
      <w:r>
        <w:t>九、评价方式</w:t>
      </w:r>
    </w:p>
    <w:p>
      <w:r>
        <w:t>学生能明确有序性前提，并能正确控制查找区间，即视为达标。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评价维度</w:t>
            </w:r>
          </w:p>
        </w:tc>
        <w:tc>
          <w:tcPr>
            <w:tcW w:type="dxa" w:w="48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达标表现</w:t>
            </w:r>
          </w:p>
        </w:tc>
        <w:tc>
          <w:tcPr>
            <w:tcW w:type="dxa" w:w="30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需要支持的表现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概念理解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能用自己的话解释“折半查找”及其适用条件。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只能复述名称，不能联系情境或示意图。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过程表达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能画出关键状态变化，并说明每一步变量、指针或队列变化。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状态跳步，边界条件遗漏。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代码迁移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能把课堂流程转写为伪代码或程序片段。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语句顺序错误，缺少异常判断。</w:t>
            </w:r>
          </w:p>
        </w:tc>
      </w:tr>
    </w:tbl>
    <w:p/>
    <w:p>
      <w:pPr>
        <w:pStyle w:val="Heading1"/>
      </w:pPr>
      <w:r>
        <w:t>十、检索测试提示</w:t>
      </w:r>
    </w:p>
    <w:p>
      <w:r>
        <w:t>本案例应在用户输入“数据结构 / 折半查找”时被优先匹配。如果用户输入其他不相关课题，除非本文明确包含该课题证据，否则不应被标记为精准匹配。</w:t>
      </w:r>
    </w:p>
    <w:p>
      <w:r>
        <w:t>建议系统返回证据片段时优先引用“知识点标签”“核心算法或操作过程”“课堂活动设计”“过程演示与板书记录”中的句子。</w:t>
      </w:r>
    </w:p>
    <w:p>
      <w:r>
        <w:t>负向测试建议：输入相邻但不同的课题时，系统应能区分本案例的核心证据与泛化词。例如“栈”不应误匹配为普通“队列”案例。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