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数据结构教学案例：冒泡排序过程可视化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7085"/>
          <w:sz w:val="20"/>
        </w:rPr>
        <w:t>测试数据用途：用于教学案例库精准匹配、证据片段检索与教案生成案例匹配评估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适用课程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数据结构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核心课题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冒泡排序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难度等级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easy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建议课时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1 课时 / 45 分钟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知识点标签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冒泡排序、Bubble Sort、排序算法、相邻元素比较、交换、时间复杂度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案例摘要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通过学生身高排队情境，讲解冒泡排序的相邻比较、交换、轮次收缩、稳定性和 O(n^2) 时间复杂度。</w:t>
            </w:r>
          </w:p>
        </w:tc>
      </w:tr>
    </w:tbl>
    <w:p/>
    <w:p>
      <w:pPr>
        <w:pStyle w:val="Heading1"/>
      </w:pPr>
      <w:r>
        <w:t>一、教学情境与问题驱动</w:t>
      </w:r>
    </w:p>
    <w:p>
      <w:r>
        <w:t>体育课按身高从低到高排队。每轮从队首开始比较相邻两名学生，如果前者更高就交换位置，一轮结束后最高的学生会被交换到队尾。</w:t>
      </w:r>
    </w:p>
    <w:p>
      <w:r>
        <w:t>这个“较大元素像气泡一样逐步浮到末尾”的过程，对应冒泡排序 Bubble Sort。课堂中用数字卡片让学生站成一排，每次比较都喊出比较对象和是否交换。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7FE"/>
          <w:left w:val="single" w:sz="4" w:space="0" w:color="C7D7FE"/>
          <w:bottom w:val="single" w:sz="4" w:space="0" w:color="C7D7FE"/>
          <w:right w:val="single" w:sz="4" w:space="0" w:color="C7D7FE"/>
          <w:insideH w:val="single" w:sz="4" w:space="0" w:color="C7D7FE"/>
          <w:insideV w:val="single" w:sz="4" w:space="0" w:color="C7D7FE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tcMar>
              <w:top w:w="170" w:type="dxa"/>
              <w:start w:w="180" w:type="dxa"/>
              <w:bottom w:w="170" w:type="dxa"/>
              <w:end w:w="180" w:type="dxa"/>
            </w:tcMar>
            <w:shd w:fill="FFF4E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驱动问题：</w:t>
            </w:r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为什么每完成一轮，最后一个位置就可以不再参与比较？如果一轮中没有发生交换，说明什么？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01706"/>
            <wp:docPr id="1" name="Picture 1" title="图 1  冒泡排序核心结构或过程示意图" descr="图 1  冒泡排序核心结构或过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_bubble_sort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0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8"/>
        </w:rPr>
        <w:t>图 1  冒泡排序核心结构或过程示意图</w:t>
      </w:r>
    </w:p>
    <w:p>
      <w:pPr>
        <w:pStyle w:val="Heading1"/>
      </w:pPr>
      <w:r>
        <w:t>二、教学目标</w:t>
      </w:r>
    </w:p>
    <w:p>
      <w:pPr>
        <w:pStyle w:val="ListBullet"/>
      </w:pPr>
      <w:r>
        <w:t>能说出冒泡排序的核心思想：相邻元素比较并交换。</w:t>
      </w:r>
    </w:p>
    <w:p>
      <w:pPr>
        <w:pStyle w:val="ListBullet"/>
      </w:pPr>
      <w:r>
        <w:t>能手工完成一组数据的冒泡排序过程。</w:t>
      </w:r>
    </w:p>
    <w:p>
      <w:pPr>
        <w:pStyle w:val="ListBullet"/>
      </w:pPr>
      <w:r>
        <w:t>能分析冒泡排序的时间复杂度 O(n^2)、稳定性和 swapped 优化。</w:t>
      </w:r>
    </w:p>
    <w:p>
      <w:pPr>
        <w:pStyle w:val="Heading1"/>
      </w:pPr>
      <w:r>
        <w:t>三、教学重点与难点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教学重点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相邻比较、交换、每轮确定最大元素、复杂度分析。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教学难点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理解内层循环边界 n - 1 - i，以及 swapped 标记为何能提前结束。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检索锚点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本案例应围绕“冒泡排序”命中，证据优先来自知识点标签、核心算法、课堂活动和示意图说明。</w:t>
            </w:r>
          </w:p>
        </w:tc>
      </w:tr>
    </w:tbl>
    <w:p/>
    <w:p>
      <w:pPr>
        <w:pStyle w:val="Heading1"/>
      </w:pPr>
      <w:r>
        <w:t>四、课堂活动设计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15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环节</w:t>
            </w:r>
          </w:p>
        </w:tc>
        <w:tc>
          <w:tcPr>
            <w:tcW w:type="dxa" w:w="330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教师活动</w:t>
            </w:r>
          </w:p>
        </w:tc>
        <w:tc>
          <w:tcPr>
            <w:tcW w:type="dxa" w:w="300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学生活动</w:t>
            </w:r>
          </w:p>
        </w:tc>
        <w:tc>
          <w:tcPr>
            <w:tcW w:type="dxa" w:w="225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观察证据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情境导入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请 5 名学生按 5,3,8,4,2 的数字卡站队。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观察相邻比较过程。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能描述比较规则。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第一轮演示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逐对比较并交换。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记录每次交换后的序列。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8 到达末尾。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轮次收缩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强调末尾已排好，不再比较。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标记已确定区域。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能写出循环边界。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优化讨论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展示已基本有序序列。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解释 swapped=false。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知道最好情况 O(n)。</w:t>
            </w:r>
          </w:p>
        </w:tc>
      </w:tr>
    </w:tbl>
    <w:p/>
    <w:p>
      <w:pPr>
        <w:pStyle w:val="Heading1"/>
      </w:pPr>
      <w:r>
        <w:t>五、核心算法或操作过程</w:t>
      </w:r>
    </w:p>
    <w:p>
      <w:r>
        <w:t>以下片段用于突出本案例的核心知识点“冒泡排序”，也是案例检索时应命中的主要证据。</w:t>
      </w:r>
    </w:p>
    <w:p>
      <w:pPr>
        <w:pStyle w:val="ListNumber"/>
      </w:pPr>
      <w:r>
        <w:t>外层循环控制排序轮次。</w:t>
      </w:r>
    </w:p>
    <w:p>
      <w:pPr>
        <w:pStyle w:val="ListNumber"/>
      </w:pPr>
      <w:r>
        <w:t>内层循环从左到右比较相邻元素。</w:t>
      </w:r>
    </w:p>
    <w:p>
      <w:pPr>
        <w:pStyle w:val="ListNumber"/>
      </w:pPr>
      <w:r>
        <w:t>若 a[j] &gt; a[j+1]，交换二者。</w:t>
      </w:r>
    </w:p>
    <w:p>
      <w:pPr>
        <w:pStyle w:val="ListNumber"/>
      </w:pPr>
      <w:r>
        <w:t>每轮结束后，当前未排序区最大元素固定到末尾。</w:t>
      </w:r>
    </w:p>
    <w:p>
      <w:pPr>
        <w:pStyle w:val="ListNumber"/>
      </w:pPr>
      <w:r>
        <w:t>如果某轮没有交换，可提前结束。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shd w:fill="F8FAF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D2939"/>
                <w:sz w:val="18"/>
              </w:rPr>
              <w:t>for i from 0 to n - 2:</w:t>
              <w:br/>
              <w:t xml:space="preserve">    swapped = false</w:t>
              <w:br/>
              <w:t xml:space="preserve">    for j from 0 to n - 2 - i:</w:t>
              <w:br/>
              <w:t xml:space="preserve">        if a[j] &gt; a[j + 1]:</w:t>
              <w:br/>
              <w:t xml:space="preserve">            swap(a[j], a[j + 1])</w:t>
              <w:br/>
              <w:t xml:space="preserve">            swapped = true</w:t>
              <w:br/>
              <w:t xml:space="preserve">    if not swapped: break</w:t>
            </w:r>
          </w:p>
        </w:tc>
      </w:tr>
    </w:tbl>
    <w:p/>
    <w:p>
      <w:pPr>
        <w:pStyle w:val="Heading1"/>
      </w:pPr>
      <w:r>
        <w:t>六、过程演示与板书记录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45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26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序列</w:t>
            </w:r>
          </w:p>
        </w:tc>
        <w:tc>
          <w:tcPr>
            <w:tcW w:type="dxa" w:w="32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动作</w:t>
            </w:r>
          </w:p>
        </w:tc>
        <w:tc>
          <w:tcPr>
            <w:tcW w:type="dxa" w:w="245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初始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5 3 8 4 2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未排序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准备第一轮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比较 5 和 3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3 5 8 4 2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交换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较大值右移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比较 8 和 4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3 5 4 8 2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交换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8 继续右移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比较 8 和 2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3 5 4 2 8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交换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8 固定到末尾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第二轮后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3 4 2 5 8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5 固定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未排序区缩小</w:t>
            </w:r>
          </w:p>
        </w:tc>
      </w:tr>
    </w:tbl>
    <w:p/>
    <w:p>
      <w:pPr>
        <w:pStyle w:val="Heading1"/>
      </w:pPr>
      <w:r>
        <w:t>七、易错点诊断与教师追问</w:t>
      </w:r>
    </w:p>
    <w:p>
      <w:pPr>
        <w:pStyle w:val="ListBullet"/>
      </w:pPr>
      <w:r>
        <w:t>把每轮最大元素固定到末尾误写成最小元素固定到开头。</w:t>
      </w:r>
    </w:p>
    <w:p>
      <w:pPr>
        <w:pStyle w:val="ListBullet"/>
      </w:pPr>
      <w:r>
        <w:t>内层循环没有减去 i，导致已排序区域被重复比较。</w:t>
      </w:r>
    </w:p>
    <w:p>
      <w:pPr>
        <w:pStyle w:val="ListBullet"/>
      </w:pPr>
      <w:r>
        <w:t>认为冒泡排序总是适合大规模数据，忽略 O(n^2) 代价。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7FE"/>
          <w:left w:val="single" w:sz="4" w:space="0" w:color="C7D7FE"/>
          <w:bottom w:val="single" w:sz="4" w:space="0" w:color="C7D7FE"/>
          <w:right w:val="single" w:sz="4" w:space="0" w:color="C7D7FE"/>
          <w:insideH w:val="single" w:sz="4" w:space="0" w:color="C7D7FE"/>
          <w:insideV w:val="single" w:sz="4" w:space="0" w:color="C7D7FE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tcMar>
              <w:top w:w="170" w:type="dxa"/>
              <w:start w:w="180" w:type="dxa"/>
              <w:bottom w:w="170" w:type="dxa"/>
              <w:end w:w="180" w:type="dxa"/>
            </w:tcMar>
            <w:shd w:fill="FEF3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追问方式：</w:t>
            </w:r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让学生先画状态图，再解释变量或指针为什么这样变化；若只会背代码，要求回到示意图重新说明。</w:t>
            </w:r>
          </w:p>
        </w:tc>
      </w:tr>
    </w:tbl>
    <w:p/>
    <w:p>
      <w:pPr>
        <w:pStyle w:val="Heading1"/>
      </w:pPr>
      <w:r>
        <w:t>八、课堂练习与拓展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基础练习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对数组 [6, 1, 4, 2, 5] 执行冒泡排序，写出每一轮排序后的数组。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拓展任务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比较冒泡排序与选择排序、插入排序在交换次数和适用场景上的差异。</w:t>
            </w:r>
          </w:p>
        </w:tc>
      </w:tr>
    </w:tbl>
    <w:p/>
    <w:p>
      <w:pPr>
        <w:pStyle w:val="Heading1"/>
      </w:pPr>
      <w:r>
        <w:t>九、评价方式</w:t>
      </w:r>
    </w:p>
    <w:p>
      <w:r>
        <w:t>学生能准确展示比较、交换、轮次终止条件，并能说明冒泡排序适合用于教学入门而非大规模数据排序。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评价维度</w:t>
            </w:r>
          </w:p>
        </w:tc>
        <w:tc>
          <w:tcPr>
            <w:tcW w:type="dxa" w:w="48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达标表现</w:t>
            </w:r>
          </w:p>
        </w:tc>
        <w:tc>
          <w:tcPr>
            <w:tcW w:type="dxa" w:w="30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需要支持的表现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概念理解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能用自己的话解释“冒泡排序”及其适用条件。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只能复述名称，不能联系情境或示意图。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过程表达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能画出关键状态变化，并说明每一步变量、指针或队列变化。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状态跳步，边界条件遗漏。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代码迁移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能把课堂流程转写为伪代码或程序片段。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语句顺序错误，缺少异常判断。</w:t>
            </w:r>
          </w:p>
        </w:tc>
      </w:tr>
    </w:tbl>
    <w:p/>
    <w:p>
      <w:pPr>
        <w:pStyle w:val="Heading1"/>
      </w:pPr>
      <w:r>
        <w:t>十、检索测试提示</w:t>
      </w:r>
    </w:p>
    <w:p>
      <w:r>
        <w:t>本案例应在用户输入“数据结构 / 冒泡排序”时被优先匹配。如果用户输入其他不相关课题，除非本文明确包含该课题证据，否则不应被标记为精准匹配。</w:t>
      </w:r>
    </w:p>
    <w:p>
      <w:r>
        <w:t>建议系统返回证据片段时优先引用“知识点标签”“核心算法或操作过程”“课堂活动设计”“过程演示与板书记录”中的句子。</w:t>
      </w:r>
    </w:p>
    <w:p>
      <w:r>
        <w:t>负向测试建议：输入相邻但不同的课题时，系统应能区分本案例的核心证据与泛化词。例如“栈”不应误匹配为普通“队列”案例。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