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15CC" w14:textId="27D93517" w:rsidR="002F16E0" w:rsidRPr="00071816" w:rsidRDefault="00343EE3" w:rsidP="002F16E0">
      <w:r>
        <w:rPr>
          <w:noProof/>
          <w:lang w:eastAsia="it-IT"/>
        </w:rPr>
        <w:drawing>
          <wp:anchor distT="0" distB="0" distL="114300" distR="114300" simplePos="0" relativeHeight="251668480" behindDoc="1" locked="0" layoutInCell="1" allowOverlap="1" wp14:anchorId="52D68E8B" wp14:editId="54D7A0E7">
            <wp:simplePos x="0" y="0"/>
            <wp:positionH relativeFrom="margin">
              <wp:posOffset>-711835</wp:posOffset>
            </wp:positionH>
            <wp:positionV relativeFrom="paragraph">
              <wp:posOffset>-752475</wp:posOffset>
            </wp:positionV>
            <wp:extent cx="7546197" cy="1067117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4.jpg"/>
                    <pic:cNvPicPr/>
                  </pic:nvPicPr>
                  <pic:blipFill>
                    <a:blip r:embed="rId8">
                      <a:extLst>
                        <a:ext uri="{28A0092B-C50C-407E-A947-70E740481C1C}">
                          <a14:useLocalDpi xmlns:a14="http://schemas.microsoft.com/office/drawing/2010/main" val="0"/>
                        </a:ext>
                      </a:extLst>
                    </a:blip>
                    <a:stretch>
                      <a:fillRect/>
                    </a:stretch>
                  </pic:blipFill>
                  <pic:spPr>
                    <a:xfrm>
                      <a:off x="0" y="0"/>
                      <a:ext cx="7546197" cy="10671174"/>
                    </a:xfrm>
                    <a:prstGeom prst="rect">
                      <a:avLst/>
                    </a:prstGeom>
                  </pic:spPr>
                </pic:pic>
              </a:graphicData>
            </a:graphic>
            <wp14:sizeRelH relativeFrom="page">
              <wp14:pctWidth>0</wp14:pctWidth>
            </wp14:sizeRelH>
            <wp14:sizeRelV relativeFrom="page">
              <wp14:pctHeight>0</wp14:pctHeight>
            </wp14:sizeRelV>
          </wp:anchor>
        </w:drawing>
      </w:r>
    </w:p>
    <w:p w14:paraId="31219193" w14:textId="0C72C4B7" w:rsidR="003328E0" w:rsidRPr="00343EE3" w:rsidRDefault="00E25BD6" w:rsidP="00343EE3">
      <w:pPr>
        <w:spacing w:after="120" w:line="360" w:lineRule="auto"/>
        <w:jc w:val="both"/>
        <w:rPr>
          <w:rFonts w:ascii="Arial" w:hAnsi="Arial" w:cs="Arial"/>
          <w:b/>
          <w:lang w:val="en-US"/>
        </w:rPr>
      </w:pPr>
      <w:bookmarkStart w:id="0" w:name="_GoBack"/>
      <w:r>
        <w:rPr>
          <w:b/>
          <w:noProof/>
          <w:u w:val="single"/>
          <w:lang w:val="en-US"/>
        </w:rPr>
        <mc:AlternateContent>
          <mc:Choice Requires="wps">
            <w:drawing>
              <wp:anchor distT="0" distB="0" distL="114300" distR="114300" simplePos="0" relativeHeight="251666432" behindDoc="0" locked="0" layoutInCell="1" allowOverlap="1" wp14:anchorId="655C7C5B" wp14:editId="0CA27EAA">
                <wp:simplePos x="0" y="0"/>
                <wp:positionH relativeFrom="column">
                  <wp:posOffset>6985</wp:posOffset>
                </wp:positionH>
                <wp:positionV relativeFrom="paragraph">
                  <wp:posOffset>2697480</wp:posOffset>
                </wp:positionV>
                <wp:extent cx="6096000" cy="25844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5844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4340BC" w14:textId="77777777" w:rsidR="00343EE3" w:rsidRDefault="00343EE3" w:rsidP="00E25BD6">
                            <w:pPr>
                              <w:jc w:val="both"/>
                              <w:rPr>
                                <w:rFonts w:ascii="Arial" w:hAnsi="Arial" w:cs="Arial"/>
                                <w:b/>
                                <w:color w:val="FFFFFF" w:themeColor="background1"/>
                                <w:sz w:val="40"/>
                                <w:szCs w:val="40"/>
                              </w:rPr>
                            </w:pPr>
                            <w:r w:rsidRPr="00343EE3">
                              <w:rPr>
                                <w:rFonts w:ascii="Arial" w:hAnsi="Arial" w:cs="Arial"/>
                                <w:b/>
                                <w:color w:val="FFFFFF" w:themeColor="background1"/>
                                <w:sz w:val="40"/>
                                <w:szCs w:val="40"/>
                              </w:rPr>
                              <w:t>IL SOCCORSO ISTRUTTORIO NELL’AMBITO DELLE PROCEDURE DI AFFIDAMENTO DEI CONTRATTI PUBBLICI</w:t>
                            </w:r>
                          </w:p>
                          <w:p w14:paraId="3E3409C0" w14:textId="77777777" w:rsidR="00343EE3" w:rsidRDefault="00343EE3" w:rsidP="00E25BD6">
                            <w:pPr>
                              <w:jc w:val="both"/>
                              <w:rPr>
                                <w:rFonts w:ascii="Arial" w:hAnsi="Arial" w:cs="Arial"/>
                                <w:color w:val="FFFFFF" w:themeColor="background1"/>
                                <w:sz w:val="20"/>
                                <w:szCs w:val="20"/>
                                <w:lang w:val="en-US"/>
                              </w:rPr>
                            </w:pPr>
                          </w:p>
                          <w:p w14:paraId="01FDAF32" w14:textId="12D2F9E2" w:rsidR="000153A8" w:rsidRDefault="000153A8" w:rsidP="00343EE3">
                            <w:pPr>
                              <w:spacing w:after="0"/>
                              <w:jc w:val="both"/>
                              <w:rPr>
                                <w:rFonts w:ascii="Arial" w:hAnsi="Arial" w:cs="Arial"/>
                                <w:color w:val="FFFFFF" w:themeColor="background1"/>
                                <w:sz w:val="32"/>
                                <w:szCs w:val="32"/>
                                <w:lang w:val="en-US"/>
                              </w:rPr>
                            </w:pPr>
                            <w:proofErr w:type="spellStart"/>
                            <w:r w:rsidRPr="00343EE3">
                              <w:rPr>
                                <w:rFonts w:ascii="Arial" w:hAnsi="Arial" w:cs="Arial"/>
                                <w:color w:val="FFFFFF" w:themeColor="background1"/>
                                <w:sz w:val="32"/>
                                <w:szCs w:val="32"/>
                                <w:lang w:val="en-US"/>
                              </w:rPr>
                              <w:t>Analisi</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dell’istituto</w:t>
                            </w:r>
                            <w:proofErr w:type="spellEnd"/>
                            <w:r w:rsidR="00343EE3">
                              <w:rPr>
                                <w:rFonts w:ascii="Arial" w:hAnsi="Arial" w:cs="Arial"/>
                                <w:color w:val="FFFFFF" w:themeColor="background1"/>
                                <w:sz w:val="32"/>
                                <w:szCs w:val="32"/>
                                <w:lang w:val="en-US"/>
                              </w:rPr>
                              <w:t xml:space="preserve">, </w:t>
                            </w:r>
                            <w:proofErr w:type="spellStart"/>
                            <w:r w:rsidR="00343EE3">
                              <w:rPr>
                                <w:rFonts w:ascii="Arial" w:hAnsi="Arial" w:cs="Arial"/>
                                <w:color w:val="FFFFFF" w:themeColor="background1"/>
                                <w:sz w:val="32"/>
                                <w:szCs w:val="32"/>
                                <w:lang w:val="en-US"/>
                              </w:rPr>
                              <w:t>alla</w:t>
                            </w:r>
                            <w:proofErr w:type="spellEnd"/>
                            <w:r w:rsidRPr="00343EE3">
                              <w:rPr>
                                <w:rFonts w:ascii="Arial" w:hAnsi="Arial" w:cs="Arial"/>
                                <w:color w:val="FFFFFF" w:themeColor="background1"/>
                                <w:sz w:val="32"/>
                                <w:szCs w:val="32"/>
                                <w:lang w:val="en-US"/>
                              </w:rPr>
                              <w:t xml:space="preserve"> </w:t>
                            </w:r>
                            <w:proofErr w:type="spellStart"/>
                            <w:r w:rsidR="00343EE3">
                              <w:rPr>
                                <w:rFonts w:ascii="Arial" w:hAnsi="Arial" w:cs="Arial"/>
                                <w:color w:val="FFFFFF" w:themeColor="background1"/>
                                <w:sz w:val="32"/>
                                <w:szCs w:val="32"/>
                                <w:lang w:val="en-US"/>
                              </w:rPr>
                              <w:t>luce</w:t>
                            </w:r>
                            <w:proofErr w:type="spellEnd"/>
                            <w:r w:rsid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delle</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modifiche</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apportate</w:t>
                            </w:r>
                            <w:proofErr w:type="spellEnd"/>
                            <w:r w:rsidRPr="00343EE3">
                              <w:rPr>
                                <w:rFonts w:ascii="Arial" w:hAnsi="Arial" w:cs="Arial"/>
                                <w:color w:val="FFFFFF" w:themeColor="background1"/>
                                <w:sz w:val="32"/>
                                <w:szCs w:val="32"/>
                                <w:lang w:val="en-US"/>
                              </w:rPr>
                              <w:t xml:space="preserve"> dal Nuovo Codice </w:t>
                            </w:r>
                            <w:proofErr w:type="spellStart"/>
                            <w:r w:rsidRPr="00343EE3">
                              <w:rPr>
                                <w:rFonts w:ascii="Arial" w:hAnsi="Arial" w:cs="Arial"/>
                                <w:color w:val="FFFFFF" w:themeColor="background1"/>
                                <w:sz w:val="32"/>
                                <w:szCs w:val="32"/>
                                <w:lang w:val="en-US"/>
                              </w:rPr>
                              <w:t>Appalti</w:t>
                            </w:r>
                            <w:proofErr w:type="spellEnd"/>
                            <w:r w:rsidRPr="00343EE3">
                              <w:rPr>
                                <w:rFonts w:ascii="Arial" w:hAnsi="Arial" w:cs="Arial"/>
                                <w:color w:val="FFFFFF" w:themeColor="background1"/>
                                <w:sz w:val="32"/>
                                <w:szCs w:val="32"/>
                                <w:lang w:val="en-US"/>
                              </w:rPr>
                              <w:t xml:space="preserve"> e dal </w:t>
                            </w:r>
                            <w:proofErr w:type="spellStart"/>
                            <w:r w:rsidRPr="00343EE3">
                              <w:rPr>
                                <w:rFonts w:ascii="Arial" w:hAnsi="Arial" w:cs="Arial"/>
                                <w:color w:val="FFFFFF" w:themeColor="background1"/>
                                <w:sz w:val="32"/>
                                <w:szCs w:val="32"/>
                                <w:lang w:val="en-US"/>
                              </w:rPr>
                              <w:t>decreto</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correttivo</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D.lgs</w:t>
                            </w:r>
                            <w:proofErr w:type="spellEnd"/>
                            <w:r w:rsidRPr="00343EE3">
                              <w:rPr>
                                <w:rFonts w:ascii="Arial" w:hAnsi="Arial" w:cs="Arial"/>
                                <w:color w:val="FFFFFF" w:themeColor="background1"/>
                                <w:sz w:val="32"/>
                                <w:szCs w:val="32"/>
                                <w:lang w:val="en-US"/>
                              </w:rPr>
                              <w:t>. 56/17</w:t>
                            </w:r>
                            <w:r w:rsidR="00343EE3">
                              <w:rPr>
                                <w:rFonts w:ascii="Arial" w:hAnsi="Arial" w:cs="Arial"/>
                                <w:color w:val="FFFFFF" w:themeColor="background1"/>
                                <w:sz w:val="32"/>
                                <w:szCs w:val="32"/>
                                <w:lang w:val="en-US"/>
                              </w:rPr>
                              <w:t>,</w:t>
                            </w:r>
                            <w:r w:rsidRPr="00343EE3">
                              <w:rPr>
                                <w:rFonts w:ascii="Arial" w:hAnsi="Arial" w:cs="Arial"/>
                                <w:color w:val="FFFFFF" w:themeColor="background1"/>
                                <w:sz w:val="32"/>
                                <w:szCs w:val="32"/>
                                <w:lang w:val="en-US"/>
                              </w:rPr>
                              <w:t xml:space="preserve"> e di </w:t>
                            </w:r>
                            <w:proofErr w:type="spellStart"/>
                            <w:r w:rsidRPr="00343EE3">
                              <w:rPr>
                                <w:rFonts w:ascii="Arial" w:hAnsi="Arial" w:cs="Arial"/>
                                <w:color w:val="FFFFFF" w:themeColor="background1"/>
                                <w:sz w:val="32"/>
                                <w:szCs w:val="32"/>
                                <w:lang w:val="en-US"/>
                              </w:rPr>
                              <w:t>alcuni</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casi</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pratici</w:t>
                            </w:r>
                            <w:proofErr w:type="spellEnd"/>
                            <w:r w:rsidR="00343EE3">
                              <w:rPr>
                                <w:rFonts w:ascii="Arial" w:hAnsi="Arial" w:cs="Arial"/>
                                <w:color w:val="FFFFFF" w:themeColor="background1"/>
                                <w:sz w:val="32"/>
                                <w:szCs w:val="32"/>
                                <w:lang w:val="en-US"/>
                              </w:rPr>
                              <w:t>.</w:t>
                            </w:r>
                          </w:p>
                          <w:p w14:paraId="57DACFB1" w14:textId="77777777" w:rsidR="00343EE3" w:rsidRDefault="00343EE3" w:rsidP="00343EE3">
                            <w:pPr>
                              <w:spacing w:after="0"/>
                              <w:jc w:val="both"/>
                              <w:rPr>
                                <w:rFonts w:ascii="Arial" w:hAnsi="Arial" w:cs="Arial"/>
                                <w:color w:val="FFFFFF" w:themeColor="background1"/>
                                <w:sz w:val="32"/>
                                <w:szCs w:val="32"/>
                                <w:lang w:val="en-US"/>
                              </w:rPr>
                            </w:pPr>
                          </w:p>
                          <w:p w14:paraId="4AD6BC03" w14:textId="1532C5CC" w:rsidR="00343EE3" w:rsidRPr="00343EE3" w:rsidRDefault="00343EE3" w:rsidP="00343EE3">
                            <w:pPr>
                              <w:spacing w:after="0"/>
                              <w:jc w:val="both"/>
                              <w:rPr>
                                <w:rFonts w:ascii="Arial" w:hAnsi="Arial" w:cs="Arial"/>
                                <w:color w:val="FFFFFF" w:themeColor="background1"/>
                                <w:sz w:val="28"/>
                                <w:szCs w:val="28"/>
                                <w:lang w:val="en-US"/>
                              </w:rPr>
                            </w:pPr>
                            <w:r w:rsidRPr="00343EE3">
                              <w:rPr>
                                <w:rFonts w:ascii="Arial" w:hAnsi="Arial" w:cs="Arial"/>
                                <w:color w:val="FFFFFF" w:themeColor="background1"/>
                                <w:sz w:val="28"/>
                                <w:szCs w:val="28"/>
                                <w:lang w:val="en-US"/>
                              </w:rPr>
                              <w:t xml:space="preserve">A </w:t>
                            </w:r>
                            <w:proofErr w:type="spellStart"/>
                            <w:r w:rsidRPr="00343EE3">
                              <w:rPr>
                                <w:rFonts w:ascii="Arial" w:hAnsi="Arial" w:cs="Arial"/>
                                <w:color w:val="FFFFFF" w:themeColor="background1"/>
                                <w:sz w:val="28"/>
                                <w:szCs w:val="28"/>
                                <w:lang w:val="en-US"/>
                              </w:rPr>
                              <w:t>cura</w:t>
                            </w:r>
                            <w:proofErr w:type="spellEnd"/>
                            <w:r w:rsidRPr="00343EE3">
                              <w:rPr>
                                <w:rFonts w:ascii="Arial" w:hAnsi="Arial" w:cs="Arial"/>
                                <w:color w:val="FFFFFF" w:themeColor="background1"/>
                                <w:sz w:val="28"/>
                                <w:szCs w:val="28"/>
                                <w:lang w:val="en-US"/>
                              </w:rPr>
                              <w:t xml:space="preserve"> </w:t>
                            </w:r>
                            <w:proofErr w:type="spellStart"/>
                            <w:r w:rsidRPr="00343EE3">
                              <w:rPr>
                                <w:rFonts w:ascii="Arial" w:hAnsi="Arial" w:cs="Arial"/>
                                <w:color w:val="FFFFFF" w:themeColor="background1"/>
                                <w:sz w:val="28"/>
                                <w:szCs w:val="28"/>
                                <w:lang w:val="en-US"/>
                              </w:rPr>
                              <w:t>dell’avv</w:t>
                            </w:r>
                            <w:proofErr w:type="spellEnd"/>
                            <w:r w:rsidRPr="00343EE3">
                              <w:rPr>
                                <w:rFonts w:ascii="Arial" w:hAnsi="Arial" w:cs="Arial"/>
                                <w:color w:val="FFFFFF" w:themeColor="background1"/>
                                <w:sz w:val="28"/>
                                <w:szCs w:val="28"/>
                                <w:lang w:val="en-US"/>
                              </w:rPr>
                              <w:t>. Francesca Bello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C7C5B" id="_x0000_t202" coordsize="21600,21600" o:spt="202" path="m,l,21600r21600,l21600,xe">
                <v:stroke joinstyle="miter"/>
                <v:path gradientshapeok="t" o:connecttype="rect"/>
              </v:shapetype>
              <v:shape id="Text Box 2" o:spid="_x0000_s1026" type="#_x0000_t202" style="position:absolute;left:0;text-align:left;margin-left:.55pt;margin-top:212.4pt;width:480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" filled="f" stroked="f">
                <v:textbox>
                  <w:txbxContent>
                    <w:p w14:paraId="4A4340BC" w14:textId="77777777" w:rsidR="00343EE3" w:rsidRDefault="00343EE3" w:rsidP="00E25BD6">
                      <w:pPr>
                        <w:jc w:val="both"/>
                        <w:rPr>
                          <w:rFonts w:ascii="Arial" w:hAnsi="Arial" w:cs="Arial"/>
                          <w:b/>
                          <w:color w:val="FFFFFF" w:themeColor="background1"/>
                          <w:sz w:val="40"/>
                          <w:szCs w:val="40"/>
                        </w:rPr>
                      </w:pPr>
                      <w:r w:rsidRPr="00343EE3">
                        <w:rPr>
                          <w:rFonts w:ascii="Arial" w:hAnsi="Arial" w:cs="Arial"/>
                          <w:b/>
                          <w:color w:val="FFFFFF" w:themeColor="background1"/>
                          <w:sz w:val="40"/>
                          <w:szCs w:val="40"/>
                        </w:rPr>
                        <w:t>IL SOCCORSO ISTRUTTORIO NELL’AMBITO DELLE PROCEDURE DI AFFIDAMENTO DEI CONTRATTI PUBBLICI</w:t>
                      </w:r>
                    </w:p>
                    <w:p w14:paraId="3E3409C0" w14:textId="77777777" w:rsidR="00343EE3" w:rsidRDefault="00343EE3" w:rsidP="00E25BD6">
                      <w:pPr>
                        <w:jc w:val="both"/>
                        <w:rPr>
                          <w:rFonts w:ascii="Arial" w:hAnsi="Arial" w:cs="Arial"/>
                          <w:color w:val="FFFFFF" w:themeColor="background1"/>
                          <w:sz w:val="20"/>
                          <w:szCs w:val="20"/>
                          <w:lang w:val="en-US"/>
                        </w:rPr>
                      </w:pPr>
                    </w:p>
                    <w:p w14:paraId="01FDAF32" w14:textId="12D2F9E2" w:rsidR="000153A8" w:rsidRDefault="000153A8" w:rsidP="00343EE3">
                      <w:pPr>
                        <w:spacing w:after="0"/>
                        <w:jc w:val="both"/>
                        <w:rPr>
                          <w:rFonts w:ascii="Arial" w:hAnsi="Arial" w:cs="Arial"/>
                          <w:color w:val="FFFFFF" w:themeColor="background1"/>
                          <w:sz w:val="32"/>
                          <w:szCs w:val="32"/>
                          <w:lang w:val="en-US"/>
                        </w:rPr>
                      </w:pPr>
                      <w:proofErr w:type="spellStart"/>
                      <w:r w:rsidRPr="00343EE3">
                        <w:rPr>
                          <w:rFonts w:ascii="Arial" w:hAnsi="Arial" w:cs="Arial"/>
                          <w:color w:val="FFFFFF" w:themeColor="background1"/>
                          <w:sz w:val="32"/>
                          <w:szCs w:val="32"/>
                          <w:lang w:val="en-US"/>
                        </w:rPr>
                        <w:t>Analisi</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dell’istituto</w:t>
                      </w:r>
                      <w:proofErr w:type="spellEnd"/>
                      <w:r w:rsidR="00343EE3">
                        <w:rPr>
                          <w:rFonts w:ascii="Arial" w:hAnsi="Arial" w:cs="Arial"/>
                          <w:color w:val="FFFFFF" w:themeColor="background1"/>
                          <w:sz w:val="32"/>
                          <w:szCs w:val="32"/>
                          <w:lang w:val="en-US"/>
                        </w:rPr>
                        <w:t xml:space="preserve">, </w:t>
                      </w:r>
                      <w:proofErr w:type="spellStart"/>
                      <w:r w:rsidR="00343EE3">
                        <w:rPr>
                          <w:rFonts w:ascii="Arial" w:hAnsi="Arial" w:cs="Arial"/>
                          <w:color w:val="FFFFFF" w:themeColor="background1"/>
                          <w:sz w:val="32"/>
                          <w:szCs w:val="32"/>
                          <w:lang w:val="en-US"/>
                        </w:rPr>
                        <w:t>alla</w:t>
                      </w:r>
                      <w:proofErr w:type="spellEnd"/>
                      <w:r w:rsidRPr="00343EE3">
                        <w:rPr>
                          <w:rFonts w:ascii="Arial" w:hAnsi="Arial" w:cs="Arial"/>
                          <w:color w:val="FFFFFF" w:themeColor="background1"/>
                          <w:sz w:val="32"/>
                          <w:szCs w:val="32"/>
                          <w:lang w:val="en-US"/>
                        </w:rPr>
                        <w:t xml:space="preserve"> </w:t>
                      </w:r>
                      <w:proofErr w:type="spellStart"/>
                      <w:r w:rsidR="00343EE3">
                        <w:rPr>
                          <w:rFonts w:ascii="Arial" w:hAnsi="Arial" w:cs="Arial"/>
                          <w:color w:val="FFFFFF" w:themeColor="background1"/>
                          <w:sz w:val="32"/>
                          <w:szCs w:val="32"/>
                          <w:lang w:val="en-US"/>
                        </w:rPr>
                        <w:t>luce</w:t>
                      </w:r>
                      <w:proofErr w:type="spellEnd"/>
                      <w:r w:rsid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delle</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modifiche</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apportate</w:t>
                      </w:r>
                      <w:proofErr w:type="spellEnd"/>
                      <w:r w:rsidRPr="00343EE3">
                        <w:rPr>
                          <w:rFonts w:ascii="Arial" w:hAnsi="Arial" w:cs="Arial"/>
                          <w:color w:val="FFFFFF" w:themeColor="background1"/>
                          <w:sz w:val="32"/>
                          <w:szCs w:val="32"/>
                          <w:lang w:val="en-US"/>
                        </w:rPr>
                        <w:t xml:space="preserve"> dal Nuovo Codice </w:t>
                      </w:r>
                      <w:proofErr w:type="spellStart"/>
                      <w:r w:rsidRPr="00343EE3">
                        <w:rPr>
                          <w:rFonts w:ascii="Arial" w:hAnsi="Arial" w:cs="Arial"/>
                          <w:color w:val="FFFFFF" w:themeColor="background1"/>
                          <w:sz w:val="32"/>
                          <w:szCs w:val="32"/>
                          <w:lang w:val="en-US"/>
                        </w:rPr>
                        <w:t>Appalti</w:t>
                      </w:r>
                      <w:proofErr w:type="spellEnd"/>
                      <w:r w:rsidRPr="00343EE3">
                        <w:rPr>
                          <w:rFonts w:ascii="Arial" w:hAnsi="Arial" w:cs="Arial"/>
                          <w:color w:val="FFFFFF" w:themeColor="background1"/>
                          <w:sz w:val="32"/>
                          <w:szCs w:val="32"/>
                          <w:lang w:val="en-US"/>
                        </w:rPr>
                        <w:t xml:space="preserve"> e dal </w:t>
                      </w:r>
                      <w:proofErr w:type="spellStart"/>
                      <w:r w:rsidRPr="00343EE3">
                        <w:rPr>
                          <w:rFonts w:ascii="Arial" w:hAnsi="Arial" w:cs="Arial"/>
                          <w:color w:val="FFFFFF" w:themeColor="background1"/>
                          <w:sz w:val="32"/>
                          <w:szCs w:val="32"/>
                          <w:lang w:val="en-US"/>
                        </w:rPr>
                        <w:t>decreto</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correttivo</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D.lgs</w:t>
                      </w:r>
                      <w:proofErr w:type="spellEnd"/>
                      <w:r w:rsidRPr="00343EE3">
                        <w:rPr>
                          <w:rFonts w:ascii="Arial" w:hAnsi="Arial" w:cs="Arial"/>
                          <w:color w:val="FFFFFF" w:themeColor="background1"/>
                          <w:sz w:val="32"/>
                          <w:szCs w:val="32"/>
                          <w:lang w:val="en-US"/>
                        </w:rPr>
                        <w:t>. 56/17</w:t>
                      </w:r>
                      <w:r w:rsidR="00343EE3">
                        <w:rPr>
                          <w:rFonts w:ascii="Arial" w:hAnsi="Arial" w:cs="Arial"/>
                          <w:color w:val="FFFFFF" w:themeColor="background1"/>
                          <w:sz w:val="32"/>
                          <w:szCs w:val="32"/>
                          <w:lang w:val="en-US"/>
                        </w:rPr>
                        <w:t>,</w:t>
                      </w:r>
                      <w:r w:rsidRPr="00343EE3">
                        <w:rPr>
                          <w:rFonts w:ascii="Arial" w:hAnsi="Arial" w:cs="Arial"/>
                          <w:color w:val="FFFFFF" w:themeColor="background1"/>
                          <w:sz w:val="32"/>
                          <w:szCs w:val="32"/>
                          <w:lang w:val="en-US"/>
                        </w:rPr>
                        <w:t xml:space="preserve"> e di </w:t>
                      </w:r>
                      <w:proofErr w:type="spellStart"/>
                      <w:r w:rsidRPr="00343EE3">
                        <w:rPr>
                          <w:rFonts w:ascii="Arial" w:hAnsi="Arial" w:cs="Arial"/>
                          <w:color w:val="FFFFFF" w:themeColor="background1"/>
                          <w:sz w:val="32"/>
                          <w:szCs w:val="32"/>
                          <w:lang w:val="en-US"/>
                        </w:rPr>
                        <w:t>alcuni</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casi</w:t>
                      </w:r>
                      <w:proofErr w:type="spellEnd"/>
                      <w:r w:rsidRPr="00343EE3">
                        <w:rPr>
                          <w:rFonts w:ascii="Arial" w:hAnsi="Arial" w:cs="Arial"/>
                          <w:color w:val="FFFFFF" w:themeColor="background1"/>
                          <w:sz w:val="32"/>
                          <w:szCs w:val="32"/>
                          <w:lang w:val="en-US"/>
                        </w:rPr>
                        <w:t xml:space="preserve"> </w:t>
                      </w:r>
                      <w:proofErr w:type="spellStart"/>
                      <w:r w:rsidRPr="00343EE3">
                        <w:rPr>
                          <w:rFonts w:ascii="Arial" w:hAnsi="Arial" w:cs="Arial"/>
                          <w:color w:val="FFFFFF" w:themeColor="background1"/>
                          <w:sz w:val="32"/>
                          <w:szCs w:val="32"/>
                          <w:lang w:val="en-US"/>
                        </w:rPr>
                        <w:t>pratici</w:t>
                      </w:r>
                      <w:proofErr w:type="spellEnd"/>
                      <w:r w:rsidR="00343EE3">
                        <w:rPr>
                          <w:rFonts w:ascii="Arial" w:hAnsi="Arial" w:cs="Arial"/>
                          <w:color w:val="FFFFFF" w:themeColor="background1"/>
                          <w:sz w:val="32"/>
                          <w:szCs w:val="32"/>
                          <w:lang w:val="en-US"/>
                        </w:rPr>
                        <w:t>.</w:t>
                      </w:r>
                    </w:p>
                    <w:p w14:paraId="57DACFB1" w14:textId="77777777" w:rsidR="00343EE3" w:rsidRDefault="00343EE3" w:rsidP="00343EE3">
                      <w:pPr>
                        <w:spacing w:after="0"/>
                        <w:jc w:val="both"/>
                        <w:rPr>
                          <w:rFonts w:ascii="Arial" w:hAnsi="Arial" w:cs="Arial"/>
                          <w:color w:val="FFFFFF" w:themeColor="background1"/>
                          <w:sz w:val="32"/>
                          <w:szCs w:val="32"/>
                          <w:lang w:val="en-US"/>
                        </w:rPr>
                      </w:pPr>
                    </w:p>
                    <w:p w14:paraId="4AD6BC03" w14:textId="1532C5CC" w:rsidR="00343EE3" w:rsidRPr="00343EE3" w:rsidRDefault="00343EE3" w:rsidP="00343EE3">
                      <w:pPr>
                        <w:spacing w:after="0"/>
                        <w:jc w:val="both"/>
                        <w:rPr>
                          <w:rFonts w:ascii="Arial" w:hAnsi="Arial" w:cs="Arial"/>
                          <w:color w:val="FFFFFF" w:themeColor="background1"/>
                          <w:sz w:val="28"/>
                          <w:szCs w:val="28"/>
                          <w:lang w:val="en-US"/>
                        </w:rPr>
                      </w:pPr>
                      <w:r w:rsidRPr="00343EE3">
                        <w:rPr>
                          <w:rFonts w:ascii="Arial" w:hAnsi="Arial" w:cs="Arial"/>
                          <w:color w:val="FFFFFF" w:themeColor="background1"/>
                          <w:sz w:val="28"/>
                          <w:szCs w:val="28"/>
                          <w:lang w:val="en-US"/>
                        </w:rPr>
                        <w:t xml:space="preserve">A </w:t>
                      </w:r>
                      <w:proofErr w:type="spellStart"/>
                      <w:r w:rsidRPr="00343EE3">
                        <w:rPr>
                          <w:rFonts w:ascii="Arial" w:hAnsi="Arial" w:cs="Arial"/>
                          <w:color w:val="FFFFFF" w:themeColor="background1"/>
                          <w:sz w:val="28"/>
                          <w:szCs w:val="28"/>
                          <w:lang w:val="en-US"/>
                        </w:rPr>
                        <w:t>cura</w:t>
                      </w:r>
                      <w:proofErr w:type="spellEnd"/>
                      <w:r w:rsidRPr="00343EE3">
                        <w:rPr>
                          <w:rFonts w:ascii="Arial" w:hAnsi="Arial" w:cs="Arial"/>
                          <w:color w:val="FFFFFF" w:themeColor="background1"/>
                          <w:sz w:val="28"/>
                          <w:szCs w:val="28"/>
                          <w:lang w:val="en-US"/>
                        </w:rPr>
                        <w:t xml:space="preserve"> </w:t>
                      </w:r>
                      <w:proofErr w:type="spellStart"/>
                      <w:r w:rsidRPr="00343EE3">
                        <w:rPr>
                          <w:rFonts w:ascii="Arial" w:hAnsi="Arial" w:cs="Arial"/>
                          <w:color w:val="FFFFFF" w:themeColor="background1"/>
                          <w:sz w:val="28"/>
                          <w:szCs w:val="28"/>
                          <w:lang w:val="en-US"/>
                        </w:rPr>
                        <w:t>dell’avv</w:t>
                      </w:r>
                      <w:proofErr w:type="spellEnd"/>
                      <w:r w:rsidRPr="00343EE3">
                        <w:rPr>
                          <w:rFonts w:ascii="Arial" w:hAnsi="Arial" w:cs="Arial"/>
                          <w:color w:val="FFFFFF" w:themeColor="background1"/>
                          <w:sz w:val="28"/>
                          <w:szCs w:val="28"/>
                          <w:lang w:val="en-US"/>
                        </w:rPr>
                        <w:t>. Francesca Bello</w:t>
                      </w:r>
                    </w:p>
                  </w:txbxContent>
                </v:textbox>
                <w10:wrap type="square"/>
              </v:shape>
            </w:pict>
          </mc:Fallback>
        </mc:AlternateContent>
      </w:r>
      <w:r w:rsidR="00DF1484">
        <w:rPr>
          <w:rFonts w:ascii="Arial" w:hAnsi="Arial" w:cs="Arial"/>
          <w:noProof/>
          <w:lang w:val="en-US"/>
        </w:rPr>
        <mc:AlternateContent>
          <mc:Choice Requires="wps">
            <w:drawing>
              <wp:anchor distT="0" distB="0" distL="114300" distR="114300" simplePos="0" relativeHeight="251660800" behindDoc="0" locked="0" layoutInCell="1" allowOverlap="1" wp14:anchorId="7C939845" wp14:editId="01DCE3B9">
                <wp:simplePos x="0" y="0"/>
                <wp:positionH relativeFrom="column">
                  <wp:posOffset>228600</wp:posOffset>
                </wp:positionH>
                <wp:positionV relativeFrom="paragraph">
                  <wp:posOffset>3850005</wp:posOffset>
                </wp:positionV>
                <wp:extent cx="5715000" cy="0"/>
                <wp:effectExtent l="0" t="0" r="0" b="0"/>
                <wp:wrapNone/>
                <wp:docPr id="6" name="Connettore 1 6"/>
                <wp:cNvGraphicFramePr/>
                <a:graphic xmlns:a="http://schemas.openxmlformats.org/drawingml/2006/main">
                  <a:graphicData uri="http://schemas.microsoft.com/office/word/2010/wordprocessingShape">
                    <wps:wsp>
                      <wps:cNvCnPr/>
                      <wps:spPr>
                        <a:xfrm>
                          <a:off x="0" y="0"/>
                          <a:ext cx="5715000" cy="0"/>
                        </a:xfrm>
                        <a:prstGeom prst="line">
                          <a:avLst/>
                        </a:prstGeom>
                        <a:ln w="635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037A5B" id="Connettore 1 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pt,303.15pt" to="468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" strokecolor="white [3212]" strokeweight=".5pt"/>
            </w:pict>
          </mc:Fallback>
        </mc:AlternateContent>
      </w:r>
      <w:r w:rsidR="0015620A">
        <w:rPr>
          <w:rFonts w:ascii="Arial" w:hAnsi="Arial" w:cs="Arial"/>
        </w:rPr>
        <w:br w:type="page"/>
      </w:r>
      <w:bookmarkEnd w:id="0"/>
      <w:r w:rsidR="00343EE3" w:rsidRPr="00343EE3">
        <w:rPr>
          <w:rFonts w:ascii="Arial" w:hAnsi="Arial" w:cs="Arial"/>
          <w:b/>
          <w:lang w:val="en-US"/>
        </w:rPr>
        <w:lastRenderedPageBreak/>
        <w:t>IL SOCCORSO ISTRUTTORIO: RATIO E NORMATIVA ALLA LUCE DELLE RECENTI MODIFICHE</w:t>
      </w:r>
    </w:p>
    <w:p w14:paraId="25D282B2" w14:textId="77777777" w:rsidR="00343EE3" w:rsidRPr="00343EE3" w:rsidRDefault="00343EE3" w:rsidP="00343EE3">
      <w:pPr>
        <w:spacing w:after="120" w:line="360" w:lineRule="auto"/>
        <w:jc w:val="both"/>
        <w:rPr>
          <w:rFonts w:ascii="Arial" w:hAnsi="Arial" w:cs="Arial"/>
          <w:b/>
          <w:u w:val="single"/>
          <w:lang w:val="en-US"/>
        </w:rPr>
      </w:pPr>
    </w:p>
    <w:p w14:paraId="6FDA7C08" w14:textId="5080DE95" w:rsidR="003328E0" w:rsidRPr="00343EE3" w:rsidRDefault="003328E0" w:rsidP="00343EE3">
      <w:pPr>
        <w:spacing w:after="120" w:line="360" w:lineRule="auto"/>
        <w:jc w:val="both"/>
        <w:rPr>
          <w:rFonts w:ascii="Arial" w:hAnsi="Arial" w:cs="Arial"/>
        </w:rPr>
      </w:pPr>
      <w:r w:rsidRPr="00343EE3">
        <w:rPr>
          <w:rFonts w:ascii="Arial" w:hAnsi="Arial" w:cs="Arial"/>
        </w:rPr>
        <w:t>Nell’ambito delle procedure di affidamento dei contratti pubblici, il soccorso istruttorio è un istituto volto a consentire agli operatori economici, in sede di gara, di integrare le proprie domande di partecipazione nel caso di omissioni, incompletezze e/o irregola</w:t>
      </w:r>
      <w:r w:rsidR="00747426" w:rsidRPr="00343EE3">
        <w:rPr>
          <w:rFonts w:ascii="Arial" w:hAnsi="Arial" w:cs="Arial"/>
        </w:rPr>
        <w:t>rità di informazioni e documentazione</w:t>
      </w:r>
      <w:r w:rsidRPr="00343EE3">
        <w:rPr>
          <w:rFonts w:ascii="Arial" w:hAnsi="Arial" w:cs="Arial"/>
        </w:rPr>
        <w:t xml:space="preserve"> util</w:t>
      </w:r>
      <w:r w:rsidR="00747426" w:rsidRPr="00343EE3">
        <w:rPr>
          <w:rFonts w:ascii="Arial" w:hAnsi="Arial" w:cs="Arial"/>
        </w:rPr>
        <w:t>e</w:t>
      </w:r>
      <w:r w:rsidRPr="00343EE3">
        <w:rPr>
          <w:rFonts w:ascii="Arial" w:hAnsi="Arial" w:cs="Arial"/>
        </w:rPr>
        <w:t xml:space="preserve"> ai fini della</w:t>
      </w:r>
      <w:r w:rsidR="00427CC7" w:rsidRPr="00343EE3">
        <w:rPr>
          <w:rFonts w:ascii="Arial" w:hAnsi="Arial" w:cs="Arial"/>
        </w:rPr>
        <w:t xml:space="preserve"> partecipazione alla gara</w:t>
      </w:r>
      <w:r w:rsidR="00747426" w:rsidRPr="00343EE3">
        <w:rPr>
          <w:rFonts w:ascii="Arial" w:hAnsi="Arial" w:cs="Arial"/>
        </w:rPr>
        <w:t xml:space="preserve"> medesima</w:t>
      </w:r>
      <w:r w:rsidR="00427CC7" w:rsidRPr="00343EE3">
        <w:rPr>
          <w:rFonts w:ascii="Arial" w:hAnsi="Arial" w:cs="Arial"/>
        </w:rPr>
        <w:t xml:space="preserve"> media</w:t>
      </w:r>
      <w:r w:rsidRPr="00343EE3">
        <w:rPr>
          <w:rFonts w:ascii="Arial" w:hAnsi="Arial" w:cs="Arial"/>
        </w:rPr>
        <w:t>nte l’in</w:t>
      </w:r>
      <w:r w:rsidR="00071B42" w:rsidRPr="00343EE3">
        <w:rPr>
          <w:rFonts w:ascii="Arial" w:hAnsi="Arial" w:cs="Arial"/>
        </w:rPr>
        <w:t>tegrazione e/o regolarizzazione successiva.</w:t>
      </w:r>
    </w:p>
    <w:p w14:paraId="2BD5319F" w14:textId="30FE18BC" w:rsidR="003328E0" w:rsidRPr="00343EE3" w:rsidRDefault="003328E0" w:rsidP="00343EE3">
      <w:pPr>
        <w:spacing w:after="120" w:line="360" w:lineRule="auto"/>
        <w:jc w:val="both"/>
        <w:rPr>
          <w:rFonts w:ascii="Arial" w:hAnsi="Arial" w:cs="Arial"/>
        </w:rPr>
      </w:pPr>
      <w:r w:rsidRPr="00343EE3">
        <w:rPr>
          <w:rFonts w:ascii="Arial" w:hAnsi="Arial" w:cs="Arial"/>
        </w:rPr>
        <w:t>La ratio dell’istituto è</w:t>
      </w:r>
      <w:r w:rsidR="00B725CB" w:rsidRPr="00343EE3">
        <w:rPr>
          <w:rFonts w:ascii="Arial" w:hAnsi="Arial" w:cs="Arial"/>
        </w:rPr>
        <w:t>, quindi, quella</w:t>
      </w:r>
      <w:r w:rsidRPr="00343EE3">
        <w:rPr>
          <w:rFonts w:ascii="Arial" w:hAnsi="Arial" w:cs="Arial"/>
        </w:rPr>
        <w:t xml:space="preserve"> di evitare l’esclusione degli operatori economici </w:t>
      </w:r>
      <w:proofErr w:type="gramStart"/>
      <w:r w:rsidRPr="00343EE3">
        <w:rPr>
          <w:rFonts w:ascii="Arial" w:hAnsi="Arial" w:cs="Arial"/>
        </w:rPr>
        <w:t>dalla procedure</w:t>
      </w:r>
      <w:proofErr w:type="gramEnd"/>
      <w:r w:rsidRPr="00343EE3">
        <w:rPr>
          <w:rFonts w:ascii="Arial" w:hAnsi="Arial" w:cs="Arial"/>
        </w:rPr>
        <w:t xml:space="preserve"> di gara e limitare</w:t>
      </w:r>
      <w:r w:rsidR="006863BE" w:rsidRPr="00343EE3">
        <w:rPr>
          <w:rFonts w:ascii="Arial" w:hAnsi="Arial" w:cs="Arial"/>
        </w:rPr>
        <w:t xml:space="preserve"> tale ipotesi ai casi di carenza</w:t>
      </w:r>
      <w:r w:rsidRPr="00343EE3">
        <w:rPr>
          <w:rFonts w:ascii="Arial" w:hAnsi="Arial" w:cs="Arial"/>
        </w:rPr>
        <w:t xml:space="preserve"> più gravi in ossequio al princi</w:t>
      </w:r>
      <w:r w:rsidR="003A4761" w:rsidRPr="00343EE3">
        <w:rPr>
          <w:rFonts w:ascii="Arial" w:hAnsi="Arial" w:cs="Arial"/>
        </w:rPr>
        <w:t>pi</w:t>
      </w:r>
      <w:r w:rsidRPr="00343EE3">
        <w:rPr>
          <w:rFonts w:ascii="Arial" w:hAnsi="Arial" w:cs="Arial"/>
        </w:rPr>
        <w:t xml:space="preserve">o </w:t>
      </w:r>
      <w:r w:rsidR="003F2BBB" w:rsidRPr="00343EE3">
        <w:rPr>
          <w:rFonts w:ascii="Arial" w:hAnsi="Arial" w:cs="Arial"/>
        </w:rPr>
        <w:t xml:space="preserve">di ispirazione comunitaria </w:t>
      </w:r>
      <w:r w:rsidRPr="00343EE3">
        <w:rPr>
          <w:rFonts w:ascii="Arial" w:hAnsi="Arial" w:cs="Arial"/>
        </w:rPr>
        <w:t xml:space="preserve">del </w:t>
      </w:r>
      <w:proofErr w:type="spellStart"/>
      <w:r w:rsidRPr="00343EE3">
        <w:rPr>
          <w:rFonts w:ascii="Arial" w:hAnsi="Arial" w:cs="Arial"/>
          <w:i/>
        </w:rPr>
        <w:t>favor</w:t>
      </w:r>
      <w:proofErr w:type="spellEnd"/>
      <w:r w:rsidRPr="00343EE3">
        <w:rPr>
          <w:rFonts w:ascii="Arial" w:hAnsi="Arial" w:cs="Arial"/>
          <w:i/>
        </w:rPr>
        <w:t xml:space="preserve"> </w:t>
      </w:r>
      <w:proofErr w:type="spellStart"/>
      <w:r w:rsidRPr="00343EE3">
        <w:rPr>
          <w:rFonts w:ascii="Arial" w:hAnsi="Arial" w:cs="Arial"/>
          <w:i/>
        </w:rPr>
        <w:t>partecipationis</w:t>
      </w:r>
      <w:proofErr w:type="spellEnd"/>
      <w:r w:rsidRPr="00343EE3">
        <w:rPr>
          <w:rFonts w:ascii="Arial" w:hAnsi="Arial" w:cs="Arial"/>
        </w:rPr>
        <w:t>.</w:t>
      </w:r>
    </w:p>
    <w:p w14:paraId="2CDD7E33" w14:textId="20A689E7" w:rsidR="003328E0" w:rsidRPr="00343EE3" w:rsidRDefault="00B520D0" w:rsidP="00343EE3">
      <w:pPr>
        <w:spacing w:after="120" w:line="360" w:lineRule="auto"/>
        <w:jc w:val="both"/>
        <w:rPr>
          <w:rFonts w:ascii="Arial" w:hAnsi="Arial" w:cs="Arial"/>
        </w:rPr>
      </w:pPr>
      <w:r w:rsidRPr="00343EE3">
        <w:rPr>
          <w:rFonts w:ascii="Arial" w:hAnsi="Arial" w:cs="Arial"/>
        </w:rPr>
        <w:t>Infatti, basti pensare come q</w:t>
      </w:r>
      <w:r w:rsidR="003328E0" w:rsidRPr="00343EE3">
        <w:rPr>
          <w:rFonts w:ascii="Arial" w:hAnsi="Arial" w:cs="Arial"/>
        </w:rPr>
        <w:t xml:space="preserve">uesto istituto fu introdotto </w:t>
      </w:r>
      <w:r w:rsidRPr="00343EE3">
        <w:rPr>
          <w:rFonts w:ascii="Arial" w:hAnsi="Arial" w:cs="Arial"/>
        </w:rPr>
        <w:t xml:space="preserve">proprio </w:t>
      </w:r>
      <w:r w:rsidR="003328E0" w:rsidRPr="00343EE3">
        <w:rPr>
          <w:rFonts w:ascii="Arial" w:hAnsi="Arial" w:cs="Arial"/>
        </w:rPr>
        <w:t>a seguito del recepimento della direttiva europea n. 71/305/CEE del 26/07/1971</w:t>
      </w:r>
      <w:r w:rsidR="006863BE" w:rsidRPr="00343EE3">
        <w:rPr>
          <w:rFonts w:ascii="Arial" w:hAnsi="Arial" w:cs="Arial"/>
        </w:rPr>
        <w:t>,</w:t>
      </w:r>
      <w:r w:rsidR="003328E0" w:rsidRPr="00343EE3">
        <w:rPr>
          <w:rFonts w:ascii="Arial" w:hAnsi="Arial" w:cs="Arial"/>
        </w:rPr>
        <w:t xml:space="preserve"> </w:t>
      </w:r>
      <w:r w:rsidRPr="00343EE3">
        <w:rPr>
          <w:rFonts w:ascii="Arial" w:hAnsi="Arial" w:cs="Arial"/>
        </w:rPr>
        <w:t xml:space="preserve">anche se </w:t>
      </w:r>
      <w:r w:rsidR="003328E0" w:rsidRPr="00343EE3">
        <w:rPr>
          <w:rFonts w:ascii="Arial" w:hAnsi="Arial" w:cs="Arial"/>
        </w:rPr>
        <w:t xml:space="preserve">con una formulazione </w:t>
      </w:r>
      <w:proofErr w:type="gramStart"/>
      <w:r w:rsidR="003328E0" w:rsidRPr="00343EE3">
        <w:rPr>
          <w:rFonts w:ascii="Arial" w:hAnsi="Arial" w:cs="Arial"/>
        </w:rPr>
        <w:t xml:space="preserve">del </w:t>
      </w:r>
      <w:r w:rsidR="00DB245F" w:rsidRPr="00343EE3">
        <w:rPr>
          <w:rFonts w:ascii="Arial" w:hAnsi="Arial" w:cs="Arial"/>
        </w:rPr>
        <w:t xml:space="preserve"> </w:t>
      </w:r>
      <w:r w:rsidR="003328E0" w:rsidRPr="00343EE3">
        <w:rPr>
          <w:rFonts w:ascii="Arial" w:hAnsi="Arial" w:cs="Arial"/>
        </w:rPr>
        <w:t>tutto</w:t>
      </w:r>
      <w:proofErr w:type="gramEnd"/>
      <w:r w:rsidR="003328E0" w:rsidRPr="00343EE3">
        <w:rPr>
          <w:rFonts w:ascii="Arial" w:hAnsi="Arial" w:cs="Arial"/>
        </w:rPr>
        <w:t xml:space="preserve"> equivoca e dibattuta.</w:t>
      </w:r>
    </w:p>
    <w:p w14:paraId="037E3FC6" w14:textId="4F19D226" w:rsidR="006863BE" w:rsidRPr="00343EE3" w:rsidRDefault="006863BE" w:rsidP="00343EE3">
      <w:pPr>
        <w:spacing w:after="120" w:line="360" w:lineRule="auto"/>
        <w:jc w:val="both"/>
        <w:rPr>
          <w:rFonts w:ascii="Arial" w:hAnsi="Arial" w:cs="Arial"/>
        </w:rPr>
      </w:pPr>
      <w:r w:rsidRPr="00343EE3">
        <w:rPr>
          <w:rFonts w:ascii="Arial" w:hAnsi="Arial" w:cs="Arial"/>
        </w:rPr>
        <w:t>Nell’ambito delle procedure di affida</w:t>
      </w:r>
      <w:r w:rsidR="004F2227" w:rsidRPr="00343EE3">
        <w:rPr>
          <w:rFonts w:ascii="Arial" w:hAnsi="Arial" w:cs="Arial"/>
        </w:rPr>
        <w:t>mento dei contratti pubblici (D.lgs. 12.04.2006 n. 163) l’istituto era originariamente disciplinato dal combinato disposto degli artt. 38, comma 2-bis, e 46, comma 1- ter.</w:t>
      </w:r>
    </w:p>
    <w:p w14:paraId="483F3169" w14:textId="7F4FB65F" w:rsidR="003328E0" w:rsidRPr="00343EE3" w:rsidRDefault="003328E0" w:rsidP="00343EE3">
      <w:pPr>
        <w:spacing w:after="120" w:line="360" w:lineRule="auto"/>
        <w:jc w:val="both"/>
        <w:rPr>
          <w:rFonts w:ascii="Arial" w:hAnsi="Arial" w:cs="Arial"/>
        </w:rPr>
      </w:pPr>
      <w:r w:rsidRPr="00343EE3">
        <w:rPr>
          <w:rFonts w:ascii="Arial" w:hAnsi="Arial" w:cs="Arial"/>
        </w:rPr>
        <w:t>Con l’entrata in vigore</w:t>
      </w:r>
      <w:r w:rsidR="00B725CB" w:rsidRPr="00343EE3">
        <w:rPr>
          <w:rFonts w:ascii="Arial" w:hAnsi="Arial" w:cs="Arial"/>
        </w:rPr>
        <w:t>, poi,</w:t>
      </w:r>
      <w:r w:rsidRPr="00343EE3">
        <w:rPr>
          <w:rFonts w:ascii="Arial" w:hAnsi="Arial" w:cs="Arial"/>
        </w:rPr>
        <w:t xml:space="preserve"> del nuovo codice degli appalti (D.</w:t>
      </w:r>
      <w:r w:rsidR="001A375C" w:rsidRPr="00343EE3">
        <w:rPr>
          <w:rFonts w:ascii="Arial" w:hAnsi="Arial" w:cs="Arial"/>
        </w:rPr>
        <w:t xml:space="preserve"> </w:t>
      </w:r>
      <w:proofErr w:type="spellStart"/>
      <w:r w:rsidRPr="00343EE3">
        <w:rPr>
          <w:rFonts w:ascii="Arial" w:hAnsi="Arial" w:cs="Arial"/>
        </w:rPr>
        <w:t>lgs</w:t>
      </w:r>
      <w:proofErr w:type="spellEnd"/>
      <w:r w:rsidRPr="00343EE3">
        <w:rPr>
          <w:rFonts w:ascii="Arial" w:hAnsi="Arial" w:cs="Arial"/>
        </w:rPr>
        <w:t xml:space="preserve"> 50/2016) la disciplina del soccorso</w:t>
      </w:r>
      <w:r w:rsidR="00B725CB" w:rsidRPr="00343EE3">
        <w:rPr>
          <w:rFonts w:ascii="Arial" w:hAnsi="Arial" w:cs="Arial"/>
        </w:rPr>
        <w:t xml:space="preserve"> istruttorio è stata modificata</w:t>
      </w:r>
      <w:r w:rsidRPr="00343EE3">
        <w:rPr>
          <w:rFonts w:ascii="Arial" w:hAnsi="Arial" w:cs="Arial"/>
        </w:rPr>
        <w:t xml:space="preserve"> </w:t>
      </w:r>
      <w:r w:rsidR="004F2227" w:rsidRPr="00343EE3">
        <w:rPr>
          <w:rFonts w:ascii="Arial" w:hAnsi="Arial" w:cs="Arial"/>
        </w:rPr>
        <w:t>sotto diversi profili</w:t>
      </w:r>
      <w:r w:rsidR="000B55FC" w:rsidRPr="00343EE3">
        <w:rPr>
          <w:rFonts w:ascii="Arial" w:hAnsi="Arial" w:cs="Arial"/>
        </w:rPr>
        <w:t>,</w:t>
      </w:r>
      <w:r w:rsidR="004F2227" w:rsidRPr="00343EE3">
        <w:rPr>
          <w:rFonts w:ascii="Arial" w:hAnsi="Arial" w:cs="Arial"/>
        </w:rPr>
        <w:t xml:space="preserve"> </w:t>
      </w:r>
      <w:r w:rsidR="00B725CB" w:rsidRPr="00343EE3">
        <w:rPr>
          <w:rFonts w:ascii="Arial" w:hAnsi="Arial" w:cs="Arial"/>
        </w:rPr>
        <w:t>e</w:t>
      </w:r>
      <w:r w:rsidR="00A1331C" w:rsidRPr="00343EE3">
        <w:rPr>
          <w:rFonts w:ascii="Arial" w:hAnsi="Arial" w:cs="Arial"/>
        </w:rPr>
        <w:t xml:space="preserve"> </w:t>
      </w:r>
      <w:r w:rsidR="004F2227" w:rsidRPr="00343EE3">
        <w:rPr>
          <w:rFonts w:ascii="Arial" w:hAnsi="Arial" w:cs="Arial"/>
        </w:rPr>
        <w:t>a distanza di un anno</w:t>
      </w:r>
      <w:r w:rsidR="000B55FC" w:rsidRPr="00343EE3">
        <w:rPr>
          <w:rFonts w:ascii="Arial" w:hAnsi="Arial" w:cs="Arial"/>
        </w:rPr>
        <w:t xml:space="preserve"> l’art. 83, comma 9,</w:t>
      </w:r>
      <w:r w:rsidR="004F2227" w:rsidRPr="00343EE3">
        <w:rPr>
          <w:rFonts w:ascii="Arial" w:hAnsi="Arial" w:cs="Arial"/>
        </w:rPr>
        <w:t xml:space="preserve"> è stato poi modificato</w:t>
      </w:r>
      <w:r w:rsidR="00332010" w:rsidRPr="00343EE3">
        <w:rPr>
          <w:rFonts w:ascii="Arial" w:hAnsi="Arial" w:cs="Arial"/>
        </w:rPr>
        <w:t xml:space="preserve"> in maniera sostanziale dal </w:t>
      </w:r>
      <w:r w:rsidRPr="00343EE3">
        <w:rPr>
          <w:rFonts w:ascii="Arial" w:hAnsi="Arial" w:cs="Arial"/>
        </w:rPr>
        <w:t>decreto correttivo</w:t>
      </w:r>
      <w:r w:rsidR="00B725CB" w:rsidRPr="00343EE3">
        <w:rPr>
          <w:rFonts w:ascii="Arial" w:hAnsi="Arial" w:cs="Arial"/>
        </w:rPr>
        <w:t>,</w:t>
      </w:r>
      <w:r w:rsidR="001A375C" w:rsidRPr="00343EE3">
        <w:rPr>
          <w:rFonts w:ascii="Arial" w:hAnsi="Arial" w:cs="Arial"/>
        </w:rPr>
        <w:t xml:space="preserve"> </w:t>
      </w:r>
      <w:r w:rsidR="00332010" w:rsidRPr="00343EE3">
        <w:rPr>
          <w:rFonts w:ascii="Arial" w:hAnsi="Arial" w:cs="Arial"/>
        </w:rPr>
        <w:t>D.lgs. 56/2017.</w:t>
      </w:r>
    </w:p>
    <w:p w14:paraId="3B575C8A" w14:textId="344D861D" w:rsidR="003328E0" w:rsidRDefault="003328E0" w:rsidP="00343EE3">
      <w:pPr>
        <w:spacing w:after="120" w:line="360" w:lineRule="auto"/>
        <w:jc w:val="both"/>
        <w:rPr>
          <w:rFonts w:ascii="Arial" w:hAnsi="Arial" w:cs="Arial"/>
        </w:rPr>
      </w:pPr>
      <w:r w:rsidRPr="00343EE3">
        <w:rPr>
          <w:rFonts w:ascii="Arial" w:hAnsi="Arial" w:cs="Arial"/>
        </w:rPr>
        <w:t>La nuova disposizione ha codificato, infatti, i principi elaborati dalla giurisprudenza e dall’</w:t>
      </w:r>
      <w:r w:rsidR="001A375C" w:rsidRPr="00343EE3">
        <w:rPr>
          <w:rFonts w:ascii="Arial" w:hAnsi="Arial" w:cs="Arial"/>
        </w:rPr>
        <w:t xml:space="preserve"> </w:t>
      </w:r>
      <w:proofErr w:type="spellStart"/>
      <w:r w:rsidRPr="00343EE3">
        <w:rPr>
          <w:rFonts w:ascii="Arial" w:hAnsi="Arial" w:cs="Arial"/>
        </w:rPr>
        <w:t>Anac</w:t>
      </w:r>
      <w:proofErr w:type="spellEnd"/>
      <w:r w:rsidRPr="00343EE3">
        <w:rPr>
          <w:rFonts w:ascii="Arial" w:hAnsi="Arial" w:cs="Arial"/>
        </w:rPr>
        <w:t xml:space="preserve"> in materia di soccorso istruttorio nelle gare pubbliche.</w:t>
      </w:r>
    </w:p>
    <w:p w14:paraId="1D1ED8E2" w14:textId="77777777" w:rsidR="00343EE3" w:rsidRPr="00343EE3" w:rsidRDefault="00343EE3" w:rsidP="00343EE3">
      <w:pPr>
        <w:spacing w:after="120" w:line="360" w:lineRule="auto"/>
        <w:jc w:val="both"/>
        <w:rPr>
          <w:rFonts w:ascii="Arial" w:hAnsi="Arial" w:cs="Arial"/>
        </w:rPr>
      </w:pPr>
    </w:p>
    <w:p w14:paraId="15FB4F8D" w14:textId="6527964F" w:rsidR="00332010" w:rsidRPr="00343EE3" w:rsidRDefault="00332010" w:rsidP="00343EE3">
      <w:pPr>
        <w:spacing w:after="120" w:line="360" w:lineRule="auto"/>
        <w:jc w:val="both"/>
        <w:rPr>
          <w:rFonts w:ascii="Arial" w:hAnsi="Arial" w:cs="Arial"/>
          <w:b/>
        </w:rPr>
      </w:pPr>
      <w:r w:rsidRPr="00343EE3">
        <w:rPr>
          <w:rFonts w:ascii="Arial" w:hAnsi="Arial" w:cs="Arial"/>
          <w:b/>
        </w:rPr>
        <w:t>Analisi delle modifiche</w:t>
      </w:r>
    </w:p>
    <w:p w14:paraId="2BE1BE23" w14:textId="77777777" w:rsidR="003328E0" w:rsidRPr="00343EE3" w:rsidRDefault="003328E0" w:rsidP="00343EE3">
      <w:pPr>
        <w:spacing w:after="120" w:line="360" w:lineRule="auto"/>
        <w:jc w:val="both"/>
        <w:rPr>
          <w:rFonts w:ascii="Arial" w:hAnsi="Arial" w:cs="Arial"/>
        </w:rPr>
      </w:pPr>
      <w:r w:rsidRPr="00343EE3">
        <w:rPr>
          <w:rFonts w:ascii="Arial" w:hAnsi="Arial" w:cs="Arial"/>
        </w:rPr>
        <w:t xml:space="preserve">In base a tale disposizione, è stato integralmente superato il precedente orientamento che, distingueva tra regolarizzazione ed integrazione documentale e riteneva </w:t>
      </w:r>
      <w:r w:rsidRPr="00343EE3">
        <w:rPr>
          <w:rFonts w:ascii="Arial" w:hAnsi="Arial" w:cs="Arial"/>
        </w:rPr>
        <w:lastRenderedPageBreak/>
        <w:t>inammissibile il soccorso istruttorio nel caso in cui il concorrente avesse omesso di presentare documenti o di compiere adempimenti procedimentali richiesti a pena di esclusione dalla legge di gara.</w:t>
      </w:r>
    </w:p>
    <w:p w14:paraId="23408648" w14:textId="41120D53" w:rsidR="00927BF8" w:rsidRPr="00343EE3" w:rsidRDefault="003328E0" w:rsidP="00343EE3">
      <w:pPr>
        <w:spacing w:after="120" w:line="360" w:lineRule="auto"/>
        <w:jc w:val="both"/>
        <w:rPr>
          <w:rFonts w:ascii="Arial" w:hAnsi="Arial" w:cs="Arial"/>
        </w:rPr>
      </w:pPr>
      <w:r w:rsidRPr="00343EE3">
        <w:rPr>
          <w:rFonts w:ascii="Arial" w:hAnsi="Arial" w:cs="Arial"/>
        </w:rPr>
        <w:t>Inoltre</w:t>
      </w:r>
      <w:r w:rsidR="00263C8F" w:rsidRPr="00343EE3">
        <w:rPr>
          <w:rFonts w:ascii="Arial" w:hAnsi="Arial" w:cs="Arial"/>
        </w:rPr>
        <w:t>,</w:t>
      </w:r>
      <w:r w:rsidRPr="00343EE3">
        <w:rPr>
          <w:rFonts w:ascii="Arial" w:hAnsi="Arial" w:cs="Arial"/>
        </w:rPr>
        <w:t xml:space="preserve"> ai sensi del </w:t>
      </w:r>
      <w:proofErr w:type="spellStart"/>
      <w:r w:rsidRPr="00343EE3">
        <w:rPr>
          <w:rFonts w:ascii="Arial" w:hAnsi="Arial" w:cs="Arial"/>
        </w:rPr>
        <w:t>D.Lgs.</w:t>
      </w:r>
      <w:proofErr w:type="spellEnd"/>
      <w:r w:rsidRPr="00343EE3">
        <w:rPr>
          <w:rFonts w:ascii="Arial" w:hAnsi="Arial" w:cs="Arial"/>
        </w:rPr>
        <w:t xml:space="preserve"> del 19/04/2017 n.</w:t>
      </w:r>
      <w:r w:rsidR="00144878" w:rsidRPr="00343EE3">
        <w:rPr>
          <w:rFonts w:ascii="Arial" w:hAnsi="Arial" w:cs="Arial"/>
        </w:rPr>
        <w:t xml:space="preserve"> </w:t>
      </w:r>
      <w:r w:rsidRPr="00343EE3">
        <w:rPr>
          <w:rFonts w:ascii="Arial" w:hAnsi="Arial" w:cs="Arial"/>
        </w:rPr>
        <w:t>56 è stata eliminata la sanzione pecuniaria per accedere alla correzione d</w:t>
      </w:r>
      <w:r w:rsidR="000153A8" w:rsidRPr="00343EE3">
        <w:rPr>
          <w:rFonts w:ascii="Arial" w:hAnsi="Arial" w:cs="Arial"/>
        </w:rPr>
        <w:t>i</w:t>
      </w:r>
      <w:r w:rsidRPr="00343EE3">
        <w:rPr>
          <w:rFonts w:ascii="Arial" w:hAnsi="Arial" w:cs="Arial"/>
        </w:rPr>
        <w:t xml:space="preserve"> dette irregolarità</w:t>
      </w:r>
      <w:r w:rsidR="00383197" w:rsidRPr="00343EE3">
        <w:rPr>
          <w:rFonts w:ascii="Arial" w:hAnsi="Arial" w:cs="Arial"/>
        </w:rPr>
        <w:t>, ciò in piena coerenza ai principi comuni</w:t>
      </w:r>
      <w:r w:rsidR="00B7241D" w:rsidRPr="00343EE3">
        <w:rPr>
          <w:rFonts w:ascii="Arial" w:hAnsi="Arial" w:cs="Arial"/>
        </w:rPr>
        <w:t>tari volti alla massima apertura</w:t>
      </w:r>
      <w:r w:rsidR="00383197" w:rsidRPr="00343EE3">
        <w:rPr>
          <w:rFonts w:ascii="Arial" w:hAnsi="Arial" w:cs="Arial"/>
        </w:rPr>
        <w:t xml:space="preserve"> del mercato della concorrenza.</w:t>
      </w:r>
    </w:p>
    <w:p w14:paraId="09BC5C57" w14:textId="37BCF7CC" w:rsidR="0015620A" w:rsidRPr="00343EE3" w:rsidRDefault="0004503A" w:rsidP="00343EE3">
      <w:pPr>
        <w:spacing w:after="120" w:line="360" w:lineRule="auto"/>
        <w:jc w:val="both"/>
        <w:rPr>
          <w:rFonts w:ascii="Arial" w:hAnsi="Arial" w:cs="Arial"/>
        </w:rPr>
      </w:pPr>
      <w:r w:rsidRPr="00343EE3">
        <w:rPr>
          <w:rFonts w:ascii="Arial" w:hAnsi="Arial" w:cs="Arial"/>
        </w:rPr>
        <w:t xml:space="preserve">Quest’ultimo </w:t>
      </w:r>
      <w:r w:rsidR="00F2437F" w:rsidRPr="00343EE3">
        <w:rPr>
          <w:rFonts w:ascii="Arial" w:hAnsi="Arial" w:cs="Arial"/>
        </w:rPr>
        <w:t xml:space="preserve">intervento correttivo </w:t>
      </w:r>
      <w:r w:rsidR="00475079" w:rsidRPr="00343EE3">
        <w:rPr>
          <w:rFonts w:ascii="Arial" w:hAnsi="Arial" w:cs="Arial"/>
        </w:rPr>
        <w:t>trae spunto dall’ordinanza 3.10</w:t>
      </w:r>
      <w:r w:rsidR="00F1172B" w:rsidRPr="00343EE3">
        <w:rPr>
          <w:rFonts w:ascii="Arial" w:hAnsi="Arial" w:cs="Arial"/>
        </w:rPr>
        <w:t>.2016 n. 10012 con la quale il T</w:t>
      </w:r>
      <w:r w:rsidR="00475079" w:rsidRPr="00343EE3">
        <w:rPr>
          <w:rFonts w:ascii="Arial" w:hAnsi="Arial" w:cs="Arial"/>
        </w:rPr>
        <w:t>ar Lazio aveva messo in discussion</w:t>
      </w:r>
      <w:r w:rsidR="00F1172B" w:rsidRPr="00343EE3">
        <w:rPr>
          <w:rFonts w:ascii="Arial" w:hAnsi="Arial" w:cs="Arial"/>
        </w:rPr>
        <w:t>e</w:t>
      </w:r>
      <w:r w:rsidR="00475079" w:rsidRPr="00343EE3">
        <w:rPr>
          <w:rFonts w:ascii="Arial" w:hAnsi="Arial" w:cs="Arial"/>
        </w:rPr>
        <w:t xml:space="preserve"> la legittimità comunitaria del soccorso istruttorio oneroso, sottoponendo alla Corte di Giustizia dell’Unione Europea alcune questioni pregiudiziali </w:t>
      </w:r>
      <w:r w:rsidR="00704008" w:rsidRPr="00343EE3">
        <w:rPr>
          <w:rFonts w:ascii="Arial" w:hAnsi="Arial" w:cs="Arial"/>
        </w:rPr>
        <w:t xml:space="preserve">di interpretazione dell’art. 38, </w:t>
      </w:r>
      <w:r w:rsidR="00475079" w:rsidRPr="00343EE3">
        <w:rPr>
          <w:rFonts w:ascii="Arial" w:hAnsi="Arial" w:cs="Arial"/>
        </w:rPr>
        <w:t>comma 2- bis del dl.gs 163 del 2006</w:t>
      </w:r>
      <w:r w:rsidR="00F1172B" w:rsidRPr="00343EE3">
        <w:rPr>
          <w:rFonts w:ascii="Arial" w:hAnsi="Arial" w:cs="Arial"/>
        </w:rPr>
        <w:t xml:space="preserve"> rispetto alla disciplina di cui agli art 45 e 51 della Direttiva 2004/18/CE ed ai principi di massima concorrenza, proporzionalità, parità di trattamento e non discriminante in </w:t>
      </w:r>
      <w:r w:rsidR="003E3204" w:rsidRPr="00343EE3">
        <w:rPr>
          <w:rFonts w:ascii="Arial" w:hAnsi="Arial" w:cs="Arial"/>
        </w:rPr>
        <w:t>materia</w:t>
      </w:r>
      <w:r w:rsidR="00F1172B" w:rsidRPr="00343EE3">
        <w:rPr>
          <w:rFonts w:ascii="Arial" w:hAnsi="Arial" w:cs="Arial"/>
        </w:rPr>
        <w:t xml:space="preserve"> di procedure per l’affidamento di lavori, servizi e f</w:t>
      </w:r>
      <w:r w:rsidR="00704008" w:rsidRPr="00343EE3">
        <w:rPr>
          <w:rFonts w:ascii="Arial" w:hAnsi="Arial" w:cs="Arial"/>
        </w:rPr>
        <w:t>o</w:t>
      </w:r>
      <w:r w:rsidR="00F1172B" w:rsidRPr="00343EE3">
        <w:rPr>
          <w:rFonts w:ascii="Arial" w:hAnsi="Arial" w:cs="Arial"/>
        </w:rPr>
        <w:t xml:space="preserve">rniture. </w:t>
      </w:r>
    </w:p>
    <w:p w14:paraId="58B84B70" w14:textId="2A7E3C3B" w:rsidR="00620D67" w:rsidRPr="00343EE3" w:rsidRDefault="000153A8" w:rsidP="00343EE3">
      <w:pPr>
        <w:spacing w:after="120" w:line="360" w:lineRule="auto"/>
        <w:jc w:val="both"/>
        <w:rPr>
          <w:rFonts w:ascii="Arial" w:hAnsi="Arial" w:cs="Arial"/>
        </w:rPr>
      </w:pPr>
      <w:r w:rsidRPr="00343EE3">
        <w:rPr>
          <w:rFonts w:ascii="Arial" w:hAnsi="Arial" w:cs="Arial"/>
        </w:rPr>
        <w:t>Tra l’altro l</w:t>
      </w:r>
      <w:r w:rsidR="00620D67" w:rsidRPr="00343EE3">
        <w:rPr>
          <w:rFonts w:ascii="Arial" w:hAnsi="Arial" w:cs="Arial"/>
        </w:rPr>
        <w:t xml:space="preserve">a totale gratuità del soccorso istruttorio è anche espressione del cosiddetto divieto di goldplating </w:t>
      </w:r>
      <w:r w:rsidRPr="00343EE3">
        <w:rPr>
          <w:rFonts w:ascii="Arial" w:hAnsi="Arial" w:cs="Arial"/>
        </w:rPr>
        <w:t>ossia quel</w:t>
      </w:r>
      <w:r w:rsidR="00620D67" w:rsidRPr="00343EE3">
        <w:rPr>
          <w:rFonts w:ascii="Arial" w:hAnsi="Arial" w:cs="Arial"/>
        </w:rPr>
        <w:t xml:space="preserve"> divieto per gli Stati membri</w:t>
      </w:r>
      <w:r w:rsidR="004A598C" w:rsidRPr="00343EE3">
        <w:rPr>
          <w:rFonts w:ascii="Arial" w:hAnsi="Arial" w:cs="Arial"/>
        </w:rPr>
        <w:t xml:space="preserve"> in sede di recepime</w:t>
      </w:r>
      <w:r w:rsidRPr="00343EE3">
        <w:rPr>
          <w:rFonts w:ascii="Arial" w:hAnsi="Arial" w:cs="Arial"/>
        </w:rPr>
        <w:t>nto delle Direttive comunitarie</w:t>
      </w:r>
      <w:r w:rsidR="004A598C" w:rsidRPr="00343EE3">
        <w:rPr>
          <w:rFonts w:ascii="Arial" w:hAnsi="Arial" w:cs="Arial"/>
        </w:rPr>
        <w:t xml:space="preserve"> di introdurre regole che comportino costi ed oneri aggiuntivi</w:t>
      </w:r>
      <w:r w:rsidR="001D44CC" w:rsidRPr="00343EE3">
        <w:rPr>
          <w:rFonts w:ascii="Arial" w:hAnsi="Arial" w:cs="Arial"/>
        </w:rPr>
        <w:t xml:space="preserve"> per le imprese e i </w:t>
      </w:r>
      <w:r w:rsidR="00A61EC8" w:rsidRPr="00343EE3">
        <w:rPr>
          <w:rFonts w:ascii="Arial" w:hAnsi="Arial" w:cs="Arial"/>
        </w:rPr>
        <w:t>cittadini rispetto a quelli già previsti dal legisl</w:t>
      </w:r>
      <w:r w:rsidR="00704008" w:rsidRPr="00343EE3">
        <w:rPr>
          <w:rFonts w:ascii="Arial" w:hAnsi="Arial" w:cs="Arial"/>
        </w:rPr>
        <w:t>a</w:t>
      </w:r>
      <w:r w:rsidR="00A61EC8" w:rsidRPr="00343EE3">
        <w:rPr>
          <w:rFonts w:ascii="Arial" w:hAnsi="Arial" w:cs="Arial"/>
        </w:rPr>
        <w:t>tore comunitario.</w:t>
      </w:r>
    </w:p>
    <w:p w14:paraId="11ACEC00" w14:textId="47D97195" w:rsidR="001B739A" w:rsidRPr="00343EE3" w:rsidRDefault="001B739A" w:rsidP="00343EE3">
      <w:pPr>
        <w:spacing w:after="120" w:line="360" w:lineRule="auto"/>
        <w:jc w:val="both"/>
        <w:rPr>
          <w:rFonts w:ascii="Arial" w:hAnsi="Arial" w:cs="Arial"/>
        </w:rPr>
      </w:pPr>
      <w:r w:rsidRPr="00343EE3">
        <w:rPr>
          <w:rFonts w:ascii="Arial" w:hAnsi="Arial" w:cs="Arial"/>
        </w:rPr>
        <w:t xml:space="preserve">In ogni caso, secondo il Consiglio di Stato, è possibile far gravare sul concorrente che vi </w:t>
      </w:r>
      <w:r w:rsidR="000153A8" w:rsidRPr="00343EE3">
        <w:rPr>
          <w:rFonts w:ascii="Arial" w:hAnsi="Arial" w:cs="Arial"/>
        </w:rPr>
        <w:t xml:space="preserve">ha </w:t>
      </w:r>
      <w:r w:rsidRPr="00343EE3">
        <w:rPr>
          <w:rFonts w:ascii="Arial" w:hAnsi="Arial" w:cs="Arial"/>
        </w:rPr>
        <w:t>dato causa almeno le spese sostenute dalla stazione appaltante derivanti dall’aggravio procedimentale e dalla dilatazione dei tempi necessari per realizzare la prescritta integrazione documentale.</w:t>
      </w:r>
    </w:p>
    <w:p w14:paraId="6EFFE9B5" w14:textId="0D4F54F1" w:rsidR="00A94FB3" w:rsidRPr="00343EE3" w:rsidRDefault="00A94FB3" w:rsidP="00343EE3">
      <w:pPr>
        <w:spacing w:after="120" w:line="360" w:lineRule="auto"/>
        <w:jc w:val="both"/>
        <w:rPr>
          <w:rFonts w:ascii="Arial" w:hAnsi="Arial" w:cs="Arial"/>
        </w:rPr>
      </w:pPr>
      <w:r w:rsidRPr="00343EE3">
        <w:rPr>
          <w:rFonts w:ascii="Arial" w:hAnsi="Arial" w:cs="Arial"/>
        </w:rPr>
        <w:t>La riscrittura della norma di cui all’art. 83, comma 9, oltre ad eliminare l’onerosità dell’istituto, ha</w:t>
      </w:r>
      <w:r w:rsidR="00C715CA" w:rsidRPr="00343EE3">
        <w:rPr>
          <w:rFonts w:ascii="Arial" w:hAnsi="Arial" w:cs="Arial"/>
        </w:rPr>
        <w:t xml:space="preserve"> </w:t>
      </w:r>
      <w:r w:rsidR="00E62BEB" w:rsidRPr="00343EE3">
        <w:rPr>
          <w:rFonts w:ascii="Arial" w:hAnsi="Arial" w:cs="Arial"/>
        </w:rPr>
        <w:t>anche</w:t>
      </w:r>
      <w:r w:rsidRPr="00343EE3">
        <w:rPr>
          <w:rFonts w:ascii="Arial" w:hAnsi="Arial" w:cs="Arial"/>
        </w:rPr>
        <w:t xml:space="preserve"> superato la precedente ed incerta distinzione tra irregolarità essenziali</w:t>
      </w:r>
      <w:r w:rsidR="00C715CA" w:rsidRPr="00343EE3">
        <w:rPr>
          <w:rFonts w:ascii="Arial" w:hAnsi="Arial" w:cs="Arial"/>
        </w:rPr>
        <w:t xml:space="preserve"> e non essenziali, con la conseguenza che gli operatori economici potranno integrare o regolarizzare qualsiasi element</w:t>
      </w:r>
      <w:r w:rsidR="00C65396" w:rsidRPr="00343EE3">
        <w:rPr>
          <w:rFonts w:ascii="Arial" w:hAnsi="Arial" w:cs="Arial"/>
        </w:rPr>
        <w:t>o</w:t>
      </w:r>
      <w:r w:rsidR="00C715CA" w:rsidRPr="00343EE3">
        <w:rPr>
          <w:rFonts w:ascii="Arial" w:hAnsi="Arial" w:cs="Arial"/>
        </w:rPr>
        <w:t xml:space="preserve"> formale della domanda con esclusione di quelli incidenti sull’offerta economica e tecnica.</w:t>
      </w:r>
    </w:p>
    <w:p w14:paraId="69D50467" w14:textId="3F1FCBD6" w:rsidR="001E5D1A" w:rsidRPr="00343EE3" w:rsidRDefault="001601DC" w:rsidP="00343EE3">
      <w:pPr>
        <w:spacing w:after="120" w:line="360" w:lineRule="auto"/>
        <w:jc w:val="both"/>
        <w:rPr>
          <w:rFonts w:ascii="Arial" w:hAnsi="Arial" w:cs="Arial"/>
        </w:rPr>
      </w:pPr>
      <w:r w:rsidRPr="00343EE3">
        <w:rPr>
          <w:rFonts w:ascii="Arial" w:hAnsi="Arial" w:cs="Arial"/>
        </w:rPr>
        <w:t>In generale</w:t>
      </w:r>
      <w:r w:rsidR="0094621B" w:rsidRPr="00343EE3">
        <w:rPr>
          <w:rFonts w:ascii="Arial" w:hAnsi="Arial" w:cs="Arial"/>
        </w:rPr>
        <w:t>,</w:t>
      </w:r>
      <w:r w:rsidRPr="00343EE3">
        <w:rPr>
          <w:rFonts w:ascii="Arial" w:hAnsi="Arial" w:cs="Arial"/>
        </w:rPr>
        <w:t xml:space="preserve"> quindi</w:t>
      </w:r>
      <w:r w:rsidR="0094621B" w:rsidRPr="00343EE3">
        <w:rPr>
          <w:rFonts w:ascii="Arial" w:hAnsi="Arial" w:cs="Arial"/>
        </w:rPr>
        <w:t>,</w:t>
      </w:r>
      <w:r w:rsidRPr="00343EE3">
        <w:rPr>
          <w:rFonts w:ascii="Arial" w:hAnsi="Arial" w:cs="Arial"/>
        </w:rPr>
        <w:t xml:space="preserve"> è </w:t>
      </w:r>
      <w:r w:rsidR="00E62BEB" w:rsidRPr="00343EE3">
        <w:rPr>
          <w:rFonts w:ascii="Arial" w:hAnsi="Arial" w:cs="Arial"/>
        </w:rPr>
        <w:t xml:space="preserve">ora </w:t>
      </w:r>
      <w:r w:rsidRPr="00343EE3">
        <w:rPr>
          <w:rFonts w:ascii="Arial" w:hAnsi="Arial" w:cs="Arial"/>
        </w:rPr>
        <w:t>possibile sanare qualsiasi carenza, omission</w:t>
      </w:r>
      <w:r w:rsidR="00E62BEB" w:rsidRPr="00343EE3">
        <w:rPr>
          <w:rFonts w:ascii="Arial" w:hAnsi="Arial" w:cs="Arial"/>
        </w:rPr>
        <w:t>e</w:t>
      </w:r>
      <w:r w:rsidRPr="00343EE3">
        <w:rPr>
          <w:rFonts w:ascii="Arial" w:hAnsi="Arial" w:cs="Arial"/>
        </w:rPr>
        <w:t xml:space="preserve"> o irregolarità, con il solo limite intrinseco dell’inalterabilità del contenuto dell’offerta, della certezza in ordine </w:t>
      </w:r>
      <w:r w:rsidRPr="00343EE3">
        <w:rPr>
          <w:rFonts w:ascii="Arial" w:hAnsi="Arial" w:cs="Arial"/>
        </w:rPr>
        <w:lastRenderedPageBreak/>
        <w:t>alla provenienza della stessa</w:t>
      </w:r>
      <w:r w:rsidR="0094621B" w:rsidRPr="00343EE3">
        <w:rPr>
          <w:rFonts w:ascii="Arial" w:hAnsi="Arial" w:cs="Arial"/>
        </w:rPr>
        <w:t>, del principio di segretezza che presiede alla presentazione della medesima e di inalterabilità delle condizioni in cui versano i concorrenti al momento della scadenza del termine per la partecipazione alla gara.</w:t>
      </w:r>
    </w:p>
    <w:p w14:paraId="38CD301E" w14:textId="517B6CBB" w:rsidR="002F4986" w:rsidRPr="00343EE3" w:rsidRDefault="002F4986" w:rsidP="00343EE3">
      <w:pPr>
        <w:spacing w:after="120" w:line="360" w:lineRule="auto"/>
        <w:jc w:val="both"/>
        <w:rPr>
          <w:rFonts w:ascii="Arial" w:hAnsi="Arial" w:cs="Arial"/>
        </w:rPr>
      </w:pPr>
      <w:r w:rsidRPr="00343EE3">
        <w:rPr>
          <w:rFonts w:ascii="Arial" w:hAnsi="Arial" w:cs="Arial"/>
        </w:rPr>
        <w:t>Quindi</w:t>
      </w:r>
      <w:r w:rsidR="001D44CC" w:rsidRPr="00343EE3">
        <w:rPr>
          <w:rFonts w:ascii="Arial" w:hAnsi="Arial" w:cs="Arial"/>
        </w:rPr>
        <w:t>,</w:t>
      </w:r>
      <w:r w:rsidRPr="00343EE3">
        <w:rPr>
          <w:rFonts w:ascii="Arial" w:hAnsi="Arial" w:cs="Arial"/>
        </w:rPr>
        <w:t xml:space="preserve"> a fronte di dette irregolarità, l’ente attiverà il procedimento di regolarizzazione assegnando un termine non superior</w:t>
      </w:r>
      <w:r w:rsidR="001D44CC" w:rsidRPr="00343EE3">
        <w:rPr>
          <w:rFonts w:ascii="Arial" w:hAnsi="Arial" w:cs="Arial"/>
        </w:rPr>
        <w:t>e</w:t>
      </w:r>
      <w:r w:rsidRPr="00343EE3">
        <w:rPr>
          <w:rFonts w:ascii="Arial" w:hAnsi="Arial" w:cs="Arial"/>
        </w:rPr>
        <w:t xml:space="preserve"> a 10</w:t>
      </w:r>
      <w:r w:rsidR="0004503A" w:rsidRPr="00343EE3">
        <w:rPr>
          <w:rFonts w:ascii="Arial" w:hAnsi="Arial" w:cs="Arial"/>
        </w:rPr>
        <w:t xml:space="preserve"> gg entro il quale dovrà procede</w:t>
      </w:r>
      <w:r w:rsidRPr="00343EE3">
        <w:rPr>
          <w:rFonts w:ascii="Arial" w:hAnsi="Arial" w:cs="Arial"/>
        </w:rPr>
        <w:t>re</w:t>
      </w:r>
      <w:r w:rsidR="001D44CC" w:rsidRPr="00343EE3">
        <w:rPr>
          <w:rFonts w:ascii="Arial" w:hAnsi="Arial" w:cs="Arial"/>
        </w:rPr>
        <w:t xml:space="preserve"> alle </w:t>
      </w:r>
      <w:proofErr w:type="gramStart"/>
      <w:r w:rsidR="001D44CC" w:rsidRPr="00343EE3">
        <w:rPr>
          <w:rFonts w:ascii="Arial" w:hAnsi="Arial" w:cs="Arial"/>
        </w:rPr>
        <w:t>integrazioni  comunicando</w:t>
      </w:r>
      <w:proofErr w:type="gramEnd"/>
      <w:r w:rsidR="001D44CC" w:rsidRPr="00343EE3">
        <w:rPr>
          <w:rFonts w:ascii="Arial" w:hAnsi="Arial" w:cs="Arial"/>
        </w:rPr>
        <w:t xml:space="preserve">  l’operazione da compiere e i soggetti tenuti.</w:t>
      </w:r>
    </w:p>
    <w:p w14:paraId="6C7A3BE4" w14:textId="370C093D" w:rsidR="001D44CC" w:rsidRPr="00343EE3" w:rsidRDefault="001D44CC" w:rsidP="00343EE3">
      <w:pPr>
        <w:spacing w:after="120" w:line="360" w:lineRule="auto"/>
        <w:jc w:val="both"/>
        <w:rPr>
          <w:rFonts w:ascii="Arial" w:hAnsi="Arial" w:cs="Arial"/>
        </w:rPr>
      </w:pPr>
      <w:r w:rsidRPr="00343EE3">
        <w:rPr>
          <w:rFonts w:ascii="Arial" w:hAnsi="Arial" w:cs="Arial"/>
        </w:rPr>
        <w:t xml:space="preserve">Va ancora detto che </w:t>
      </w:r>
      <w:r w:rsidR="00267C17" w:rsidRPr="00343EE3">
        <w:rPr>
          <w:rFonts w:ascii="Arial" w:hAnsi="Arial" w:cs="Arial"/>
        </w:rPr>
        <w:t>secondo or</w:t>
      </w:r>
      <w:r w:rsidR="00EF10FF" w:rsidRPr="00343EE3">
        <w:rPr>
          <w:rFonts w:ascii="Arial" w:hAnsi="Arial" w:cs="Arial"/>
        </w:rPr>
        <w:t>a</w:t>
      </w:r>
      <w:r w:rsidR="00267C17" w:rsidRPr="00343EE3">
        <w:rPr>
          <w:rFonts w:ascii="Arial" w:hAnsi="Arial" w:cs="Arial"/>
        </w:rPr>
        <w:t>mai giurisprudenza consolidat</w:t>
      </w:r>
      <w:r w:rsidR="0004503A" w:rsidRPr="00343EE3">
        <w:rPr>
          <w:rFonts w:ascii="Arial" w:hAnsi="Arial" w:cs="Arial"/>
        </w:rPr>
        <w:t>a,</w:t>
      </w:r>
      <w:r w:rsidR="00267C17" w:rsidRPr="00343EE3">
        <w:rPr>
          <w:rFonts w:ascii="Arial" w:hAnsi="Arial" w:cs="Arial"/>
        </w:rPr>
        <w:t xml:space="preserve"> </w:t>
      </w:r>
      <w:r w:rsidRPr="00343EE3">
        <w:rPr>
          <w:rFonts w:ascii="Arial" w:hAnsi="Arial" w:cs="Arial"/>
        </w:rPr>
        <w:t xml:space="preserve">l’amministrazione può ricorrere al soccorso istruttorio </w:t>
      </w:r>
      <w:r w:rsidR="00267C17" w:rsidRPr="00343EE3">
        <w:rPr>
          <w:rFonts w:ascii="Arial" w:hAnsi="Arial" w:cs="Arial"/>
        </w:rPr>
        <w:t xml:space="preserve">anche </w:t>
      </w:r>
      <w:r w:rsidRPr="00343EE3">
        <w:rPr>
          <w:rFonts w:ascii="Arial" w:hAnsi="Arial" w:cs="Arial"/>
        </w:rPr>
        <w:t xml:space="preserve">in un momento </w:t>
      </w:r>
      <w:r w:rsidR="00EF10FF" w:rsidRPr="00343EE3">
        <w:rPr>
          <w:rFonts w:ascii="Arial" w:hAnsi="Arial" w:cs="Arial"/>
        </w:rPr>
        <w:t>successivo</w:t>
      </w:r>
      <w:r w:rsidRPr="00343EE3">
        <w:rPr>
          <w:rFonts w:ascii="Arial" w:hAnsi="Arial" w:cs="Arial"/>
        </w:rPr>
        <w:t xml:space="preserve"> all’aggiudicazione della gara</w:t>
      </w:r>
      <w:r w:rsidR="00267C17" w:rsidRPr="00343EE3">
        <w:rPr>
          <w:rFonts w:ascii="Arial" w:hAnsi="Arial" w:cs="Arial"/>
        </w:rPr>
        <w:t>, ciò per il rispetto della concorrenza tra gli operatori e a beneficio della medesima stazione appaltante che potrebbe vedersi pregiudicato il contratto per “vizi sanabili”.</w:t>
      </w:r>
    </w:p>
    <w:p w14:paraId="7FFFD4B7" w14:textId="7B5BEB1A" w:rsidR="000E2258" w:rsidRPr="00343EE3" w:rsidRDefault="00F173A8" w:rsidP="00343EE3">
      <w:pPr>
        <w:spacing w:after="120" w:line="360" w:lineRule="auto"/>
        <w:jc w:val="both"/>
        <w:rPr>
          <w:rFonts w:ascii="Arial" w:hAnsi="Arial" w:cs="Arial"/>
        </w:rPr>
      </w:pPr>
      <w:r w:rsidRPr="00343EE3">
        <w:rPr>
          <w:rFonts w:ascii="Arial" w:hAnsi="Arial" w:cs="Arial"/>
        </w:rPr>
        <w:t>Sono diversamente irregolarità insanabili quelle afferenti l’offerta tecnica ed economica</w:t>
      </w:r>
      <w:r w:rsidR="007E4254" w:rsidRPr="00343EE3">
        <w:rPr>
          <w:rFonts w:ascii="Arial" w:hAnsi="Arial" w:cs="Arial"/>
        </w:rPr>
        <w:t>, e più genericamente, le carenze che non consentono l’individuazione del contenuto o del soggetto responsabile.</w:t>
      </w:r>
    </w:p>
    <w:p w14:paraId="0E132C53" w14:textId="77777777" w:rsidR="002F413B" w:rsidRPr="00343EE3" w:rsidRDefault="002F413B" w:rsidP="00343EE3">
      <w:pPr>
        <w:spacing w:after="120" w:line="360" w:lineRule="auto"/>
        <w:jc w:val="both"/>
        <w:rPr>
          <w:rFonts w:ascii="Arial" w:hAnsi="Arial" w:cs="Arial"/>
        </w:rPr>
      </w:pPr>
      <w:r w:rsidRPr="00343EE3">
        <w:rPr>
          <w:rFonts w:ascii="Arial" w:hAnsi="Arial" w:cs="Arial"/>
        </w:rPr>
        <w:t xml:space="preserve">Le descritte modifiche normative apportate dal </w:t>
      </w:r>
      <w:proofErr w:type="spellStart"/>
      <w:r w:rsidRPr="00343EE3">
        <w:rPr>
          <w:rFonts w:ascii="Arial" w:hAnsi="Arial" w:cs="Arial"/>
        </w:rPr>
        <w:t>d.lgs</w:t>
      </w:r>
      <w:proofErr w:type="spellEnd"/>
      <w:r w:rsidRPr="00343EE3">
        <w:rPr>
          <w:rFonts w:ascii="Arial" w:hAnsi="Arial" w:cs="Arial"/>
        </w:rPr>
        <w:t xml:space="preserve"> n. 50/2016 pongono all’interprete il problema di verificare se – rispetto alla precedente disciplina – possano configurarsi rilevanti differenze nella vita pratica dell’istituto in esame, con riferimento alle principali ipotesi di carenze documentali ravvisabili in sede di gara.</w:t>
      </w:r>
    </w:p>
    <w:p w14:paraId="109828D9" w14:textId="1102110D" w:rsidR="002F413B" w:rsidRPr="00343EE3" w:rsidRDefault="002F413B" w:rsidP="00343EE3">
      <w:pPr>
        <w:spacing w:after="120" w:line="360" w:lineRule="auto"/>
        <w:jc w:val="both"/>
        <w:rPr>
          <w:rFonts w:ascii="Arial" w:hAnsi="Arial" w:cs="Arial"/>
        </w:rPr>
      </w:pPr>
      <w:r w:rsidRPr="00343EE3">
        <w:rPr>
          <w:rFonts w:ascii="Arial" w:hAnsi="Arial" w:cs="Arial"/>
        </w:rPr>
        <w:t xml:space="preserve">Al riguardo, occorre preliminarmente evidenziare che anche nel nuovo codice dei contratti pubblici il comma 8 dell’art. 83 (come il comma 1 bis dell’art. 46 dell’abrogato </w:t>
      </w:r>
      <w:proofErr w:type="spellStart"/>
      <w:r w:rsidRPr="00343EE3">
        <w:rPr>
          <w:rFonts w:ascii="Arial" w:hAnsi="Arial" w:cs="Arial"/>
        </w:rPr>
        <w:t>d.lgs</w:t>
      </w:r>
      <w:proofErr w:type="spellEnd"/>
      <w:r w:rsidRPr="00343EE3">
        <w:rPr>
          <w:rFonts w:ascii="Arial" w:hAnsi="Arial" w:cs="Arial"/>
        </w:rPr>
        <w:t xml:space="preserve"> 163/2006) sancisce il principio di tipicità / tassatività delle cause di esclusione, con conseguente nullità testuale delle clausole difformi contenute nei bandi.</w:t>
      </w:r>
    </w:p>
    <w:p w14:paraId="3863C541" w14:textId="089D5D01" w:rsidR="002F413B" w:rsidRPr="00343EE3" w:rsidRDefault="002F413B" w:rsidP="00343EE3">
      <w:pPr>
        <w:tabs>
          <w:tab w:val="left" w:pos="709"/>
        </w:tabs>
        <w:spacing w:after="120" w:line="360" w:lineRule="auto"/>
        <w:jc w:val="both"/>
        <w:rPr>
          <w:rFonts w:ascii="Arial" w:hAnsi="Arial" w:cs="Arial"/>
        </w:rPr>
      </w:pPr>
      <w:r w:rsidRPr="00343EE3">
        <w:rPr>
          <w:rFonts w:ascii="Arial" w:hAnsi="Arial" w:cs="Arial"/>
        </w:rPr>
        <w:t>Ne deriva che il carattere di indispensabilità di un determinato adempimento formale o documentale continua a dipendere dalla predeterminazione normativa – in relazione ad esso - di un’espressa causa di esclusione o dalla sua implicita doverosità legale, e non può essere il frutto di discrezionalità delle stazioni appaltanti</w:t>
      </w:r>
      <w:r w:rsidR="00C440C3" w:rsidRPr="00343EE3">
        <w:rPr>
          <w:rFonts w:ascii="Arial" w:hAnsi="Arial" w:cs="Arial"/>
        </w:rPr>
        <w:t>.</w:t>
      </w:r>
    </w:p>
    <w:p w14:paraId="66931FD5" w14:textId="25876E3C" w:rsidR="002F413B" w:rsidRDefault="002F413B" w:rsidP="00343EE3">
      <w:pPr>
        <w:spacing w:after="120" w:line="360" w:lineRule="auto"/>
        <w:jc w:val="both"/>
        <w:rPr>
          <w:rFonts w:ascii="Arial" w:hAnsi="Arial" w:cs="Arial"/>
        </w:rPr>
      </w:pPr>
      <w:r w:rsidRPr="00343EE3">
        <w:rPr>
          <w:rFonts w:ascii="Arial" w:hAnsi="Arial" w:cs="Arial"/>
        </w:rPr>
        <w:t xml:space="preserve">In via generale, quindi, si può affermare che, anche nell’assetto normativo risultante dal nuovo codice, l’applicabilità del soccorso istruttorio resta inscindibilmente legata all’eventuale ricorrenza di una fattispecie di esclusione tipizzata e, quindi, la sua </w:t>
      </w:r>
      <w:r w:rsidRPr="00343EE3">
        <w:rPr>
          <w:rFonts w:ascii="Arial" w:hAnsi="Arial" w:cs="Arial"/>
        </w:rPr>
        <w:lastRenderedPageBreak/>
        <w:t>operatività dipende essenzialmente da una scelta fatta a monte dal legislatore e non da scelte “a valle” della singola Stazione Appaltante.</w:t>
      </w:r>
    </w:p>
    <w:p w14:paraId="579CC565" w14:textId="77777777" w:rsidR="00343EE3" w:rsidRPr="00343EE3" w:rsidRDefault="00343EE3" w:rsidP="00343EE3">
      <w:pPr>
        <w:spacing w:after="120" w:line="360" w:lineRule="auto"/>
        <w:jc w:val="both"/>
        <w:rPr>
          <w:rFonts w:ascii="Arial" w:hAnsi="Arial" w:cs="Arial"/>
        </w:rPr>
      </w:pPr>
    </w:p>
    <w:p w14:paraId="3B834C54" w14:textId="73660FE3" w:rsidR="009C7652" w:rsidRPr="00343EE3" w:rsidRDefault="000153A8" w:rsidP="00343EE3">
      <w:pPr>
        <w:spacing w:after="120" w:line="360" w:lineRule="auto"/>
        <w:jc w:val="both"/>
        <w:rPr>
          <w:rFonts w:ascii="Arial" w:hAnsi="Arial" w:cs="Arial"/>
          <w:b/>
        </w:rPr>
      </w:pPr>
      <w:r w:rsidRPr="00343EE3">
        <w:rPr>
          <w:rFonts w:ascii="Arial" w:hAnsi="Arial" w:cs="Arial"/>
          <w:b/>
        </w:rPr>
        <w:t>Fattispecie applicative</w:t>
      </w:r>
    </w:p>
    <w:p w14:paraId="6D276286" w14:textId="162AFC3E" w:rsidR="002F413B" w:rsidRPr="00343EE3" w:rsidRDefault="002F413B" w:rsidP="00343EE3">
      <w:pPr>
        <w:pStyle w:val="Paragrafoelenco"/>
        <w:tabs>
          <w:tab w:val="left" w:pos="567"/>
        </w:tabs>
        <w:spacing w:after="120" w:line="360" w:lineRule="auto"/>
        <w:ind w:left="0"/>
        <w:jc w:val="both"/>
        <w:rPr>
          <w:rFonts w:ascii="Arial" w:hAnsi="Arial" w:cs="Arial"/>
        </w:rPr>
      </w:pPr>
      <w:r w:rsidRPr="00343EE3">
        <w:rPr>
          <w:rFonts w:ascii="Arial" w:hAnsi="Arial" w:cs="Arial"/>
        </w:rPr>
        <w:t xml:space="preserve">Con riferimento alla </w:t>
      </w:r>
      <w:r w:rsidRPr="00343EE3">
        <w:rPr>
          <w:rFonts w:ascii="Arial" w:hAnsi="Arial" w:cs="Arial"/>
          <w:b/>
          <w:u w:val="single"/>
        </w:rPr>
        <w:t>cauzione provvisoria</w:t>
      </w:r>
      <w:r w:rsidRPr="00343EE3">
        <w:rPr>
          <w:rFonts w:ascii="Arial" w:hAnsi="Arial" w:cs="Arial"/>
        </w:rPr>
        <w:t>, che</w:t>
      </w:r>
      <w:r w:rsidR="008D22C8" w:rsidRPr="00343EE3">
        <w:rPr>
          <w:rFonts w:ascii="Arial" w:hAnsi="Arial" w:cs="Arial"/>
        </w:rPr>
        <w:t xml:space="preserve"> </w:t>
      </w:r>
      <w:r w:rsidRPr="00343EE3">
        <w:rPr>
          <w:rFonts w:ascii="Arial" w:hAnsi="Arial" w:cs="Arial"/>
        </w:rPr>
        <w:t xml:space="preserve">“assolve – come noto – allo scopo di assicurare la serietà dell’offerta </w:t>
      </w:r>
      <w:proofErr w:type="gramStart"/>
      <w:r w:rsidRPr="00343EE3">
        <w:rPr>
          <w:rFonts w:ascii="Arial" w:hAnsi="Arial" w:cs="Arial"/>
        </w:rPr>
        <w:t>e  di</w:t>
      </w:r>
      <w:proofErr w:type="gramEnd"/>
      <w:r w:rsidRPr="00343EE3">
        <w:rPr>
          <w:rFonts w:ascii="Arial" w:hAnsi="Arial" w:cs="Arial"/>
        </w:rPr>
        <w:t xml:space="preserve"> costituire una liquidazione preventiva e forfettaria del danno, nel caso non  si addivenga alla stipula del contratto per causa imputabile  all’aggiudicatario,”</w:t>
      </w:r>
      <w:r w:rsidR="00890E20" w:rsidRPr="00343EE3">
        <w:rPr>
          <w:rFonts w:ascii="Arial" w:hAnsi="Arial" w:cs="Arial"/>
        </w:rPr>
        <w:t xml:space="preserve"> </w:t>
      </w:r>
      <w:r w:rsidRPr="00343EE3">
        <w:rPr>
          <w:rFonts w:ascii="Arial" w:hAnsi="Arial" w:cs="Arial"/>
        </w:rPr>
        <w:t xml:space="preserve">si può ritenere che, anche alla luce dell’art. </w:t>
      </w:r>
      <w:r w:rsidR="001A1160" w:rsidRPr="00343EE3">
        <w:rPr>
          <w:rFonts w:ascii="Arial" w:hAnsi="Arial" w:cs="Arial"/>
        </w:rPr>
        <w:t>9</w:t>
      </w:r>
      <w:r w:rsidRPr="00343EE3">
        <w:rPr>
          <w:rFonts w:ascii="Arial" w:hAnsi="Arial" w:cs="Arial"/>
        </w:rPr>
        <w:t xml:space="preserve">3 </w:t>
      </w:r>
      <w:proofErr w:type="spellStart"/>
      <w:r w:rsidRPr="00343EE3">
        <w:rPr>
          <w:rFonts w:ascii="Arial" w:hAnsi="Arial" w:cs="Arial"/>
        </w:rPr>
        <w:t>D.lgs</w:t>
      </w:r>
      <w:proofErr w:type="spellEnd"/>
      <w:r w:rsidRPr="00343EE3">
        <w:rPr>
          <w:rFonts w:ascii="Arial" w:hAnsi="Arial" w:cs="Arial"/>
        </w:rPr>
        <w:t xml:space="preserve"> n. 50/2016, resti immutata la sua natura di documento indispensabile per la partecipazione alla gara.</w:t>
      </w:r>
    </w:p>
    <w:p w14:paraId="0CAB4A3B" w14:textId="19D40B5D" w:rsidR="001A1160" w:rsidRPr="00343EE3" w:rsidRDefault="001A1160" w:rsidP="00343EE3">
      <w:pPr>
        <w:pStyle w:val="Paragrafoelenco"/>
        <w:tabs>
          <w:tab w:val="left" w:pos="567"/>
        </w:tabs>
        <w:spacing w:after="120" w:line="360" w:lineRule="auto"/>
        <w:ind w:left="0"/>
        <w:jc w:val="both"/>
        <w:rPr>
          <w:rFonts w:ascii="Arial" w:hAnsi="Arial" w:cs="Arial"/>
        </w:rPr>
      </w:pPr>
      <w:r w:rsidRPr="00343EE3">
        <w:rPr>
          <w:rFonts w:ascii="Arial" w:hAnsi="Arial" w:cs="Arial"/>
        </w:rPr>
        <w:t>T</w:t>
      </w:r>
      <w:r w:rsidR="00CB7C2C" w:rsidRPr="00343EE3">
        <w:rPr>
          <w:rFonts w:ascii="Arial" w:hAnsi="Arial" w:cs="Arial"/>
        </w:rPr>
        <w:t xml:space="preserve">uttavia il Tar Lazio con sentenza n. 8143 del 10.06.2015, confermata dal Consiglio di Stato n. 1377 del 6.4.2016, ha statuito che </w:t>
      </w:r>
      <w:r w:rsidR="00DC32F9" w:rsidRPr="00343EE3">
        <w:rPr>
          <w:rFonts w:ascii="Arial" w:hAnsi="Arial" w:cs="Arial"/>
        </w:rPr>
        <w:t>“</w:t>
      </w:r>
      <w:r w:rsidR="00CB7C2C" w:rsidRPr="00343EE3">
        <w:rPr>
          <w:rFonts w:ascii="Arial" w:hAnsi="Arial" w:cs="Arial"/>
          <w:i/>
        </w:rPr>
        <w:t>non possono essere escluse dalla gara gli offerenti che hanno stipulato la cauzione provvisoria dopo la presentazione dell’offerta e/o dopo la scadenza del termine di presentazione dell’offerta, in quanto la cauzione</w:t>
      </w:r>
      <w:r w:rsidR="008B1434" w:rsidRPr="00343EE3">
        <w:rPr>
          <w:rFonts w:ascii="Arial" w:hAnsi="Arial" w:cs="Arial"/>
          <w:i/>
        </w:rPr>
        <w:t xml:space="preserve"> provvisoria non assume la configurazione di un requisito di ammissione alla gara, che deve essere già posseduto entro il termine di presentazione delle offerte, ma costituisce una garanzia di serietà dell’offerta e di liquidazione preventiva e forfettaria del danno, in caso di mancata sottoscrizione del contratto di appalto imputabile al concorrente a titolo di dolo o colpa e/o di esclusione dalla gara per l’assenza dei requisiti di ammissione alla gara</w:t>
      </w:r>
      <w:r w:rsidR="00DC32F9" w:rsidRPr="00343EE3">
        <w:rPr>
          <w:rFonts w:ascii="Arial" w:hAnsi="Arial" w:cs="Arial"/>
        </w:rPr>
        <w:t>”</w:t>
      </w:r>
      <w:r w:rsidR="008B1434" w:rsidRPr="00343EE3">
        <w:rPr>
          <w:rFonts w:ascii="Arial" w:hAnsi="Arial" w:cs="Arial"/>
        </w:rPr>
        <w:t>.</w:t>
      </w:r>
    </w:p>
    <w:p w14:paraId="207F18EC" w14:textId="421C0719" w:rsidR="00F173A8" w:rsidRPr="00343EE3" w:rsidRDefault="002F413B" w:rsidP="00343EE3">
      <w:pPr>
        <w:spacing w:after="120" w:line="360" w:lineRule="auto"/>
        <w:jc w:val="both"/>
        <w:rPr>
          <w:rFonts w:ascii="Arial" w:hAnsi="Arial" w:cs="Arial"/>
        </w:rPr>
      </w:pPr>
      <w:r w:rsidRPr="00343EE3">
        <w:rPr>
          <w:rFonts w:ascii="Arial" w:hAnsi="Arial" w:cs="Arial"/>
        </w:rPr>
        <w:t>Alla luce d</w:t>
      </w:r>
      <w:r w:rsidR="00DC32F9" w:rsidRPr="00343EE3">
        <w:rPr>
          <w:rFonts w:ascii="Arial" w:hAnsi="Arial" w:cs="Arial"/>
        </w:rPr>
        <w:t xml:space="preserve">i quanto sopra precisato dalla giurisprudenza, </w:t>
      </w:r>
      <w:r w:rsidRPr="00343EE3">
        <w:rPr>
          <w:rFonts w:ascii="Arial" w:hAnsi="Arial" w:cs="Arial"/>
        </w:rPr>
        <w:t>il soccorso istruttorio si deve ritenere,</w:t>
      </w:r>
      <w:r w:rsidR="00C440C3" w:rsidRPr="00343EE3">
        <w:rPr>
          <w:rFonts w:ascii="Arial" w:hAnsi="Arial" w:cs="Arial"/>
        </w:rPr>
        <w:t xml:space="preserve"> </w:t>
      </w:r>
      <w:r w:rsidRPr="00343EE3">
        <w:rPr>
          <w:rFonts w:ascii="Arial" w:hAnsi="Arial" w:cs="Arial"/>
        </w:rPr>
        <w:t>invece, (attualmente) inapplicabile nell’ipotesi residuale in cui le irregolarità della documentazione concernente la garanzia provvisoria siano tali da non consentire di individuarne il contenuto o da impedire di risalire al soggetto garante</w:t>
      </w:r>
      <w:r w:rsidR="00333ECD" w:rsidRPr="00343EE3">
        <w:rPr>
          <w:rFonts w:ascii="Arial" w:hAnsi="Arial" w:cs="Arial"/>
        </w:rPr>
        <w:t>.</w:t>
      </w:r>
    </w:p>
    <w:p w14:paraId="77E68599" w14:textId="77777777" w:rsidR="00AE12A2" w:rsidRPr="00343EE3" w:rsidRDefault="00AE12A2" w:rsidP="00343EE3">
      <w:pPr>
        <w:spacing w:after="120" w:line="360" w:lineRule="auto"/>
        <w:jc w:val="both"/>
        <w:rPr>
          <w:rFonts w:ascii="Arial" w:hAnsi="Arial" w:cs="Arial"/>
        </w:rPr>
      </w:pPr>
    </w:p>
    <w:p w14:paraId="61A02E39" w14:textId="68011D5E" w:rsidR="00AE12A2" w:rsidRPr="00343EE3" w:rsidRDefault="00AE12A2" w:rsidP="00343EE3">
      <w:pPr>
        <w:pStyle w:val="Paragrafoelenco"/>
        <w:spacing w:after="120" w:line="360" w:lineRule="auto"/>
        <w:ind w:left="0"/>
        <w:jc w:val="both"/>
        <w:rPr>
          <w:rFonts w:ascii="Arial" w:hAnsi="Arial" w:cs="Arial"/>
        </w:rPr>
      </w:pPr>
      <w:r w:rsidRPr="00343EE3">
        <w:rPr>
          <w:rFonts w:ascii="Arial" w:hAnsi="Arial" w:cs="Arial"/>
        </w:rPr>
        <w:t xml:space="preserve">Con riferimento </w:t>
      </w:r>
      <w:r w:rsidR="00410BC8" w:rsidRPr="00343EE3">
        <w:rPr>
          <w:rFonts w:ascii="Arial" w:hAnsi="Arial" w:cs="Arial"/>
        </w:rPr>
        <w:t>al mancat</w:t>
      </w:r>
      <w:r w:rsidR="00555862" w:rsidRPr="00343EE3">
        <w:rPr>
          <w:rFonts w:ascii="Arial" w:hAnsi="Arial" w:cs="Arial"/>
        </w:rPr>
        <w:t xml:space="preserve">o pagamento del </w:t>
      </w:r>
      <w:r w:rsidR="00555862" w:rsidRPr="00343EE3">
        <w:rPr>
          <w:rFonts w:ascii="Arial" w:hAnsi="Arial" w:cs="Arial"/>
          <w:b/>
          <w:u w:val="single"/>
        </w:rPr>
        <w:t>contributo A</w:t>
      </w:r>
      <w:r w:rsidR="002E3F77" w:rsidRPr="00343EE3">
        <w:rPr>
          <w:rFonts w:ascii="Arial" w:hAnsi="Arial" w:cs="Arial"/>
          <w:b/>
          <w:u w:val="single"/>
        </w:rPr>
        <w:t>NAC</w:t>
      </w:r>
      <w:r w:rsidR="002E3F77" w:rsidRPr="00343EE3">
        <w:rPr>
          <w:rFonts w:ascii="Arial" w:hAnsi="Arial" w:cs="Arial"/>
        </w:rPr>
        <w:t>, la stessa autorità è inter</w:t>
      </w:r>
      <w:r w:rsidR="00555862" w:rsidRPr="00343EE3">
        <w:rPr>
          <w:rFonts w:ascii="Arial" w:hAnsi="Arial" w:cs="Arial"/>
        </w:rPr>
        <w:t>v</w:t>
      </w:r>
      <w:r w:rsidR="002E3F77" w:rsidRPr="00343EE3">
        <w:rPr>
          <w:rFonts w:ascii="Arial" w:hAnsi="Arial" w:cs="Arial"/>
        </w:rPr>
        <w:t>e</w:t>
      </w:r>
      <w:r w:rsidR="00555862" w:rsidRPr="00343EE3">
        <w:rPr>
          <w:rFonts w:ascii="Arial" w:hAnsi="Arial" w:cs="Arial"/>
        </w:rPr>
        <w:t xml:space="preserve">nuta con una delibera a chiarimento in data 27 luglio 2017, n.838. Ha quindi chiarito che </w:t>
      </w:r>
      <w:r w:rsidR="000145C9" w:rsidRPr="00343EE3">
        <w:rPr>
          <w:rFonts w:ascii="Arial" w:hAnsi="Arial" w:cs="Arial"/>
        </w:rPr>
        <w:t xml:space="preserve">la mancata allegazione alla domanda di partecipazione della ricevuta di pagamento </w:t>
      </w:r>
      <w:r w:rsidR="000145C9" w:rsidRPr="00343EE3">
        <w:rPr>
          <w:rFonts w:ascii="Arial" w:hAnsi="Arial" w:cs="Arial"/>
        </w:rPr>
        <w:lastRenderedPageBreak/>
        <w:t xml:space="preserve">del contributo all’Autorità non può essere sanzionata dalla stazione appaltante con l’esclusione, senza che si proceda ad un previo accertamento dell’effettivo assolvimento dell’obbligo in questione entro il termine decadenziale di partecipazione alla </w:t>
      </w:r>
      <w:r w:rsidR="002E3F77" w:rsidRPr="00343EE3">
        <w:rPr>
          <w:rFonts w:ascii="Arial" w:hAnsi="Arial" w:cs="Arial"/>
        </w:rPr>
        <w:t>gara. Pertanto il mancato pagamento del contributo ANAC può essere oggetto di soccorso istruttorio dietro pagamento della relativa sanzione.</w:t>
      </w:r>
    </w:p>
    <w:p w14:paraId="65208410" w14:textId="356B74C9" w:rsidR="00A0626C" w:rsidRPr="00343EE3" w:rsidRDefault="00A0626C" w:rsidP="00343EE3">
      <w:pPr>
        <w:spacing w:after="120" w:line="360" w:lineRule="auto"/>
        <w:jc w:val="both"/>
        <w:rPr>
          <w:rFonts w:ascii="Arial" w:hAnsi="Arial" w:cs="Arial"/>
        </w:rPr>
      </w:pPr>
    </w:p>
    <w:p w14:paraId="2C0B3582" w14:textId="5E4AE888" w:rsidR="00691200" w:rsidRPr="00343EE3" w:rsidRDefault="00691200" w:rsidP="00343EE3">
      <w:pPr>
        <w:pStyle w:val="Paragrafoelenco"/>
        <w:spacing w:after="120" w:line="360" w:lineRule="auto"/>
        <w:ind w:left="0"/>
        <w:jc w:val="both"/>
        <w:rPr>
          <w:rFonts w:ascii="Arial" w:hAnsi="Arial" w:cs="Arial"/>
        </w:rPr>
      </w:pPr>
      <w:r w:rsidRPr="00343EE3">
        <w:rPr>
          <w:rFonts w:ascii="Arial" w:hAnsi="Arial" w:cs="Arial"/>
        </w:rPr>
        <w:t>Con riferimento</w:t>
      </w:r>
      <w:r w:rsidR="00BB0678" w:rsidRPr="00343EE3">
        <w:rPr>
          <w:rFonts w:ascii="Arial" w:hAnsi="Arial" w:cs="Arial"/>
        </w:rPr>
        <w:t xml:space="preserve"> all’ipotesi di </w:t>
      </w:r>
      <w:r w:rsidR="00BB0678" w:rsidRPr="00343EE3">
        <w:rPr>
          <w:rFonts w:ascii="Arial" w:hAnsi="Arial" w:cs="Arial"/>
          <w:b/>
          <w:u w:val="single"/>
        </w:rPr>
        <w:t>omessa documentazione</w:t>
      </w:r>
      <w:r w:rsidR="00BB0678" w:rsidRPr="00343EE3">
        <w:rPr>
          <w:rFonts w:ascii="Arial" w:hAnsi="Arial" w:cs="Arial"/>
        </w:rPr>
        <w:t xml:space="preserve"> inerente la </w:t>
      </w:r>
      <w:r w:rsidR="00BB0678" w:rsidRPr="00343EE3">
        <w:rPr>
          <w:rFonts w:ascii="Arial" w:hAnsi="Arial" w:cs="Arial"/>
          <w:b/>
          <w:u w:val="single"/>
        </w:rPr>
        <w:t>traduzione giurata</w:t>
      </w:r>
      <w:r w:rsidR="00BB0678" w:rsidRPr="00343EE3">
        <w:rPr>
          <w:rFonts w:ascii="Arial" w:hAnsi="Arial" w:cs="Arial"/>
        </w:rPr>
        <w:t xml:space="preserve"> in lingua italiana di un documento presentato in lingua originale. Da </w:t>
      </w:r>
      <w:proofErr w:type="gramStart"/>
      <w:r w:rsidR="00BB0678" w:rsidRPr="00343EE3">
        <w:rPr>
          <w:rFonts w:ascii="Arial" w:hAnsi="Arial" w:cs="Arial"/>
        </w:rPr>
        <w:t>un analisi</w:t>
      </w:r>
      <w:proofErr w:type="gramEnd"/>
      <w:r w:rsidR="00BB0678" w:rsidRPr="00343EE3">
        <w:rPr>
          <w:rFonts w:ascii="Arial" w:hAnsi="Arial" w:cs="Arial"/>
        </w:rPr>
        <w:t xml:space="preserve"> i è visto che in passato, l’amministrazione aggiu</w:t>
      </w:r>
      <w:r w:rsidR="007D41C8" w:rsidRPr="00343EE3">
        <w:rPr>
          <w:rFonts w:ascii="Arial" w:hAnsi="Arial" w:cs="Arial"/>
        </w:rPr>
        <w:t>d</w:t>
      </w:r>
      <w:r w:rsidR="00BB0678" w:rsidRPr="00343EE3">
        <w:rPr>
          <w:rFonts w:ascii="Arial" w:hAnsi="Arial" w:cs="Arial"/>
        </w:rPr>
        <w:t>icatrice</w:t>
      </w:r>
      <w:r w:rsidR="007D41C8" w:rsidRPr="00343EE3">
        <w:rPr>
          <w:rFonts w:ascii="Arial" w:hAnsi="Arial" w:cs="Arial"/>
        </w:rPr>
        <w:t xml:space="preserve"> procedeva direttamente all’esclusione della gara del concorrente che </w:t>
      </w:r>
      <w:r w:rsidR="000A1BC8" w:rsidRPr="00343EE3">
        <w:rPr>
          <w:rFonts w:ascii="Arial" w:hAnsi="Arial" w:cs="Arial"/>
        </w:rPr>
        <w:t xml:space="preserve">aveva omesso la traduzione giurata in lingua italiana di un documento attestante i requisiti di partecipazione, </w:t>
      </w:r>
      <w:proofErr w:type="spellStart"/>
      <w:r w:rsidR="000A1BC8" w:rsidRPr="00343EE3">
        <w:rPr>
          <w:rFonts w:ascii="Arial" w:hAnsi="Arial" w:cs="Arial"/>
        </w:rPr>
        <w:t>sicchè</w:t>
      </w:r>
      <w:proofErr w:type="spellEnd"/>
      <w:r w:rsidR="000A1BC8" w:rsidRPr="00343EE3">
        <w:rPr>
          <w:rFonts w:ascii="Arial" w:hAnsi="Arial" w:cs="Arial"/>
        </w:rPr>
        <w:t xml:space="preserve"> l’omessa presentazione della traduzione giurata significava sostanzialmente non aver prodotto quel documento con immediata esclusione dalla gara. Oggi, invece, il soccorso istruttorio è uno strumento </w:t>
      </w:r>
      <w:r w:rsidR="003F42D7" w:rsidRPr="00343EE3">
        <w:rPr>
          <w:rFonts w:ascii="Arial" w:hAnsi="Arial" w:cs="Arial"/>
        </w:rPr>
        <w:t xml:space="preserve">di generale applicazione di fronte ad ogni forma di </w:t>
      </w:r>
      <w:proofErr w:type="gramStart"/>
      <w:r w:rsidR="003F42D7" w:rsidRPr="00343EE3">
        <w:rPr>
          <w:rFonts w:ascii="Arial" w:hAnsi="Arial" w:cs="Arial"/>
        </w:rPr>
        <w:t xml:space="preserve">irregolarità </w:t>
      </w:r>
      <w:r w:rsidR="00BA0B35" w:rsidRPr="00343EE3">
        <w:rPr>
          <w:rFonts w:ascii="Arial" w:hAnsi="Arial" w:cs="Arial"/>
        </w:rPr>
        <w:t xml:space="preserve"> attraverso</w:t>
      </w:r>
      <w:proofErr w:type="gramEnd"/>
      <w:r w:rsidR="00BA0B35" w:rsidRPr="00343EE3">
        <w:rPr>
          <w:rFonts w:ascii="Arial" w:hAnsi="Arial" w:cs="Arial"/>
        </w:rPr>
        <w:t xml:space="preserve"> il quale allora le amministrazioni aggiudicatrici potranno far regolarizzare la posizione al concorrente.</w:t>
      </w:r>
    </w:p>
    <w:p w14:paraId="516484F0" w14:textId="77777777" w:rsidR="00CA08F5" w:rsidRPr="00343EE3" w:rsidRDefault="00CA08F5" w:rsidP="00343EE3">
      <w:pPr>
        <w:pStyle w:val="Paragrafoelenco"/>
        <w:spacing w:after="120" w:line="360" w:lineRule="auto"/>
        <w:ind w:left="0"/>
        <w:jc w:val="both"/>
        <w:rPr>
          <w:rFonts w:ascii="Arial" w:hAnsi="Arial" w:cs="Arial"/>
        </w:rPr>
      </w:pPr>
    </w:p>
    <w:p w14:paraId="0CCF56B9" w14:textId="38B0569E" w:rsidR="008B211A" w:rsidRPr="00343EE3" w:rsidRDefault="008B211A" w:rsidP="00343EE3">
      <w:pPr>
        <w:pStyle w:val="Paragrafoelenco"/>
        <w:spacing w:after="120" w:line="360" w:lineRule="auto"/>
        <w:ind w:left="0"/>
        <w:jc w:val="both"/>
        <w:rPr>
          <w:rFonts w:ascii="Arial" w:hAnsi="Arial" w:cs="Arial"/>
        </w:rPr>
      </w:pPr>
      <w:r w:rsidRPr="00343EE3">
        <w:rPr>
          <w:rFonts w:ascii="Arial" w:hAnsi="Arial" w:cs="Arial"/>
        </w:rPr>
        <w:t>Alla luce della breve disamina sin qui riportata è possibile affermare che l’eliminaz</w:t>
      </w:r>
      <w:r w:rsidR="008E3F33" w:rsidRPr="00343EE3">
        <w:rPr>
          <w:rFonts w:ascii="Arial" w:hAnsi="Arial" w:cs="Arial"/>
        </w:rPr>
        <w:t>i</w:t>
      </w:r>
      <w:r w:rsidRPr="00343EE3">
        <w:rPr>
          <w:rFonts w:ascii="Arial" w:hAnsi="Arial" w:cs="Arial"/>
        </w:rPr>
        <w:t xml:space="preserve">one del soccorso istruttorio oneroso e la maggiore </w:t>
      </w:r>
      <w:r w:rsidR="008E3F33" w:rsidRPr="00343EE3">
        <w:rPr>
          <w:rFonts w:ascii="Arial" w:hAnsi="Arial" w:cs="Arial"/>
        </w:rPr>
        <w:t>sinteticità sono scelte positive del legislatore in piena coerenza con i principi comunitari. Con alta probabilità si formeranno notevoli precedenti giurisprudenziali in cui sarà possibile il ricorso all’istituto del soccorso istruttorio a cura delle amministrazioni pubbliche.</w:t>
      </w:r>
    </w:p>
    <w:p w14:paraId="58C02ECD" w14:textId="77777777" w:rsidR="005216BF" w:rsidRPr="00343EE3" w:rsidRDefault="005216BF" w:rsidP="00343EE3">
      <w:pPr>
        <w:pStyle w:val="Paragrafoelenco"/>
        <w:spacing w:after="120" w:line="360" w:lineRule="auto"/>
        <w:ind w:left="0"/>
        <w:jc w:val="both"/>
        <w:rPr>
          <w:rFonts w:ascii="Arial" w:hAnsi="Arial" w:cs="Arial"/>
        </w:rPr>
      </w:pPr>
    </w:p>
    <w:p w14:paraId="5FD05D37" w14:textId="5794F2A7" w:rsidR="005216BF" w:rsidRPr="00343EE3" w:rsidRDefault="005216BF" w:rsidP="00343EE3">
      <w:pPr>
        <w:pStyle w:val="Paragrafoelenco"/>
        <w:spacing w:after="120" w:line="360" w:lineRule="auto"/>
        <w:ind w:left="0"/>
        <w:jc w:val="right"/>
        <w:rPr>
          <w:rFonts w:ascii="Arial" w:hAnsi="Arial" w:cs="Arial"/>
        </w:rPr>
      </w:pPr>
      <w:r w:rsidRPr="00343EE3">
        <w:rPr>
          <w:rFonts w:ascii="Arial" w:hAnsi="Arial" w:cs="Arial"/>
        </w:rPr>
        <w:t>Avv. Francesca Bello</w:t>
      </w:r>
    </w:p>
    <w:sectPr w:rsidR="005216BF" w:rsidRPr="00343EE3" w:rsidSect="005C455A">
      <w:footerReference w:type="default" r:id="rId9"/>
      <w:pgSz w:w="11900" w:h="16840"/>
      <w:pgMar w:top="1276" w:right="1134" w:bottom="1134" w:left="1134" w:header="708" w:footer="28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D73A" w14:textId="77777777" w:rsidR="00C9069D" w:rsidRDefault="00C9069D">
      <w:pPr>
        <w:spacing w:after="0"/>
      </w:pPr>
      <w:r>
        <w:separator/>
      </w:r>
    </w:p>
  </w:endnote>
  <w:endnote w:type="continuationSeparator" w:id="0">
    <w:p w14:paraId="6ADFEEAA" w14:textId="77777777" w:rsidR="00C9069D" w:rsidRDefault="00C906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0E65" w14:textId="0B78164C" w:rsidR="000153A8" w:rsidRDefault="000153A8" w:rsidP="00892453">
    <w:pPr>
      <w:pStyle w:val="Pidipagina"/>
      <w:jc w:val="right"/>
    </w:pPr>
    <w:r>
      <w:rPr>
        <w:noProof/>
        <w:lang w:val="en-US"/>
      </w:rPr>
      <w:drawing>
        <wp:anchor distT="0" distB="0" distL="114300" distR="114300" simplePos="0" relativeHeight="251658240" behindDoc="1" locked="0" layoutInCell="1" allowOverlap="1" wp14:anchorId="75E43A85" wp14:editId="4E3B7495">
          <wp:simplePos x="0" y="0"/>
          <wp:positionH relativeFrom="column">
            <wp:posOffset>-720725</wp:posOffset>
          </wp:positionH>
          <wp:positionV relativeFrom="paragraph">
            <wp:posOffset>739140</wp:posOffset>
          </wp:positionV>
          <wp:extent cx="7557770" cy="1216025"/>
          <wp:effectExtent l="0" t="0" r="11430" b="317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2_2.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2160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1" locked="0" layoutInCell="1" allowOverlap="1" wp14:anchorId="477372C8" wp14:editId="6C683C53">
          <wp:simplePos x="0" y="0"/>
          <wp:positionH relativeFrom="column">
            <wp:posOffset>716280</wp:posOffset>
          </wp:positionH>
          <wp:positionV relativeFrom="paragraph">
            <wp:posOffset>8900160</wp:posOffset>
          </wp:positionV>
          <wp:extent cx="7568565" cy="1663700"/>
          <wp:effectExtent l="0" t="0" r="635" b="12700"/>
          <wp:wrapNone/>
          <wp:docPr id="3" name="Immagine 3" descr="Carta_intestata_pieri_group_b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a_intestata_pieri_group_bass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856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794C2" w14:textId="77777777" w:rsidR="00C9069D" w:rsidRDefault="00C9069D">
      <w:pPr>
        <w:spacing w:after="0"/>
      </w:pPr>
      <w:r>
        <w:separator/>
      </w:r>
    </w:p>
  </w:footnote>
  <w:footnote w:type="continuationSeparator" w:id="0">
    <w:p w14:paraId="0E22B997" w14:textId="77777777" w:rsidR="00C9069D" w:rsidRDefault="00C906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ACE7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97657"/>
    <w:multiLevelType w:val="hybridMultilevel"/>
    <w:tmpl w:val="851C087A"/>
    <w:lvl w:ilvl="0" w:tplc="6860BF82">
      <w:start w:val="1"/>
      <w:numFmt w:val="lowerRoman"/>
      <w:lvlText w:val="(%1)"/>
      <w:lvlJc w:val="left"/>
      <w:pPr>
        <w:ind w:left="1080" w:hanging="72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6A25688C"/>
    <w:multiLevelType w:val="hybridMultilevel"/>
    <w:tmpl w:val="8A1E47D4"/>
    <w:lvl w:ilvl="0" w:tplc="979A9A3E">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E0"/>
    <w:rsid w:val="000145C9"/>
    <w:rsid w:val="000153A8"/>
    <w:rsid w:val="0004503A"/>
    <w:rsid w:val="00071B42"/>
    <w:rsid w:val="000A1BC8"/>
    <w:rsid w:val="000B55FC"/>
    <w:rsid w:val="000E2258"/>
    <w:rsid w:val="001048B9"/>
    <w:rsid w:val="00144878"/>
    <w:rsid w:val="0015620A"/>
    <w:rsid w:val="001601DC"/>
    <w:rsid w:val="00195DBC"/>
    <w:rsid w:val="001A1160"/>
    <w:rsid w:val="001A375C"/>
    <w:rsid w:val="001B739A"/>
    <w:rsid w:val="001D44CC"/>
    <w:rsid w:val="001E5D1A"/>
    <w:rsid w:val="002030D5"/>
    <w:rsid w:val="0020434B"/>
    <w:rsid w:val="002363F4"/>
    <w:rsid w:val="00263C8F"/>
    <w:rsid w:val="00267C17"/>
    <w:rsid w:val="0029372C"/>
    <w:rsid w:val="002B53EE"/>
    <w:rsid w:val="002C360E"/>
    <w:rsid w:val="002E3F77"/>
    <w:rsid w:val="002F16E0"/>
    <w:rsid w:val="002F413B"/>
    <w:rsid w:val="002F4986"/>
    <w:rsid w:val="00332010"/>
    <w:rsid w:val="003328E0"/>
    <w:rsid w:val="00333ECD"/>
    <w:rsid w:val="00343EE3"/>
    <w:rsid w:val="00366E63"/>
    <w:rsid w:val="003746EF"/>
    <w:rsid w:val="00383197"/>
    <w:rsid w:val="003A4761"/>
    <w:rsid w:val="003E3204"/>
    <w:rsid w:val="003F2BBB"/>
    <w:rsid w:val="003F42D7"/>
    <w:rsid w:val="00410BC8"/>
    <w:rsid w:val="00427CC7"/>
    <w:rsid w:val="0044409E"/>
    <w:rsid w:val="00467941"/>
    <w:rsid w:val="00475079"/>
    <w:rsid w:val="004A598C"/>
    <w:rsid w:val="004C026B"/>
    <w:rsid w:val="004F2227"/>
    <w:rsid w:val="00516FB4"/>
    <w:rsid w:val="005216BF"/>
    <w:rsid w:val="0054004F"/>
    <w:rsid w:val="00555862"/>
    <w:rsid w:val="005C455A"/>
    <w:rsid w:val="005F3F9C"/>
    <w:rsid w:val="00620D67"/>
    <w:rsid w:val="006863BE"/>
    <w:rsid w:val="00691200"/>
    <w:rsid w:val="006F03B4"/>
    <w:rsid w:val="00704008"/>
    <w:rsid w:val="00747426"/>
    <w:rsid w:val="00767464"/>
    <w:rsid w:val="007D41C8"/>
    <w:rsid w:val="007E4254"/>
    <w:rsid w:val="008401DA"/>
    <w:rsid w:val="008447E1"/>
    <w:rsid w:val="00851019"/>
    <w:rsid w:val="008752E7"/>
    <w:rsid w:val="00890E20"/>
    <w:rsid w:val="00892453"/>
    <w:rsid w:val="00892803"/>
    <w:rsid w:val="008B1434"/>
    <w:rsid w:val="008B211A"/>
    <w:rsid w:val="008D22C8"/>
    <w:rsid w:val="008E3F33"/>
    <w:rsid w:val="00900DAB"/>
    <w:rsid w:val="00927BF8"/>
    <w:rsid w:val="0094621B"/>
    <w:rsid w:val="009900EC"/>
    <w:rsid w:val="00993D4B"/>
    <w:rsid w:val="009C7652"/>
    <w:rsid w:val="009D2181"/>
    <w:rsid w:val="00A03898"/>
    <w:rsid w:val="00A0626C"/>
    <w:rsid w:val="00A1331C"/>
    <w:rsid w:val="00A214B4"/>
    <w:rsid w:val="00A332BF"/>
    <w:rsid w:val="00A561F7"/>
    <w:rsid w:val="00A61EC8"/>
    <w:rsid w:val="00A94FB3"/>
    <w:rsid w:val="00AB6F60"/>
    <w:rsid w:val="00AE12A2"/>
    <w:rsid w:val="00B520D0"/>
    <w:rsid w:val="00B7241D"/>
    <w:rsid w:val="00B725CB"/>
    <w:rsid w:val="00BA0B35"/>
    <w:rsid w:val="00BB0678"/>
    <w:rsid w:val="00C1383C"/>
    <w:rsid w:val="00C440C3"/>
    <w:rsid w:val="00C57DC7"/>
    <w:rsid w:val="00C61A9E"/>
    <w:rsid w:val="00C65396"/>
    <w:rsid w:val="00C715CA"/>
    <w:rsid w:val="00C9069D"/>
    <w:rsid w:val="00CA08F5"/>
    <w:rsid w:val="00CB7C2C"/>
    <w:rsid w:val="00D67C61"/>
    <w:rsid w:val="00DA2344"/>
    <w:rsid w:val="00DB245F"/>
    <w:rsid w:val="00DC32F9"/>
    <w:rsid w:val="00DF1484"/>
    <w:rsid w:val="00E25BD6"/>
    <w:rsid w:val="00E62BEB"/>
    <w:rsid w:val="00ED345E"/>
    <w:rsid w:val="00EE6B22"/>
    <w:rsid w:val="00EF10FF"/>
    <w:rsid w:val="00EF4320"/>
    <w:rsid w:val="00EF4AB2"/>
    <w:rsid w:val="00F1172B"/>
    <w:rsid w:val="00F173A8"/>
    <w:rsid w:val="00F2437F"/>
    <w:rsid w:val="00F25FDA"/>
    <w:rsid w:val="00F45D40"/>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CE26DC"/>
  <w14:defaultImageDpi w14:val="300"/>
  <w15:docId w15:val="{9D62D3F4-F273-44B7-A8DD-15B0A2C3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70B6"/>
    <w:pPr>
      <w:spacing w:after="200"/>
    </w:pPr>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1816"/>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071816"/>
  </w:style>
  <w:style w:type="paragraph" w:styleId="Pidipagina">
    <w:name w:val="footer"/>
    <w:basedOn w:val="Normale"/>
    <w:link w:val="PidipaginaCarattere"/>
    <w:uiPriority w:val="99"/>
    <w:unhideWhenUsed/>
    <w:rsid w:val="00071816"/>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071816"/>
  </w:style>
  <w:style w:type="paragraph" w:styleId="Testofumetto">
    <w:name w:val="Balloon Text"/>
    <w:basedOn w:val="Normale"/>
    <w:link w:val="TestofumettoCarattere"/>
    <w:uiPriority w:val="99"/>
    <w:semiHidden/>
    <w:unhideWhenUsed/>
    <w:rsid w:val="002C360E"/>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C360E"/>
    <w:rPr>
      <w:rFonts w:ascii="Lucida Grande" w:hAnsi="Lucida Grande" w:cs="Lucida Grande"/>
      <w:sz w:val="18"/>
      <w:szCs w:val="18"/>
      <w:lang w:eastAsia="en-US"/>
    </w:rPr>
  </w:style>
  <w:style w:type="paragraph" w:styleId="Paragrafoelenco">
    <w:name w:val="List Paragraph"/>
    <w:basedOn w:val="Normale"/>
    <w:uiPriority w:val="34"/>
    <w:qFormat/>
    <w:rsid w:val="00DF1484"/>
    <w:pPr>
      <w:ind w:left="720"/>
      <w:contextualSpacing/>
    </w:pPr>
  </w:style>
  <w:style w:type="paragraph" w:customStyle="1" w:styleId="Default">
    <w:name w:val="Default"/>
    <w:rsid w:val="00DF1484"/>
    <w:pPr>
      <w:autoSpaceDE w:val="0"/>
      <w:autoSpaceDN w:val="0"/>
      <w:adjustRightInd w:val="0"/>
    </w:pPr>
    <w:rPr>
      <w:rFonts w:ascii="Times New Roman" w:eastAsiaTheme="minorHAnsi" w:hAnsi="Times New Roman"/>
      <w:color w:val="000000"/>
      <w:sz w:val="24"/>
      <w:szCs w:val="24"/>
      <w:lang w:eastAsia="en-US"/>
    </w:rPr>
  </w:style>
  <w:style w:type="character" w:styleId="Collegamentoipertestuale">
    <w:name w:val="Hyperlink"/>
    <w:basedOn w:val="Carpredefinitoparagrafo"/>
    <w:uiPriority w:val="99"/>
    <w:unhideWhenUsed/>
    <w:rsid w:val="002F41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974519">
      <w:bodyDiv w:val="1"/>
      <w:marLeft w:val="0"/>
      <w:marRight w:val="0"/>
      <w:marTop w:val="0"/>
      <w:marBottom w:val="0"/>
      <w:divBdr>
        <w:top w:val="none" w:sz="0" w:space="0" w:color="auto"/>
        <w:left w:val="none" w:sz="0" w:space="0" w:color="auto"/>
        <w:bottom w:val="none" w:sz="0" w:space="0" w:color="auto"/>
        <w:right w:val="none" w:sz="0" w:space="0" w:color="auto"/>
      </w:divBdr>
    </w:div>
    <w:div w:id="379129215">
      <w:bodyDiv w:val="1"/>
      <w:marLeft w:val="0"/>
      <w:marRight w:val="0"/>
      <w:marTop w:val="0"/>
      <w:marBottom w:val="0"/>
      <w:divBdr>
        <w:top w:val="none" w:sz="0" w:space="0" w:color="auto"/>
        <w:left w:val="none" w:sz="0" w:space="0" w:color="auto"/>
        <w:bottom w:val="none" w:sz="0" w:space="0" w:color="auto"/>
        <w:right w:val="none" w:sz="0" w:space="0" w:color="auto"/>
      </w:divBdr>
    </w:div>
    <w:div w:id="838664414">
      <w:bodyDiv w:val="1"/>
      <w:marLeft w:val="0"/>
      <w:marRight w:val="0"/>
      <w:marTop w:val="0"/>
      <w:marBottom w:val="0"/>
      <w:divBdr>
        <w:top w:val="none" w:sz="0" w:space="0" w:color="auto"/>
        <w:left w:val="none" w:sz="0" w:space="0" w:color="auto"/>
        <w:bottom w:val="none" w:sz="0" w:space="0" w:color="auto"/>
        <w:right w:val="none" w:sz="0" w:space="0" w:color="auto"/>
      </w:divBdr>
    </w:div>
    <w:div w:id="1917743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D14DA-50B5-4764-9586-E56FE597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8539</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studiopleiadi</Company>
  <LinksUpToDate>false</LinksUpToDate>
  <CharactersWithSpaces>10017</CharactersWithSpaces>
  <SharedDoc>false</SharedDoc>
  <HLinks>
    <vt:vector size="18" baseType="variant">
      <vt:variant>
        <vt:i4>1048676</vt:i4>
      </vt:variant>
      <vt:variant>
        <vt:i4>-1</vt:i4>
      </vt:variant>
      <vt:variant>
        <vt:i4>2051</vt:i4>
      </vt:variant>
      <vt:variant>
        <vt:i4>1</vt:i4>
      </vt:variant>
      <vt:variant>
        <vt:lpwstr>Carta_intestata_pieri_group_basso</vt:lpwstr>
      </vt:variant>
      <vt:variant>
        <vt:lpwstr/>
      </vt:variant>
      <vt:variant>
        <vt:i4>1048676</vt:i4>
      </vt:variant>
      <vt:variant>
        <vt:i4>-1</vt:i4>
      </vt:variant>
      <vt:variant>
        <vt:i4>2053</vt:i4>
      </vt:variant>
      <vt:variant>
        <vt:i4>1</vt:i4>
      </vt:variant>
      <vt:variant>
        <vt:lpwstr>Carta_intestata_pieri_group_basso</vt:lpwstr>
      </vt:variant>
      <vt:variant>
        <vt:lpwstr/>
      </vt:variant>
      <vt:variant>
        <vt:i4>65551</vt:i4>
      </vt:variant>
      <vt:variant>
        <vt:i4>-1</vt:i4>
      </vt:variant>
      <vt:variant>
        <vt:i4>2055</vt:i4>
      </vt:variant>
      <vt:variant>
        <vt:i4>1</vt:i4>
      </vt:variant>
      <vt:variant>
        <vt:lpwstr>Carta_intestata_pieri_group_alto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dc:creator>
  <cp:lastModifiedBy>Nicola.Traverso</cp:lastModifiedBy>
  <cp:revision>2</cp:revision>
  <cp:lastPrinted>2017-11-22T14:57:00Z</cp:lastPrinted>
  <dcterms:created xsi:type="dcterms:W3CDTF">2017-11-22T19:22:00Z</dcterms:created>
  <dcterms:modified xsi:type="dcterms:W3CDTF">2017-11-22T19:22:00Z</dcterms:modified>
</cp:coreProperties>
</file>