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left"/>
        <w:widowControl/>
      </w:pPr>
      <w:r>
        <w:rPr>
          <w:rFonts w:ascii="Poppins" w:hAnsi="Poppins" w:cs="Poppins" w:eastAsia="Poppins"/>
          <w:b/>
          <w:i w:val="0"/>
          <w:color w:val="003060"/>
          <w:sz w:val="26"/>
        </w:rPr>
        <w:t xml:space="preserve">Fecha   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10 de octubre de 2026</w:t>
      </w:r>
    </w:p>
    <w:p>
      <w:pPr>
        <w:spacing w:before="0" w:after="20" w:line="259" w:lineRule="auto"/>
        <w:jc w:val="left"/>
        <w:widowControl/>
      </w:pPr>
      <w:r>
        <w:rPr>
          <w:rFonts w:ascii="Poppins" w:hAnsi="Poppins" w:cs="Poppins" w:eastAsia="Poppins"/>
          <w:b/>
          <w:i w:val="0"/>
          <w:color w:val="003060"/>
          <w:sz w:val="26"/>
        </w:rPr>
        <w:t xml:space="preserve">Asunto 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Propuesta de Prestación de Servicios</w:t>
      </w:r>
    </w:p>
    <w:p>
      <w:pPr>
        <w:spacing w:before="0" w:after="20" w:line="259" w:lineRule="auto"/>
        <w:jc w:val="left"/>
        <w:widowControl/>
      </w:pPr>
      <w:r>
        <w:rPr>
          <w:rFonts w:ascii="Poppins" w:hAnsi="Poppins" w:cs="Poppins" w:eastAsia="Poppins"/>
          <w:b/>
          <w:i w:val="0"/>
          <w:color w:val="003060"/>
          <w:sz w:val="26"/>
        </w:rPr>
        <w:t xml:space="preserve">Para    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Talitacumdancecol</w:t>
      </w:r>
    </w:p>
    <w:p>
      <w:pPr>
        <w:spacing w:before="200" w:after="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8"/>
        </w:rPr>
        <w:t>PROPUESTA COMERCIAL</w:t>
      </w:r>
    </w:p>
    <w:p>
      <w:pPr>
        <w:spacing w:before="0" w:after="160" w:line="259" w:lineRule="auto"/>
        <w:jc w:val="left"/>
        <w:widowControl/>
      </w:pPr>
      <w:r>
        <w:rPr>
          <w:rFonts w:ascii="Poppins" w:hAnsi="Poppins" w:cs="Poppins" w:eastAsia="Poppins"/>
          <w:b/>
          <w:i w:val="0"/>
          <w:color w:val="003060"/>
          <w:sz w:val="26"/>
        </w:rPr>
        <w:t>SITIO WEB CORPORATIVO Y PLAN DE REDES SOCIALES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Por medio de la presente,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THE COMPANY DEV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presenta a Talitacumdancecol la propuesta para su sitio web corporativo y para el manejo mensual de sus redes sociales.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puede tomar uno de los dos frentes o los dos. El trabajo queda listo para crecer: más adelante puede pedir campañas, más piezas o funciones nuevas.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 xml:space="preserve">Sitio web corporativo.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Presenta la empresa, sus servicios y sus datos de contacto. Valor: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$800.000 COP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 xml:space="preserve">Plan de redes sociales.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Cada mes incluye ayuda de guiones, edición y subida de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8 videos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, y edición y publicación de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12 imágenes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en todas las redes. Valor: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$1.000.000 COP al mes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 xml:space="preserve">Campañas.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La consultoría y la asesoría de una campaña valen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$50.000 COP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. Realizar cada campaña vale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$120.000 COP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</w:t>
      </w:r>
    </w:p>
    <w:p>
      <w:pPr>
        <w:spacing w:before="240" w:after="8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1. Objetivo del servicio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Dejar a Talitacumdancecol con un sitio web corporativo claro y, si lo toma, con un plan mensual que publique videos e imágenes en sus redes.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también puede pedir consultoría de campañas o que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THE COMPANY DEV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realice cada campaña.</w:t>
      </w:r>
    </w:p>
    <w:p>
      <w:pPr>
        <w:spacing w:before="240" w:after="8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2. Alcance del servicio</w:t>
      </w:r>
    </w:p>
    <w:p>
      <w:pPr>
        <w:spacing w:before="16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2.1 Sitio web corporativo</w:t>
      </w:r>
    </w:p>
    <w:p>
      <w:pPr>
        <w:spacing w:before="0" w:after="8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Valor del proyecto: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$800.000 COP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 El calendario de publicación se fija el día en que Talitacumdancecol entregue la información completa.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La página presenta quién es la empresa, qué ofrece y cómo contactarla. Queda administrable y se ve bien en celular y en computador.</w:t>
      </w:r>
    </w:p>
    <w:p>
      <w:pPr>
        <w:spacing w:before="40" w:after="40" w:line="259" w:lineRule="auto"/>
        <w:jc w:val="left"/>
        <w:keepNext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El sitio incluye: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Página de inicio.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Nosotros.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Servicios.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Blog listo para publicar. Talitacumdancecol entrega los textos.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Contacto, con formulario.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Integración con WhatsApp.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Integración con redes sociales.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Google Maps.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Diseño adaptable a celular, tableta y computador.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Diseño con el logo, los colores y la información de Talitacumdancecol.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Una ronda de ajustes después de la primera revisión.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Panel administrativo.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Configuración del sitio, del hosting y del certificado SSL.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Capacitación de dos horas al publicar.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Optimización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SEO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básica: títulos, descripciones y estructura de las páginas.</w:t>
      </w:r>
    </w:p>
    <w:p>
      <w:pPr>
        <w:spacing w:before="16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2.2 Plan mensual de redes sociales</w:t>
      </w:r>
    </w:p>
    <w:p>
      <w:pPr>
        <w:spacing w:before="0" w:after="8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Valor: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$1.000.000 COP al mes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 Ese valor cubre las dos partes juntas: los 8 videos y las 12 imágenes. No se cobra cada parte por separado.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Las piezas se publican en las redes que Talitacumdancecol tenga activas y a las que dé acceso, por ejemplo Instagram, Facebook, TikTok o las que indique. El material de base lo entrega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al empezar el mes: videos ya grabados y fotos.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THE COMPANY DEV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no hace la grabación ni la sesión de fotos.</w:t>
      </w:r>
    </w:p>
    <w:p>
      <w:pPr>
        <w:spacing w:before="8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Videos: 8 en el mes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Ayuda con el guion de cada video: estructura, mensaje y texto.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Edición de cada video que Talitacumdancecol entregue grabado: corte, orden, texto en pantalla y música si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la entrega.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Miniatura o portada del video, hecha con el material entregado.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Subida de cada video a las redes activas.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Texto corto de la publicación de cada video.</w:t>
      </w:r>
    </w:p>
    <w:p>
      <w:pPr>
        <w:spacing w:before="12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Imágenes: 12 en el mes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Edición de cada imagen: ajuste, formato para redes y texto sobre la pieza cuando haga falta.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Texto del post de cada imagen.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Subida de cada post a todas las redes activas de Talitacumdancecol.</w:t>
      </w:r>
    </w:p>
    <w:p>
      <w:pPr>
        <w:spacing w:before="8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Si en un mes Talitacumdancecol necesita más de 8 videos o más de 12 imágenes, ese adicional se pide y se cotiza. Lo que ya está publicado se mantiene.</w:t>
      </w:r>
    </w:p>
    <w:p>
      <w:pPr>
        <w:spacing w:before="16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2.3 Campañas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La pauta, es decir el dinero que se paga a Instagram, Facebook u otra plataforma, lo asume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.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THE COMPANY DEV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cobra el trabajo de asesoría o de realización, no el presupuesto de la pauta.</w:t>
      </w:r>
    </w:p>
    <w:p>
      <w:pPr>
        <w:spacing w:before="8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Consultoría y asesoría: $50.000 COP por campaña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Revisión del objetivo de la campaña.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Definición del mensaje y del público.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Recomendación de la red, del formato y del llamado a la acción.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Orientación de cómo pautar, sin configurar todavía la campaña.</w:t>
      </w:r>
    </w:p>
    <w:p>
      <w:pPr>
        <w:spacing w:before="12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Realización de cada campaña: $120.000 COP</w:t>
      </w:r>
    </w:p>
    <w:p>
      <w:pPr>
        <w:spacing w:before="0" w:after="40" w:line="259" w:lineRule="auto"/>
        <w:jc w:val="both"/>
        <w:keepNext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Este valor es por campaña y ya incluye la consultoría y la asesoría. Cubre: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Revisión del objetivo, del mensaje y del público.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Ajuste de la pieza para pautar, con el material que entregue Talitacumdancecol.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Configuración de la campaña en la plataforma que indique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Segmentación y publicación.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Revisión básica de resultados al cierre de esa campaña.</w:t>
      </w:r>
    </w:p>
    <w:p>
      <w:pPr>
        <w:spacing w:before="240" w:after="8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3. Información que debe entregar Talitacumdancecol</w:t>
      </w:r>
    </w:p>
    <w:p>
      <w:pPr>
        <w:spacing w:before="0" w:after="160" w:line="259" w:lineRule="auto"/>
        <w:jc w:val="both"/>
        <w:keepNext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Para el sitio web, al iniciar: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Hosting y dominio. Si todavía no los tiene,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THE COMPANY DEV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asesora la compra. El costo lo asume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Manual de marca y logotipo en alta resolución.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Fotografías.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Historia de la empresa, servicios, teléfonos, correos y redes.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Textos que quiera publicar.</w:t>
      </w:r>
    </w:p>
    <w:p>
      <w:pPr>
        <w:spacing w:before="80" w:after="40" w:line="259" w:lineRule="auto"/>
        <w:jc w:val="both"/>
        <w:keepNext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Para el plan de redes, al empezar cada mes: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Accesos de administrador a las redes activas.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Los videos ya grabados, hasta 8 en el mes.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Las fotos de base, hasta 12 en el mes.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Datos de la marca: qué se quiere decir y a quién.</w:t>
      </w:r>
    </w:p>
    <w:p>
      <w:pPr>
        <w:spacing w:before="80" w:after="40" w:line="259" w:lineRule="auto"/>
        <w:jc w:val="both"/>
        <w:keepNext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Para una campaña: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Objetivo, fechas y presupuesto de pauta.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Acceso a la cuenta publicitaria.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Pieza o material de la campaña.</w:t>
      </w:r>
    </w:p>
    <w:p>
      <w:pPr>
        <w:spacing w:before="240" w:after="8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4. Cronograma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El sitio web arranca cuando la propuesta está aceptada, está el primer pago y Talitacumdancecol entregó la información completa. Ese día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THE COMPANY DEV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confirma la fecha de publicación.</w:t>
      </w:r>
    </w:p>
    <w:tbl>
      <w:tblPr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6200"/>
        <w:gridCol w:w="1900"/>
      </w:tblGrid>
      <w:tr>
        <w:trPr>
          <w:cantSplit/>
        </w:trPr>
        <w:tc>
          <w:tcPr>
            <w:tcW w:type="dxa" w:w="9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B3325"/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rPr>
                <w:rFonts w:ascii="Poppins" w:hAnsi="Poppins" w:cs="Poppins" w:eastAsia="Poppins"/>
                <w:b/>
                <w:i w:val="0"/>
                <w:color w:val="FFFFFF"/>
                <w:sz w:val="22"/>
              </w:rPr>
              <w:t>ETAPA</w:t>
            </w:r>
          </w:p>
        </w:tc>
        <w:tc>
          <w:tcPr>
            <w:tcW w:type="dxa" w:w="62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B3325"/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rPr>
                <w:rFonts w:ascii="Poppins" w:hAnsi="Poppins" w:cs="Poppins" w:eastAsia="Poppins"/>
                <w:b/>
                <w:i w:val="0"/>
                <w:color w:val="FFFFFF"/>
                <w:sz w:val="22"/>
              </w:rPr>
              <w:t>ACTIVIDAD</w:t>
            </w:r>
          </w:p>
        </w:tc>
        <w:tc>
          <w:tcPr>
            <w:tcW w:type="dxa" w:w="19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B3325"/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rPr>
                <w:rFonts w:ascii="Poppins" w:hAnsi="Poppins" w:cs="Poppins" w:eastAsia="Poppins"/>
                <w:b/>
                <w:i w:val="0"/>
                <w:color w:val="FFFFFF"/>
                <w:sz w:val="22"/>
              </w:rPr>
              <w:t>MOMENTO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1</w:t>
            </w:r>
          </w:p>
        </w:tc>
        <w:tc>
          <w:tcPr>
            <w:tcW w:type="dxa" w:w="62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left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Reunión inicial, recepción de la información y definición de la estructura del sitio.</w:t>
            </w:r>
          </w:p>
        </w:tc>
        <w:tc>
          <w:tcPr>
            <w:tcW w:type="dxa" w:w="19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Al iniciar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7FBF8"/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2</w:t>
            </w:r>
          </w:p>
        </w:tc>
        <w:tc>
          <w:tcPr>
            <w:tcW w:type="dxa" w:w="62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7FBF8"/>
            <w:vAlign w:val="center"/>
          </w:tcPr>
          <w:p>
            <w:pPr>
              <w:spacing w:before="0" w:after="0" w:line="259" w:lineRule="auto"/>
              <w:jc w:val="left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Diseño y desarrollo del sitio con el contenido entregado.</w:t>
            </w:r>
          </w:p>
        </w:tc>
        <w:tc>
          <w:tcPr>
            <w:tcW w:type="dxa" w:w="19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7FBF8"/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Después de recibir la información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center"/>
              <w:widowControl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3</w:t>
            </w:r>
          </w:p>
        </w:tc>
        <w:tc>
          <w:tcPr>
            <w:tcW w:type="dxa" w:w="62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left"/>
              <w:widowControl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Revisión, ronda de ajustes, capacitación y publicación.</w:t>
            </w:r>
          </w:p>
        </w:tc>
        <w:tc>
          <w:tcPr>
            <w:tcW w:type="dxa" w:w="19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center"/>
              <w:widowControl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Al cierre</w:t>
            </w:r>
          </w:p>
        </w:tc>
      </w:tr>
    </w:tbl>
    <w:p>
      <w:pPr>
        <w:spacing w:before="0" w:after="40" w:line="259" w:lineRule="auto"/>
        <w:jc w:val="left"/>
        <w:widowControl/>
      </w:pPr>
    </w:p>
    <w:p>
      <w:pPr>
        <w:spacing w:before="8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El plan de redes corre por mes. Si los videos y las fotos llegan en los primeros días del mes, las 8 publicaciones de video y las 12 de imagen salen dentro de ese mes.</w:t>
      </w:r>
    </w:p>
    <w:p>
      <w:pPr>
        <w:spacing w:before="240" w:after="8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5. Términos y condiciones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entrega los accesos de hosting, dominio y redes que hagan falta para publicar.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El sitio web inicia cuando la propuesta está aceptada y se ha hecho el primer pago.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El plan de redes inicia con el pago del mes y con el material de ese mes.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Si Talitacumdancecol entrega la información o el material después, las fechas se corren esos días.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El hosting, el dominio, la pauta y los demás servicios externos los paga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Si después de aprobar el diseño pide un cambio de estructura,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THE COMPANY DEV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lo revisa y lo cotiza.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puede empezar por el sitio, por las redes o por los dos. Más adelante puede pedir campañas, más piezas o funciones nuevas, y ese trabajo se cotiza cuando lo solicite.</w:t>
      </w:r>
    </w:p>
    <w:p>
      <w:pPr>
        <w:spacing w:before="240" w:after="8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6. Valor del servicio</w:t>
      </w:r>
    </w:p>
    <w:p>
      <w:pPr>
        <w:spacing w:before="16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Sitio web corporativo</w:t>
      </w:r>
    </w:p>
    <w:p>
      <w:pPr>
        <w:spacing w:before="40" w:after="8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Valor: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$800.000 COP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Forma de pago: dos pagos iguales. El primero, de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$400.000 COP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, se hace al iniciar. El segundo, de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$400.000 COP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, se hace contra la entrega y la aprobación de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</w:t>
      </w:r>
    </w:p>
    <w:p>
      <w:pPr>
        <w:spacing w:before="16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Plan de redes sociales</w:t>
      </w:r>
    </w:p>
    <w:p>
      <w:pPr>
        <w:spacing w:before="40" w:after="8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Valor: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$1.000.000 COP al mes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Se paga al comenzar cada mes. Cubre los 8 videos, con ayuda de guion, edición y subida, y las 12 imágenes, con edición y subida del post a todas las redes activas.</w:t>
      </w:r>
    </w:p>
    <w:p>
      <w:pPr>
        <w:spacing w:before="160" w:after="4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Campañas</w:t>
      </w:r>
    </w:p>
    <w:p>
      <w:pPr>
        <w:spacing w:before="40" w:after="4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Consultoría y asesoría: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$50.000 COP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por campaña.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Realización de la campaña: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$120.000 COP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cada una. Este precio ya incluye la consultoría y la asesoría de esa campaña. La pauta no va dentro de este valor.</w:t>
      </w:r>
    </w:p>
    <w:p>
      <w:pPr>
        <w:spacing w:before="8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Medios de pago: Nequi, Daviplata o transferencia bancaria.</w:t>
      </w:r>
    </w:p>
    <w:p>
      <w:pPr>
        <w:spacing w:before="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El hosting y el dominio los paga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. Si Talitacumdancecol no los tiene,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THE COMPANY DEV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 indica cómo adquirirlos. La renovación anual también queda a cargo de </w:t>
      </w:r>
      <w:r>
        <w:rPr>
          <w:rFonts w:ascii="Poppins" w:hAnsi="Poppins" w:cs="Poppins" w:eastAsia="Poppins"/>
          <w:b/>
          <w:i w:val="0"/>
          <w:color w:val="1B3325"/>
          <w:sz w:val="26"/>
        </w:rPr>
        <w:t>EL CLIENTE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.</w:t>
      </w:r>
    </w:p>
    <w:p>
      <w:pPr>
        <w:spacing w:before="240" w:after="8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7. Entregables</w:t>
      </w:r>
    </w:p>
    <w:p>
      <w:pPr>
        <w:spacing w:before="40" w:after="40" w:line="259" w:lineRule="auto"/>
        <w:jc w:val="left"/>
        <w:keepNext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Del sitio web: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Sitio publicado.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Accesos al panel administrativo.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Capacitación de dos horas al terminar.</w:t>
      </w:r>
    </w:p>
    <w:p>
      <w:pPr>
        <w:spacing w:before="80" w:after="40" w:line="259" w:lineRule="auto"/>
        <w:jc w:val="left"/>
        <w:keepNext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Del mes de redes: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8 videos editados y publicados, con el guion trabajado.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12 imágenes editadas y publicadas en las redes activas.</w:t>
      </w:r>
    </w:p>
    <w:p>
      <w:pPr>
        <w:spacing w:before="80" w:after="40" w:line="259" w:lineRule="auto"/>
        <w:jc w:val="left"/>
        <w:keepNext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De cada campaña realizada: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Campaña configurada y publicada.</w:t>
      </w:r>
    </w:p>
    <w:p>
      <w:pPr>
        <w:spacing w:before="20" w:after="40" w:line="259" w:lineRule="auto"/>
        <w:ind w:left="425" w:hanging="227"/>
        <w:jc w:val="left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 xml:space="preserve">•  </w:t>
      </w:r>
      <w:r>
        <w:rPr>
          <w:rFonts w:ascii="Poppins" w:hAnsi="Poppins" w:cs="Poppins" w:eastAsia="Poppins"/>
          <w:b w:val="0"/>
          <w:i w:val="0"/>
          <w:color w:val="1B3325"/>
          <w:sz w:val="26"/>
        </w:rPr>
        <w:t>Revisión básica de resultados al cierre.</w:t>
      </w:r>
    </w:p>
    <w:p>
      <w:pPr>
        <w:spacing w:before="160" w:after="160" w:line="259" w:lineRule="auto"/>
        <w:jc w:val="both"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Quedo atento para revisar con Talitacumdancecol por dónde empezar y dejar la fecha de inicio.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360" w:after="0" w:line="259" w:lineRule="auto"/>
              <w:jc w:val="left"/>
              <w:widowControl/>
            </w:pPr>
            <w:r/>
            <w:r>
              <w:rPr>
                <w:rFonts w:ascii="Poppins" w:hAnsi="Poppins" w:cs="Poppins" w:eastAsia="Poppins"/>
                <w:b/>
                <w:i w:val="0"/>
                <w:color w:val="1B3325"/>
                <w:sz w:val="26"/>
              </w:rPr>
              <w:t>THE COMPANY DEV</w:t>
            </w:r>
          </w:p>
          <w:p>
            <w:pPr>
              <w:spacing w:before="0" w:after="0" w:line="259" w:lineRule="auto"/>
              <w:jc w:val="left"/>
              <w:widowControl/>
            </w:pPr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6"/>
              </w:rPr>
              <w:t>Jhon Javier Angulo Hilarion</w:t>
            </w:r>
          </w:p>
          <w:p>
            <w:pPr>
              <w:spacing w:before="0" w:after="0" w:line="259" w:lineRule="auto"/>
              <w:jc w:val="left"/>
              <w:widowControl/>
            </w:pPr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6"/>
              </w:rPr>
              <w:t>C.C. 1024574523</w:t>
            </w:r>
          </w:p>
        </w:tc>
        <w:tc>
          <w:tcPr>
            <w:tcW w:type="dxa" w:w="48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360" w:after="0" w:line="259" w:lineRule="auto"/>
              <w:jc w:val="left"/>
              <w:widowControl/>
            </w:pPr>
            <w:r/>
            <w:r>
              <w:rPr>
                <w:rFonts w:ascii="Poppins" w:hAnsi="Poppins" w:cs="Poppins" w:eastAsia="Poppins"/>
                <w:b/>
                <w:i w:val="0"/>
                <w:color w:val="1B3325"/>
                <w:sz w:val="26"/>
              </w:rPr>
              <w:t>EL CLIENTE</w:t>
            </w:r>
          </w:p>
          <w:p>
            <w:pPr>
              <w:spacing w:before="0" w:after="0" w:line="259" w:lineRule="auto"/>
              <w:jc w:val="left"/>
              <w:widowControl/>
            </w:pPr>
            <w:r>
              <w:rPr>
                <w:rFonts w:ascii="Poppins" w:hAnsi="Poppins" w:cs="Poppins" w:eastAsia="Poppins"/>
                <w:b/>
                <w:i w:val="0"/>
                <w:color w:val="1B3325"/>
                <w:sz w:val="26"/>
              </w:rPr>
              <w:t>Talitacumdancecol</w:t>
            </w:r>
          </w:p>
        </w:tc>
      </w:tr>
    </w:tbl>
    <w:p>
      <w:pPr>
        <w:spacing w:before="1560" w:after="0" w:line="259" w:lineRule="auto"/>
        <w:jc w:val="left"/>
        <w:widowControl/>
      </w:pPr>
    </w:p>
    <w:p>
      <w:pPr>
        <w:spacing w:before="240" w:after="80" w:line="259" w:lineRule="auto"/>
        <w:jc w:val="left"/>
        <w:keepNext/>
        <w:widowControl/>
      </w:pPr>
      <w:r>
        <w:rPr>
          <w:rFonts w:ascii="Poppins" w:hAnsi="Poppins" w:cs="Poppins" w:eastAsia="Poppins"/>
          <w:b/>
          <w:i w:val="0"/>
          <w:color w:val="1B3325"/>
          <w:sz w:val="26"/>
        </w:rPr>
        <w:t>8. Resumen de inversión</w:t>
      </w:r>
    </w:p>
    <w:p>
      <w:pPr>
        <w:spacing w:before="0" w:after="80" w:line="259" w:lineRule="auto"/>
        <w:jc w:val="both"/>
        <w:keepNext/>
        <w:widowControl/>
      </w:pPr>
      <w:r>
        <w:rPr>
          <w:rFonts w:ascii="Poppins" w:hAnsi="Poppins" w:cs="Poppins" w:eastAsia="Poppins"/>
          <w:b w:val="0"/>
          <w:i w:val="0"/>
          <w:color w:val="1B3325"/>
          <w:sz w:val="26"/>
        </w:rPr>
        <w:t>Estos son los valores de la propuesta, reunidos al cierre: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</w:tblPr>
      <w:tblGrid>
        <w:gridCol w:w="5600"/>
        <w:gridCol w:w="4048"/>
      </w:tblGrid>
      <w:tr>
        <w:trPr>
          <w:cantSplit/>
        </w:trPr>
        <w:tc>
          <w:tcPr>
            <w:tcW w:type="dxa" w:w="56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B3325"/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rPr>
                <w:rFonts w:ascii="Poppins" w:hAnsi="Poppins" w:cs="Poppins" w:eastAsia="Poppins"/>
                <w:b/>
                <w:i w:val="0"/>
                <w:color w:val="FFFFFF"/>
                <w:sz w:val="24"/>
              </w:rPr>
              <w:t>CONCEPTO</w:t>
            </w:r>
          </w:p>
        </w:tc>
        <w:tc>
          <w:tcPr>
            <w:tcW w:type="dxa" w:w="4048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B3325"/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rPr>
                <w:rFonts w:ascii="Poppins" w:hAnsi="Poppins" w:cs="Poppins" w:eastAsia="Poppins"/>
                <w:b/>
                <w:i w:val="0"/>
                <w:color w:val="FFFFFF"/>
                <w:sz w:val="24"/>
              </w:rPr>
              <w:t>VALOR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left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4"/>
              </w:rPr>
              <w:t>Sitio web corporativo</w:t>
            </w:r>
          </w:p>
        </w:tc>
        <w:tc>
          <w:tcPr>
            <w:tcW w:type="dxa" w:w="4048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00"/>
            <w:vAlign w:val="center"/>
          </w:tcPr>
          <w:p>
            <w:pPr>
              <w:spacing w:before="0" w:after="0" w:line="259" w:lineRule="auto"/>
              <w:jc w:val="right"/>
              <w:widowControl/>
              <w:keepNext/>
            </w:pPr>
            <w:r>
              <w:rPr>
                <w:highlight w:val="yellow"/>
              </w:rPr>
            </w:r>
            <w:r>
              <w:rPr>
                <w:rFonts w:ascii="Poppins" w:hAnsi="Poppins" w:cs="Poppins" w:eastAsia="Poppins"/>
                <w:b/>
                <w:i w:val="0"/>
                <w:color w:val="1B3325"/>
                <w:sz w:val="24"/>
                <w:highlight w:val="yellow"/>
              </w:rPr>
              <w:t>$800.000 COP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left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4"/>
              </w:rPr>
              <w:t>Plan de redes sociales</w:t>
            </w:r>
          </w:p>
        </w:tc>
        <w:tc>
          <w:tcPr>
            <w:tcW w:type="dxa" w:w="4048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00"/>
            <w:vAlign w:val="center"/>
          </w:tcPr>
          <w:p>
            <w:pPr>
              <w:spacing w:before="0" w:after="0" w:line="259" w:lineRule="auto"/>
              <w:jc w:val="right"/>
              <w:widowControl/>
              <w:keepNext/>
            </w:pPr>
            <w:r>
              <w:rPr>
                <w:highlight w:val="yellow"/>
              </w:rPr>
            </w:r>
            <w:r>
              <w:rPr>
                <w:rFonts w:ascii="Poppins" w:hAnsi="Poppins" w:cs="Poppins" w:eastAsia="Poppins"/>
                <w:b/>
                <w:i w:val="0"/>
                <w:color w:val="1B3325"/>
                <w:sz w:val="24"/>
                <w:highlight w:val="yellow"/>
              </w:rPr>
              <w:t>$1.000.000 COP al mes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left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4"/>
              </w:rPr>
              <w:t>Consultoría y asesoría de campaña</w:t>
            </w:r>
          </w:p>
        </w:tc>
        <w:tc>
          <w:tcPr>
            <w:tcW w:type="dxa" w:w="4048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00"/>
            <w:vAlign w:val="center"/>
          </w:tcPr>
          <w:p>
            <w:pPr>
              <w:spacing w:before="0" w:after="0" w:line="259" w:lineRule="auto"/>
              <w:jc w:val="right"/>
              <w:widowControl/>
              <w:keepNext/>
            </w:pPr>
            <w:r>
              <w:rPr>
                <w:highlight w:val="yellow"/>
              </w:rPr>
            </w:r>
            <w:r>
              <w:rPr>
                <w:rFonts w:ascii="Poppins" w:hAnsi="Poppins" w:cs="Poppins" w:eastAsia="Poppins"/>
                <w:b/>
                <w:i w:val="0"/>
                <w:color w:val="1B3325"/>
                <w:sz w:val="24"/>
                <w:highlight w:val="yellow"/>
              </w:rPr>
              <w:t>$50.000 COP por campaña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FF"/>
            <w:vAlign w:val="center"/>
          </w:tcPr>
          <w:p>
            <w:pPr>
              <w:spacing w:before="0" w:after="0" w:line="259" w:lineRule="auto"/>
              <w:jc w:val="left"/>
              <w:widowControl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4"/>
              </w:rPr>
              <w:t>Realización de cada campaña</w:t>
            </w:r>
          </w:p>
        </w:tc>
        <w:tc>
          <w:tcPr>
            <w:tcW w:type="dxa" w:w="4048"/>
            <w:tcBorders>
              <w:top w:val="single" w:sz="4" w:space="0" w:color="1B3325"/>
              <w:left w:val="single" w:sz="4" w:space="0" w:color="1B3325"/>
              <w:bottom w:val="single" w:sz="4" w:space="0" w:color="1B3325"/>
              <w:right w:val="single" w:sz="4" w:space="0" w:color="1B3325"/>
            </w:tcBorders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FFF00"/>
            <w:vAlign w:val="center"/>
          </w:tcPr>
          <w:p>
            <w:pPr>
              <w:spacing w:before="0" w:after="0" w:line="259" w:lineRule="auto"/>
              <w:jc w:val="right"/>
              <w:widowControl/>
            </w:pPr>
            <w:r>
              <w:rPr>
                <w:highlight w:val="yellow"/>
              </w:rPr>
            </w:r>
            <w:r>
              <w:rPr>
                <w:rFonts w:ascii="Poppins" w:hAnsi="Poppins" w:cs="Poppins" w:eastAsia="Poppins"/>
                <w:b/>
                <w:i w:val="0"/>
                <w:color w:val="1B3325"/>
                <w:sz w:val="24"/>
                <w:highlight w:val="yellow"/>
              </w:rPr>
              <w:t>$120.000 COP cada una</w:t>
            </w:r>
          </w:p>
        </w:tc>
      </w:tr>
    </w:tbl>
    <w:p>
      <w:pPr>
        <w:spacing w:before="40" w:after="40" w:line="259" w:lineRule="auto"/>
        <w:jc w:val="left"/>
        <w:widowControl/>
      </w:pPr>
    </w:p>
    <w:p>
      <w:pPr>
        <w:spacing w:before="160" w:after="0" w:line="259" w:lineRule="auto"/>
        <w:jc w:val="left"/>
        <w:widowControl/>
      </w:pPr>
    </w:p>
    <w:tbl>
      <w:tblPr>
        <w:tblW w:type="dxa" w:w="3820"/>
        <w:jc w:val="right"/>
        <w:tblLayout w:type="fixed"/>
        <w:tblLook w:firstColumn="1" w:firstRow="1" w:lastColumn="0" w:lastRow="0" w:noHBand="0" w:noVBand="1" w:val="04A0"/>
      </w:tblPr>
      <w:tblGrid>
        <w:gridCol w:w="420"/>
        <w:gridCol w:w="3400"/>
      </w:tblGrid>
      <w:tr>
        <w:trPr>
          <w:cantSplit/>
        </w:trPr>
        <w:tc>
          <w:tcPr>
            <w:tcW w:type="dxa" w:w="420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telefon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0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spacing w:before="0" w:after="0" w:line="259" w:lineRule="auto"/>
              <w:jc w:val="left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3107862438 - 3118620020</w:t>
            </w:r>
          </w:p>
        </w:tc>
      </w:tr>
      <w:tr>
        <w:trPr>
          <w:cantSplit/>
        </w:trPr>
        <w:tc>
          <w:tcPr>
            <w:tcW w:type="dxa" w:w="420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spacing w:before="0" w:after="0" w:line="259" w:lineRule="auto"/>
              <w:jc w:val="center"/>
              <w:widowControl/>
              <w:keepNext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corre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0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spacing w:before="0" w:after="0" w:line="259" w:lineRule="auto"/>
              <w:jc w:val="left"/>
              <w:widowControl/>
              <w:keepNext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info@thecompanydev.com</w:t>
            </w:r>
          </w:p>
        </w:tc>
      </w:tr>
      <w:tr>
        <w:trPr>
          <w:cantSplit/>
        </w:trPr>
        <w:tc>
          <w:tcPr>
            <w:tcW w:type="dxa" w:w="420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spacing w:before="0" w:after="0" w:line="259" w:lineRule="auto"/>
              <w:jc w:val="center"/>
              <w:widowControl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we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0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spacing w:before="0" w:after="0" w:line="259" w:lineRule="auto"/>
              <w:jc w:val="left"/>
              <w:widowControl/>
            </w:pPr>
            <w:r/>
            <w:r>
              <w:rPr>
                <w:rFonts w:ascii="Poppins" w:hAnsi="Poppins" w:cs="Poppins" w:eastAsia="Poppins"/>
                <w:b w:val="0"/>
                <w:i w:val="0"/>
                <w:color w:val="1B3325"/>
                <w:sz w:val="22"/>
              </w:rPr>
              <w:t>www.thecompanydev.com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2477" w:right="1224" w:bottom="1555" w:left="1368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59" w:lineRule="auto"/>
      <w:jc w:val="left"/>
      <w:widowControl/>
    </w:pPr>
    <w:r>
      <w:rPr>
        <w:rFonts w:ascii="Poppins" w:hAnsi="Poppins" w:cs="Poppins" w:eastAsia="Poppins"/>
        <w:b w:val="0"/>
        <w:i w:val="0"/>
        <w:sz w:val="2"/>
      </w:rPr>
      <w:drawing>
        <wp:anchor xmlns:a="http://schemas.openxmlformats.org/drawingml/2006/main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membrete"/>
          <wp:cNvGraphicFramePr>
            <a:graphicFrameLocks noChangeAspect="1"/>
          </wp:cNvGraphicFramePr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membrete_fondo_carta_sin_contact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 w:cs="Poppins" w:eastAsia="Poppins"/>
      <w:color w:val="1B3325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comercial Talitacumdancecol - The Company Dev</dc:title>
  <dc:subject>Sitio web corporativo, plan de redes y campañas</dc:subject>
  <dc:creator>The Company Dev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