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  <w:jc w:val="left"/>
        <w:widowControl/>
      </w:pPr>
      <w:r>
        <w:rPr>
          <w:rFonts w:ascii="Poppins" w:hAnsi="Poppins" w:cs="Poppins" w:eastAsia="Poppins"/>
          <w:b/>
          <w:i w:val="0"/>
          <w:color w:val="003060"/>
          <w:sz w:val="26"/>
        </w:rPr>
        <w:t xml:space="preserve">Fecha   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10 de octubre de 2026</w:t>
      </w:r>
    </w:p>
    <w:p>
      <w:pPr>
        <w:spacing w:before="0" w:after="20" w:line="259" w:lineRule="auto"/>
        <w:jc w:val="left"/>
        <w:widowControl/>
      </w:pPr>
      <w:r>
        <w:rPr>
          <w:rFonts w:ascii="Poppins" w:hAnsi="Poppins" w:cs="Poppins" w:eastAsia="Poppins"/>
          <w:b/>
          <w:i w:val="0"/>
          <w:color w:val="003060"/>
          <w:sz w:val="26"/>
        </w:rPr>
        <w:t xml:space="preserve">Asunto 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Propuesta de Prestación de Servicios</w:t>
      </w:r>
    </w:p>
    <w:p>
      <w:pPr>
        <w:spacing w:before="0" w:after="20" w:line="259" w:lineRule="auto"/>
        <w:jc w:val="left"/>
        <w:widowControl/>
      </w:pPr>
      <w:r>
        <w:rPr>
          <w:rFonts w:ascii="Poppins" w:hAnsi="Poppins" w:cs="Poppins" w:eastAsia="Poppins"/>
          <w:b/>
          <w:i w:val="0"/>
          <w:color w:val="003060"/>
          <w:sz w:val="26"/>
        </w:rPr>
        <w:t xml:space="preserve">Para    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Talitacumdancecol</w:t>
      </w:r>
    </w:p>
    <w:p>
      <w:pPr>
        <w:spacing w:before="200" w:after="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8"/>
        </w:rPr>
        <w:t>PROPUESTA COMERCIAL</w:t>
      </w:r>
    </w:p>
    <w:p>
      <w:pPr>
        <w:spacing w:before="0" w:after="160" w:line="259" w:lineRule="auto"/>
        <w:jc w:val="left"/>
        <w:widowControl/>
      </w:pPr>
      <w:r>
        <w:rPr>
          <w:rFonts w:ascii="Poppins" w:hAnsi="Poppins" w:cs="Poppins" w:eastAsia="Poppins"/>
          <w:b/>
          <w:i w:val="0"/>
          <w:color w:val="003060"/>
          <w:sz w:val="26"/>
        </w:rPr>
        <w:t>SITIO WEB CORPORATIVO Y PLAN DE REDES SOCIALES</w:t>
      </w:r>
    </w:p>
    <w:p>
      <w:pPr>
        <w:spacing w:before="0" w:after="16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Por medio de la presente,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THE COMPANY DEV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presenta a Talitacumdancecol la propuesta para su sitio web corporativo y para el manejo mensual de sus redes sociales.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EL CLIENTE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puede tomar uno de los dos frentes o los dos. El trabajo queda listo para crecer: más adelante puede pedir campañas, más piezas o funciones nuevas.</w:t>
      </w:r>
    </w:p>
    <w:p>
      <w:pPr>
        <w:spacing w:before="0" w:after="160" w:line="259" w:lineRule="auto"/>
        <w:jc w:val="both"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 xml:space="preserve">Sitio web corporativo.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Presenta la empresa, sus servicios y sus datos de contacto. Valor: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$800.000 COP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.</w:t>
      </w:r>
    </w:p>
    <w:p>
      <w:pPr>
        <w:spacing w:before="0" w:after="160" w:line="259" w:lineRule="auto"/>
        <w:jc w:val="both"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 xml:space="preserve">Plan de redes sociales.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Cada mes incluye ayuda de guiones, edición y subida de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8 videos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, y edición y publicación de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12 imágenes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en todas las redes. Valor: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$1.000.000 COP al mes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.</w:t>
      </w:r>
    </w:p>
    <w:p>
      <w:pPr>
        <w:spacing w:before="0" w:after="160" w:line="259" w:lineRule="auto"/>
        <w:jc w:val="both"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 xml:space="preserve">Campañas.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La consultoría y la asesoría de una campaña valen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$50.000 COP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. Realizar cada campaña vale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$120.000 COP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.</w:t>
      </w:r>
    </w:p>
    <w:p>
      <w:pPr>
        <w:spacing w:before="240" w:after="8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1. Objetivo del servicio</w:t>
      </w:r>
    </w:p>
    <w:p>
      <w:pPr>
        <w:spacing w:before="0" w:after="16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Dejar a Talitacumdancecol con un sitio web corporativo claro y, si lo toma, con un plan mensual que publique videos e imágenes en sus redes.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EL CLIENTE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también puede pedir consultoría de campañas o que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THE COMPANY DEV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realice cada campaña.</w:t>
      </w:r>
    </w:p>
    <w:p>
      <w:pPr>
        <w:spacing w:before="240" w:after="8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2. Alcance del servicio</w:t>
      </w:r>
    </w:p>
    <w:p>
      <w:pPr>
        <w:spacing w:before="160" w:after="4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2.1 Sitio web corporativo</w:t>
      </w:r>
    </w:p>
    <w:p>
      <w:pPr>
        <w:spacing w:before="0" w:after="8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Valor del proyecto: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$800.000 COP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. El calendario de publicación se fija el día en que Talitacumdancecol entregue la información completa.</w:t>
      </w:r>
    </w:p>
    <w:p>
      <w:pPr>
        <w:spacing w:before="0" w:after="16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>La página presenta quién es la empresa, qué ofrece y cómo contactarla. Queda administrable y se ve bien en celular y en computador.</w:t>
      </w:r>
    </w:p>
    <w:p>
      <w:pPr>
        <w:spacing w:before="40" w:after="40" w:line="259" w:lineRule="auto"/>
        <w:jc w:val="left"/>
        <w:keepNext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>El sitio incluye: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Página de inicio.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Nosotros.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Servicios.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Blog listo para publicar. Talitacumdancecol entrega los textos.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Contacto, con formulario.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Integración con WhatsApp.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Integración con redes sociales.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Google Maps.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Diseño adaptable a celular, tableta y computador.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Diseño con el logo, los colores y la información de Talitacumdancecol.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Una ronda de ajustes después de la primera revisión.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Panel administrativo.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Configuración del sitio, del hosting y del certificado SSL.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Capacitación de dos horas al publicar.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Optimización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SEO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básica: títulos, descripciones y estructura de las páginas.</w:t>
      </w:r>
    </w:p>
    <w:p>
      <w:pPr>
        <w:spacing w:before="160" w:after="4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2.2 Plan mensual de redes sociales</w:t>
      </w:r>
    </w:p>
    <w:p>
      <w:pPr>
        <w:spacing w:before="0" w:after="8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Valor: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$1.000.000 COP al mes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. Ese valor cubre las dos partes juntas: los 8 videos y las 12 imágenes. No se cobra cada parte por separado.</w:t>
      </w:r>
    </w:p>
    <w:p>
      <w:pPr>
        <w:spacing w:before="0" w:after="16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Las piezas se publican en las redes que Talitacumdancecol tenga activas y a las que dé acceso, por ejemplo Instagram, Facebook, TikTok o las que indique. El material de base lo entrega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EL CLIENTE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al empezar el mes: videos ya grabados y fotos.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THE COMPANY DEV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no hace la grabación ni la sesión de fotos.</w:t>
      </w:r>
    </w:p>
    <w:p>
      <w:pPr>
        <w:spacing w:before="80" w:after="4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Videos: 8 en el mes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Ayuda con el guion de cada video: estructura, mensaje y texto.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Edición de cada video que Talitacumdancecol entregue grabado: corte, orden, texto en pantalla y música si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EL CLIENTE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la entrega.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Miniatura o portada del video, hecha con el material entregado.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Subida de cada video a las redes activas.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Texto corto de la publicación de cada video.</w:t>
      </w:r>
    </w:p>
    <w:p>
      <w:pPr>
        <w:spacing w:before="120" w:after="4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Imágenes: 12 en el mes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Edición de cada imagen: ajuste, formato para redes y texto sobre la pieza cuando haga falta.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Texto del post de cada imagen.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Subida de cada post a todas las redes activas de Talitacumdancecol.</w:t>
      </w:r>
    </w:p>
    <w:p>
      <w:pPr>
        <w:spacing w:before="80" w:after="16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>Si en un mes Talitacumdancecol necesita más de 8 videos o más de 12 imágenes, ese adicional se pide y se cotiza. Lo que ya está publicado se mantiene.</w:t>
      </w:r>
    </w:p>
    <w:p>
      <w:pPr>
        <w:spacing w:before="160" w:after="4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2.3 Campañas</w:t>
      </w:r>
    </w:p>
    <w:p>
      <w:pPr>
        <w:spacing w:before="0" w:after="16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La pauta, es decir el dinero que se paga a Instagram, Facebook u otra plataforma, lo asume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EL CLIENTE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.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THE COMPANY DEV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cobra el trabajo de asesoría o de realización, no el presupuesto de la pauta.</w:t>
      </w:r>
    </w:p>
    <w:p>
      <w:pPr>
        <w:spacing w:before="80" w:after="4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Consultoría y asesoría: $50.000 COP por campaña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Revisión del objetivo de la campaña.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Definición del mensaje y del público.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Recomendación de la red, del formato y del llamado a la acción.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Orientación de cómo pautar, sin configurar todavía la campaña.</w:t>
      </w:r>
    </w:p>
    <w:p>
      <w:pPr>
        <w:spacing w:before="120" w:after="4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Realización de cada campaña: $120.000 COP</w:t>
      </w:r>
    </w:p>
    <w:p>
      <w:pPr>
        <w:spacing w:before="0" w:after="40" w:line="259" w:lineRule="auto"/>
        <w:jc w:val="both"/>
        <w:keepNext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>Este valor es por campaña y ya incluye la consultoría y la asesoría. Cubre: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Revisión del objetivo, del mensaje y del público.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Ajuste de la pieza para pautar, con el material que entregue Talitacumdancecol.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Configuración de la campaña en la plataforma que indique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EL CLIENTE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Segmentación y publicación.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Revisión básica de resultados al cierre de esa campaña.</w:t>
      </w:r>
    </w:p>
    <w:p>
      <w:pPr>
        <w:spacing w:before="240" w:after="8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3. Información que debe entregar Talitacumdancecol</w:t>
      </w:r>
    </w:p>
    <w:p>
      <w:pPr>
        <w:spacing w:before="0" w:after="160" w:line="259" w:lineRule="auto"/>
        <w:jc w:val="both"/>
        <w:keepNext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>Para el sitio web, al iniciar: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Hosting y dominio. Si todavía no los tiene,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THE COMPANY DEV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asesora la compra. El costo lo asume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EL CLIENTE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Manual de marca y logotipo en alta resolución.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Fotografías.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Historia de la empresa, servicios, teléfonos, correos y redes.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Textos que quiera publicar.</w:t>
      </w:r>
    </w:p>
    <w:p>
      <w:pPr>
        <w:spacing w:before="80" w:after="40" w:line="259" w:lineRule="auto"/>
        <w:jc w:val="both"/>
        <w:keepNext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>Para el plan de redes, al empezar cada mes: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Accesos de administrador a las redes activas.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Los videos ya grabados, hasta 8 en el mes.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Las fotos de base, hasta 12 en el mes.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Datos de la marca: qué se quiere decir y a quién.</w:t>
      </w:r>
    </w:p>
    <w:p>
      <w:pPr>
        <w:spacing w:before="80" w:after="40" w:line="259" w:lineRule="auto"/>
        <w:jc w:val="both"/>
        <w:keepNext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>Para una campaña: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Objetivo, fechas y presupuesto de pauta.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Acceso a la cuenta publicitaria.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Pieza o material de la campaña.</w:t>
      </w:r>
    </w:p>
    <w:p>
      <w:pPr>
        <w:spacing w:before="240" w:after="8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4. Cronograma</w:t>
      </w:r>
    </w:p>
    <w:p>
      <w:pPr>
        <w:spacing w:before="0" w:after="16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El sitio web arranca cuando la propuesta está aceptada, está el primer pago y Talitacumdancecol entregó la información completa. Ese día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THE COMPANY DEV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confirma la fecha de publicación.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6200"/>
        <w:gridCol w:w="1900"/>
      </w:tblGrid>
      <w:tr>
        <w:trPr>
          <w:cantSplit/>
        </w:trPr>
        <w:tc>
          <w:tcPr>
            <w:tcW w:type="dxa" w:w="900"/>
            <w:tcBorders>
              <w:top w:val="single" w:sz="4" w:space="0" w:color="1B3325"/>
              <w:left w:val="single" w:sz="4" w:space="0" w:color="1B3325"/>
              <w:bottom w:val="single" w:sz="4" w:space="0" w:color="1B3325"/>
              <w:right w:val="single" w:sz="4" w:space="0" w:color="1B3325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B3325"/>
            <w:vAlign w:val="center"/>
          </w:tcPr>
          <w:p>
            <w:pPr>
              <w:spacing w:before="0" w:after="0" w:line="259" w:lineRule="auto"/>
              <w:jc w:val="center"/>
              <w:widowControl/>
              <w:keepNext/>
            </w:pPr>
            <w:r/>
            <w:r>
              <w:rPr>
                <w:rFonts w:ascii="Poppins" w:hAnsi="Poppins" w:cs="Poppins" w:eastAsia="Poppins"/>
                <w:b/>
                <w:i w:val="0"/>
                <w:color w:val="FFFFFF"/>
                <w:sz w:val="22"/>
              </w:rPr>
              <w:t>ETAPA</w:t>
            </w:r>
          </w:p>
        </w:tc>
        <w:tc>
          <w:tcPr>
            <w:tcW w:type="dxa" w:w="6200"/>
            <w:tcBorders>
              <w:top w:val="single" w:sz="4" w:space="0" w:color="1B3325"/>
              <w:left w:val="single" w:sz="4" w:space="0" w:color="1B3325"/>
              <w:bottom w:val="single" w:sz="4" w:space="0" w:color="1B3325"/>
              <w:right w:val="single" w:sz="4" w:space="0" w:color="1B3325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B3325"/>
            <w:vAlign w:val="center"/>
          </w:tcPr>
          <w:p>
            <w:pPr>
              <w:spacing w:before="0" w:after="0" w:line="259" w:lineRule="auto"/>
              <w:jc w:val="center"/>
              <w:widowControl/>
              <w:keepNext/>
            </w:pPr>
            <w:r/>
            <w:r>
              <w:rPr>
                <w:rFonts w:ascii="Poppins" w:hAnsi="Poppins" w:cs="Poppins" w:eastAsia="Poppins"/>
                <w:b/>
                <w:i w:val="0"/>
                <w:color w:val="FFFFFF"/>
                <w:sz w:val="22"/>
              </w:rPr>
              <w:t>ACTIVIDAD</w:t>
            </w:r>
          </w:p>
        </w:tc>
        <w:tc>
          <w:tcPr>
            <w:tcW w:type="dxa" w:w="1900"/>
            <w:tcBorders>
              <w:top w:val="single" w:sz="4" w:space="0" w:color="1B3325"/>
              <w:left w:val="single" w:sz="4" w:space="0" w:color="1B3325"/>
              <w:bottom w:val="single" w:sz="4" w:space="0" w:color="1B3325"/>
              <w:right w:val="single" w:sz="4" w:space="0" w:color="1B3325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B3325"/>
            <w:vAlign w:val="center"/>
          </w:tcPr>
          <w:p>
            <w:pPr>
              <w:spacing w:before="0" w:after="0" w:line="259" w:lineRule="auto"/>
              <w:jc w:val="center"/>
              <w:widowControl/>
              <w:keepNext/>
            </w:pPr>
            <w:r/>
            <w:r>
              <w:rPr>
                <w:rFonts w:ascii="Poppins" w:hAnsi="Poppins" w:cs="Poppins" w:eastAsia="Poppins"/>
                <w:b/>
                <w:i w:val="0"/>
                <w:color w:val="FFFFFF"/>
                <w:sz w:val="22"/>
              </w:rPr>
              <w:t>MOMENTO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space="0" w:color="1B3325"/>
              <w:left w:val="single" w:sz="4" w:space="0" w:color="1B3325"/>
              <w:bottom w:val="single" w:sz="4" w:space="0" w:color="1B3325"/>
              <w:right w:val="single" w:sz="4" w:space="0" w:color="1B3325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FFFFF"/>
            <w:vAlign w:val="center"/>
          </w:tcPr>
          <w:p>
            <w:pPr>
              <w:spacing w:before="0" w:after="0" w:line="259" w:lineRule="auto"/>
              <w:jc w:val="center"/>
              <w:widowControl/>
              <w:keepNext/>
            </w:pPr>
            <w:r/>
            <w:r>
              <w:rPr>
                <w:rFonts w:ascii="Poppins" w:hAnsi="Poppins" w:cs="Poppins" w:eastAsia="Poppins"/>
                <w:b w:val="0"/>
                <w:i w:val="0"/>
                <w:color w:val="1B3325"/>
                <w:sz w:val="22"/>
              </w:rPr>
              <w:t>1</w:t>
            </w:r>
          </w:p>
        </w:tc>
        <w:tc>
          <w:tcPr>
            <w:tcW w:type="dxa" w:w="6200"/>
            <w:tcBorders>
              <w:top w:val="single" w:sz="4" w:space="0" w:color="1B3325"/>
              <w:left w:val="single" w:sz="4" w:space="0" w:color="1B3325"/>
              <w:bottom w:val="single" w:sz="4" w:space="0" w:color="1B3325"/>
              <w:right w:val="single" w:sz="4" w:space="0" w:color="1B3325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FFFFF"/>
            <w:vAlign w:val="center"/>
          </w:tcPr>
          <w:p>
            <w:pPr>
              <w:spacing w:before="0" w:after="0" w:line="259" w:lineRule="auto"/>
              <w:jc w:val="left"/>
              <w:widowControl/>
              <w:keepNext/>
            </w:pPr>
            <w:r/>
            <w:r>
              <w:rPr>
                <w:rFonts w:ascii="Poppins" w:hAnsi="Poppins" w:cs="Poppins" w:eastAsia="Poppins"/>
                <w:b w:val="0"/>
                <w:i w:val="0"/>
                <w:color w:val="1B3325"/>
                <w:sz w:val="22"/>
              </w:rPr>
              <w:t>Reunión inicial, recepción de la información y definición de la estructura del sitio.</w:t>
            </w:r>
          </w:p>
        </w:tc>
        <w:tc>
          <w:tcPr>
            <w:tcW w:type="dxa" w:w="1900"/>
            <w:tcBorders>
              <w:top w:val="single" w:sz="4" w:space="0" w:color="1B3325"/>
              <w:left w:val="single" w:sz="4" w:space="0" w:color="1B3325"/>
              <w:bottom w:val="single" w:sz="4" w:space="0" w:color="1B3325"/>
              <w:right w:val="single" w:sz="4" w:space="0" w:color="1B3325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FFFFF"/>
            <w:vAlign w:val="center"/>
          </w:tcPr>
          <w:p>
            <w:pPr>
              <w:spacing w:before="0" w:after="0" w:line="259" w:lineRule="auto"/>
              <w:jc w:val="center"/>
              <w:widowControl/>
              <w:keepNext/>
            </w:pPr>
            <w:r/>
            <w:r>
              <w:rPr>
                <w:rFonts w:ascii="Poppins" w:hAnsi="Poppins" w:cs="Poppins" w:eastAsia="Poppins"/>
                <w:b w:val="0"/>
                <w:i w:val="0"/>
                <w:color w:val="1B3325"/>
                <w:sz w:val="22"/>
              </w:rPr>
              <w:t>Al iniciar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space="0" w:color="1B3325"/>
              <w:left w:val="single" w:sz="4" w:space="0" w:color="1B3325"/>
              <w:bottom w:val="single" w:sz="4" w:space="0" w:color="1B3325"/>
              <w:right w:val="single" w:sz="4" w:space="0" w:color="1B3325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BF8"/>
            <w:vAlign w:val="center"/>
          </w:tcPr>
          <w:p>
            <w:pPr>
              <w:spacing w:before="0" w:after="0" w:line="259" w:lineRule="auto"/>
              <w:jc w:val="center"/>
              <w:widowControl/>
              <w:keepNext/>
            </w:pPr>
            <w:r/>
            <w:r>
              <w:rPr>
                <w:rFonts w:ascii="Poppins" w:hAnsi="Poppins" w:cs="Poppins" w:eastAsia="Poppins"/>
                <w:b w:val="0"/>
                <w:i w:val="0"/>
                <w:color w:val="1B3325"/>
                <w:sz w:val="22"/>
              </w:rPr>
              <w:t>2</w:t>
            </w:r>
          </w:p>
        </w:tc>
        <w:tc>
          <w:tcPr>
            <w:tcW w:type="dxa" w:w="6200"/>
            <w:tcBorders>
              <w:top w:val="single" w:sz="4" w:space="0" w:color="1B3325"/>
              <w:left w:val="single" w:sz="4" w:space="0" w:color="1B3325"/>
              <w:bottom w:val="single" w:sz="4" w:space="0" w:color="1B3325"/>
              <w:right w:val="single" w:sz="4" w:space="0" w:color="1B3325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BF8"/>
            <w:vAlign w:val="center"/>
          </w:tcPr>
          <w:p>
            <w:pPr>
              <w:spacing w:before="0" w:after="0" w:line="259" w:lineRule="auto"/>
              <w:jc w:val="left"/>
              <w:widowControl/>
              <w:keepNext/>
            </w:pPr>
            <w:r/>
            <w:r>
              <w:rPr>
                <w:rFonts w:ascii="Poppins" w:hAnsi="Poppins" w:cs="Poppins" w:eastAsia="Poppins"/>
                <w:b w:val="0"/>
                <w:i w:val="0"/>
                <w:color w:val="1B3325"/>
                <w:sz w:val="22"/>
              </w:rPr>
              <w:t>Diseño y desarrollo del sitio con el contenido entregado.</w:t>
            </w:r>
          </w:p>
        </w:tc>
        <w:tc>
          <w:tcPr>
            <w:tcW w:type="dxa" w:w="1900"/>
            <w:tcBorders>
              <w:top w:val="single" w:sz="4" w:space="0" w:color="1B3325"/>
              <w:left w:val="single" w:sz="4" w:space="0" w:color="1B3325"/>
              <w:bottom w:val="single" w:sz="4" w:space="0" w:color="1B3325"/>
              <w:right w:val="single" w:sz="4" w:space="0" w:color="1B3325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BF8"/>
            <w:vAlign w:val="center"/>
          </w:tcPr>
          <w:p>
            <w:pPr>
              <w:spacing w:before="0" w:after="0" w:line="259" w:lineRule="auto"/>
              <w:jc w:val="center"/>
              <w:widowControl/>
              <w:keepNext/>
            </w:pPr>
            <w:r/>
            <w:r>
              <w:rPr>
                <w:rFonts w:ascii="Poppins" w:hAnsi="Poppins" w:cs="Poppins" w:eastAsia="Poppins"/>
                <w:b w:val="0"/>
                <w:i w:val="0"/>
                <w:color w:val="1B3325"/>
                <w:sz w:val="22"/>
              </w:rPr>
              <w:t>Después de recibir la información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space="0" w:color="1B3325"/>
              <w:left w:val="single" w:sz="4" w:space="0" w:color="1B3325"/>
              <w:bottom w:val="single" w:sz="4" w:space="0" w:color="1B3325"/>
              <w:right w:val="single" w:sz="4" w:space="0" w:color="1B3325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FFFFF"/>
            <w:vAlign w:val="center"/>
          </w:tcPr>
          <w:p>
            <w:pPr>
              <w:spacing w:before="0" w:after="0" w:line="259" w:lineRule="auto"/>
              <w:jc w:val="center"/>
              <w:widowControl/>
            </w:pPr>
            <w:r/>
            <w:r>
              <w:rPr>
                <w:rFonts w:ascii="Poppins" w:hAnsi="Poppins" w:cs="Poppins" w:eastAsia="Poppins"/>
                <w:b w:val="0"/>
                <w:i w:val="0"/>
                <w:color w:val="1B3325"/>
                <w:sz w:val="22"/>
              </w:rPr>
              <w:t>3</w:t>
            </w:r>
          </w:p>
        </w:tc>
        <w:tc>
          <w:tcPr>
            <w:tcW w:type="dxa" w:w="6200"/>
            <w:tcBorders>
              <w:top w:val="single" w:sz="4" w:space="0" w:color="1B3325"/>
              <w:left w:val="single" w:sz="4" w:space="0" w:color="1B3325"/>
              <w:bottom w:val="single" w:sz="4" w:space="0" w:color="1B3325"/>
              <w:right w:val="single" w:sz="4" w:space="0" w:color="1B3325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FFFFF"/>
            <w:vAlign w:val="center"/>
          </w:tcPr>
          <w:p>
            <w:pPr>
              <w:spacing w:before="0" w:after="0" w:line="259" w:lineRule="auto"/>
              <w:jc w:val="left"/>
              <w:widowControl/>
            </w:pPr>
            <w:r/>
            <w:r>
              <w:rPr>
                <w:rFonts w:ascii="Poppins" w:hAnsi="Poppins" w:cs="Poppins" w:eastAsia="Poppins"/>
                <w:b w:val="0"/>
                <w:i w:val="0"/>
                <w:color w:val="1B3325"/>
                <w:sz w:val="22"/>
              </w:rPr>
              <w:t>Revisión, ronda de ajustes, capacitación y publicación.</w:t>
            </w:r>
          </w:p>
        </w:tc>
        <w:tc>
          <w:tcPr>
            <w:tcW w:type="dxa" w:w="1900"/>
            <w:tcBorders>
              <w:top w:val="single" w:sz="4" w:space="0" w:color="1B3325"/>
              <w:left w:val="single" w:sz="4" w:space="0" w:color="1B3325"/>
              <w:bottom w:val="single" w:sz="4" w:space="0" w:color="1B3325"/>
              <w:right w:val="single" w:sz="4" w:space="0" w:color="1B3325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FFFFF"/>
            <w:vAlign w:val="center"/>
          </w:tcPr>
          <w:p>
            <w:pPr>
              <w:spacing w:before="0" w:after="0" w:line="259" w:lineRule="auto"/>
              <w:jc w:val="center"/>
              <w:widowControl/>
            </w:pPr>
            <w:r/>
            <w:r>
              <w:rPr>
                <w:rFonts w:ascii="Poppins" w:hAnsi="Poppins" w:cs="Poppins" w:eastAsia="Poppins"/>
                <w:b w:val="0"/>
                <w:i w:val="0"/>
                <w:color w:val="1B3325"/>
                <w:sz w:val="22"/>
              </w:rPr>
              <w:t>Al cierre</w:t>
            </w:r>
          </w:p>
        </w:tc>
      </w:tr>
    </w:tbl>
    <w:p>
      <w:pPr>
        <w:spacing w:before="0" w:after="40" w:line="259" w:lineRule="auto"/>
        <w:jc w:val="left"/>
        <w:widowControl/>
      </w:pPr>
    </w:p>
    <w:p>
      <w:pPr>
        <w:spacing w:before="80" w:after="16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>El plan de redes corre por mes. Si los videos y las fotos llegan en los primeros días del mes, las 8 publicaciones de video y las 12 de imagen salen dentro de ese mes.</w:t>
      </w:r>
    </w:p>
    <w:p>
      <w:pPr>
        <w:spacing w:before="240" w:after="8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5. Términos y condiciones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EL CLIENTE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entrega los accesos de hosting, dominio y redes que hagan falta para publicar.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El sitio web inicia cuando la propuesta está aceptada y se ha hecho el primer pago.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El plan de redes inicia con el pago del mes y con el material de ese mes.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Si Talitacumdancecol entrega la información o el material después, las fechas se corren esos días.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El hosting, el dominio, la pauta y los demás servicios externos los paga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EL CLIENTE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Si después de aprobar el diseño pide un cambio de estructura,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THE COMPANY DEV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lo revisa y lo cotiza.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EL CLIENTE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puede empezar por el sitio, por las redes o por los dos. Más adelante puede pedir campañas, más piezas o funciones nuevas, y ese trabajo se cotiza cuando lo solicite.</w:t>
      </w:r>
    </w:p>
    <w:p>
      <w:pPr>
        <w:spacing w:before="240" w:after="8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6. Valor del servicio</w:t>
      </w:r>
    </w:p>
    <w:p>
      <w:pPr>
        <w:spacing w:before="160" w:after="4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Sitio web corporativo</w:t>
      </w:r>
    </w:p>
    <w:p>
      <w:pPr>
        <w:spacing w:before="40" w:after="8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Valor: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$800.000 COP</w:t>
      </w:r>
    </w:p>
    <w:p>
      <w:pPr>
        <w:spacing w:before="0" w:after="16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Forma de pago: dos pagos iguales. El primero, de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$400.000 COP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, se hace al iniciar. El segundo, de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$400.000 COP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, se hace contra la entrega y la aprobación de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EL CLIENTE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.</w:t>
      </w:r>
    </w:p>
    <w:p>
      <w:pPr>
        <w:spacing w:before="160" w:after="4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Plan de redes sociales</w:t>
      </w:r>
    </w:p>
    <w:p>
      <w:pPr>
        <w:spacing w:before="40" w:after="8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Valor: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$1.000.000 COP al mes</w:t>
      </w:r>
    </w:p>
    <w:p>
      <w:pPr>
        <w:spacing w:before="0" w:after="16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>Se paga al comenzar cada mes. Cubre los 8 videos, con ayuda de guion, edición y subida, y las 12 imágenes, con edición y subida del post a todas las redes activas.</w:t>
      </w:r>
    </w:p>
    <w:p>
      <w:pPr>
        <w:spacing w:before="160" w:after="4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Campañas</w:t>
      </w:r>
    </w:p>
    <w:p>
      <w:pPr>
        <w:spacing w:before="40" w:after="4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Consultoría y asesoría: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$50.000 COP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por campaña.</w:t>
      </w:r>
    </w:p>
    <w:p>
      <w:pPr>
        <w:spacing w:before="0" w:after="16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Realización de la campaña: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$120.000 COP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cada una. Este precio ya incluye la consultoría y la asesoría de esa campaña. La pauta no va dentro de este valor.</w:t>
      </w:r>
    </w:p>
    <w:p>
      <w:pPr>
        <w:spacing w:before="80" w:after="16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>Medios de pago: Nequi, Daviplata o transferencia bancaria.</w:t>
      </w:r>
    </w:p>
    <w:p>
      <w:pPr>
        <w:spacing w:before="0" w:after="16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El hosting y el dominio los paga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EL CLIENTE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. Si Talitacumdancecol no los tiene,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THE COMPANY DEV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indica cómo adquirirlos. La renovación anual también queda a cargo de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EL CLIENTE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.</w:t>
      </w:r>
    </w:p>
    <w:p>
      <w:pPr>
        <w:spacing w:before="0" w:after="0" w:line="259" w:lineRule="auto"/>
        <w:jc w:val="left"/>
        <w:widowControl/>
      </w:pPr>
      <w:r>
        <w:rPr>
          <w:rFonts w:ascii="Poppins" w:hAnsi="Poppins" w:cs="Poppins" w:eastAsia="Poppins"/>
          <w:b w:val="0"/>
          <w:i w:val="0"/>
          <w:sz w:val="2"/>
        </w:rPr>
        <w:br w:type="page"/>
      </w:r>
    </w:p>
    <w:p>
      <w:pPr>
        <w:spacing w:before="240" w:after="8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7. Entregables</w:t>
      </w:r>
    </w:p>
    <w:p>
      <w:pPr>
        <w:spacing w:before="40" w:after="40" w:line="259" w:lineRule="auto"/>
        <w:jc w:val="left"/>
        <w:keepNext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>Del sitio web: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Sitio publicado.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Accesos al panel administrativo.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Capacitación de dos horas al terminar.</w:t>
      </w:r>
    </w:p>
    <w:p>
      <w:pPr>
        <w:spacing w:before="80" w:after="40" w:line="259" w:lineRule="auto"/>
        <w:jc w:val="left"/>
        <w:keepNext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>Del mes de redes: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8 videos editados y publicados, con el guion trabajado.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12 imágenes editadas y publicadas en las redes activas.</w:t>
      </w:r>
    </w:p>
    <w:p>
      <w:pPr>
        <w:spacing w:before="80" w:after="40" w:line="259" w:lineRule="auto"/>
        <w:jc w:val="left"/>
        <w:keepNext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>De cada campaña realizada: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Campaña configurada y publicada.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Revisión básica de resultados al cierre.</w:t>
      </w:r>
    </w:p>
    <w:p>
      <w:pPr>
        <w:spacing w:before="160" w:after="16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>Quedo atento para revisar con Talitacumdancecol por dónde empezar y dejar la fecha de inicio.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40" w:after="0" w:line="259" w:lineRule="auto"/>
              <w:jc w:val="left"/>
              <w:widowControl/>
            </w:pPr>
            <w:r/>
            <w:r>
              <w:rPr>
                <w:rFonts w:ascii="Poppins" w:hAnsi="Poppins" w:cs="Poppins" w:eastAsia="Poppins"/>
                <w:b/>
                <w:i w:val="0"/>
                <w:color w:val="1B3325"/>
                <w:sz w:val="26"/>
              </w:rPr>
              <w:t>THE COMPANY DEV</w:t>
            </w:r>
          </w:p>
          <w:p>
            <w:pPr>
              <w:spacing w:before="0" w:after="0" w:line="259" w:lineRule="auto"/>
              <w:jc w:val="left"/>
              <w:widowControl/>
            </w:pPr>
            <w:r>
              <w:rPr>
                <w:rFonts w:ascii="Poppins" w:hAnsi="Poppins" w:cs="Poppins" w:eastAsia="Poppins"/>
                <w:b w:val="0"/>
                <w:i w:val="0"/>
                <w:color w:val="1B3325"/>
                <w:sz w:val="26"/>
              </w:rPr>
              <w:t>Jhon Javier Angulo Hilarion</w:t>
            </w:r>
          </w:p>
          <w:p>
            <w:pPr>
              <w:spacing w:before="0" w:after="0" w:line="259" w:lineRule="auto"/>
              <w:jc w:val="left"/>
              <w:widowControl/>
            </w:pPr>
            <w:r>
              <w:rPr>
                <w:rFonts w:ascii="Poppins" w:hAnsi="Poppins" w:cs="Poppins" w:eastAsia="Poppins"/>
                <w:b w:val="0"/>
                <w:i w:val="0"/>
                <w:color w:val="1B3325"/>
                <w:sz w:val="26"/>
              </w:rPr>
              <w:t>C.C. 1024574523</w:t>
            </w:r>
          </w:p>
        </w:tc>
        <w:tc>
          <w:tcPr>
            <w:tcW w:type="dxa" w:w="48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40" w:after="0" w:line="259" w:lineRule="auto"/>
              <w:jc w:val="left"/>
              <w:widowControl/>
            </w:pPr>
            <w:r/>
            <w:r>
              <w:rPr>
                <w:rFonts w:ascii="Poppins" w:hAnsi="Poppins" w:cs="Poppins" w:eastAsia="Poppins"/>
                <w:b/>
                <w:i w:val="0"/>
                <w:color w:val="1B3325"/>
                <w:sz w:val="26"/>
              </w:rPr>
              <w:t>EL CLIENTE</w:t>
            </w:r>
          </w:p>
          <w:p>
            <w:pPr>
              <w:spacing w:before="0" w:after="0" w:line="259" w:lineRule="auto"/>
              <w:jc w:val="left"/>
              <w:widowControl/>
            </w:pPr>
            <w:r>
              <w:rPr>
                <w:rFonts w:ascii="Poppins" w:hAnsi="Poppins" w:cs="Poppins" w:eastAsia="Poppins"/>
                <w:b/>
                <w:i w:val="0"/>
                <w:color w:val="1B3325"/>
                <w:sz w:val="26"/>
              </w:rPr>
              <w:t>Talitacumdancecol</w:t>
            </w:r>
          </w:p>
        </w:tc>
      </w:tr>
    </w:tbl>
    <w:p>
      <w:pPr>
        <w:spacing w:before="1800" w:after="0" w:line="259" w:lineRule="auto"/>
        <w:jc w:val="left"/>
        <w:widowControl/>
      </w:pPr>
    </w:p>
    <w:tbl>
      <w:tblPr>
        <w:tblW w:type="dxa" w:w="3820"/>
        <w:jc w:val="right"/>
        <w:tblLayout w:type="fixed"/>
        <w:tblLook w:firstColumn="1" w:firstRow="1" w:lastColumn="0" w:lastRow="0" w:noHBand="0" w:noVBand="1" w:val="04A0"/>
      </w:tblPr>
      <w:tblGrid>
        <w:gridCol w:w="420"/>
        <w:gridCol w:w="3400"/>
      </w:tblGrid>
      <w:tr>
        <w:trPr>
          <w:cantSplit/>
        </w:trPr>
        <w:tc>
          <w:tcPr>
            <w:tcW w:type="dxa" w:w="420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spacing w:before="0" w:after="0" w:line="259" w:lineRule="auto"/>
              <w:jc w:val="center"/>
              <w:widowControl/>
              <w:keepNext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telefon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spacing w:before="0" w:after="0" w:line="259" w:lineRule="auto"/>
              <w:jc w:val="left"/>
              <w:widowControl/>
              <w:keepNext/>
            </w:pPr>
            <w:r/>
            <w:r>
              <w:rPr>
                <w:rFonts w:ascii="Poppins" w:hAnsi="Poppins" w:cs="Poppins" w:eastAsia="Poppins"/>
                <w:b w:val="0"/>
                <w:i w:val="0"/>
                <w:color w:val="1B3325"/>
                <w:sz w:val="22"/>
              </w:rPr>
              <w:t>3107862438 - 3118620020</w:t>
            </w:r>
          </w:p>
        </w:tc>
      </w:tr>
      <w:tr>
        <w:trPr>
          <w:cantSplit/>
        </w:trPr>
        <w:tc>
          <w:tcPr>
            <w:tcW w:type="dxa" w:w="420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spacing w:before="0" w:after="0" w:line="259" w:lineRule="auto"/>
              <w:jc w:val="center"/>
              <w:widowControl/>
              <w:keepNext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corre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spacing w:before="0" w:after="0" w:line="259" w:lineRule="auto"/>
              <w:jc w:val="left"/>
              <w:widowControl/>
              <w:keepNext/>
            </w:pPr>
            <w:r/>
            <w:r>
              <w:rPr>
                <w:rFonts w:ascii="Poppins" w:hAnsi="Poppins" w:cs="Poppins" w:eastAsia="Poppins"/>
                <w:b w:val="0"/>
                <w:i w:val="0"/>
                <w:color w:val="1B3325"/>
                <w:sz w:val="22"/>
              </w:rPr>
              <w:t>info@thecompanydev.com</w:t>
            </w:r>
          </w:p>
        </w:tc>
      </w:tr>
      <w:tr>
        <w:trPr>
          <w:cantSplit/>
        </w:trPr>
        <w:tc>
          <w:tcPr>
            <w:tcW w:type="dxa" w:w="420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spacing w:before="0" w:after="0" w:line="259" w:lineRule="auto"/>
              <w:jc w:val="center"/>
              <w:widowControl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we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spacing w:before="0" w:after="0" w:line="259" w:lineRule="auto"/>
              <w:jc w:val="left"/>
              <w:widowControl/>
            </w:pPr>
            <w:r/>
            <w:r>
              <w:rPr>
                <w:rFonts w:ascii="Poppins" w:hAnsi="Poppins" w:cs="Poppins" w:eastAsia="Poppins"/>
                <w:b w:val="0"/>
                <w:i w:val="0"/>
                <w:color w:val="1B3325"/>
                <w:sz w:val="22"/>
              </w:rPr>
              <w:t>www.thecompanydev.com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2477" w:right="1224" w:bottom="1555" w:left="1368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59" w:lineRule="auto"/>
      <w:jc w:val="left"/>
      <w:widowControl/>
    </w:pPr>
    <w:r>
      <w:rPr>
        <w:rFonts w:ascii="Poppins" w:hAnsi="Poppins" w:cs="Poppins" w:eastAsia="Poppins"/>
        <w:b w:val="0"/>
        <w:i w:val="0"/>
        <w:sz w:val="2"/>
      </w:rP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membrete"/>
          <wp:cNvGraphicFramePr>
            <a:graphicFrameLocks noChangeAspect="1"/>
          </wp:cNvGraphicFramePr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membrete_fondo_carta_sin_contact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 w:cs="Poppins" w:eastAsia="Poppins"/>
      <w:color w:val="1B3325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comercial Talitacumdancecol - The Company Dev</dc:title>
  <dc:subject>Sitio web corporativo, plan de redes y campañas</dc:subject>
  <dc:creator>The Company Dev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