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D9B7C" w14:textId="77777777" w:rsidR="004845BC" w:rsidRDefault="004845BC">
      <w:pPr>
        <w:spacing w:after="480"/>
      </w:pPr>
    </w:p>
    <w:p w14:paraId="631D9B7D" w14:textId="77777777" w:rsidR="004845BC" w:rsidRDefault="00000000">
      <w:pPr>
        <w:spacing w:after="80"/>
        <w:jc w:val="center"/>
      </w:pPr>
      <w:r>
        <w:rPr>
          <w:b/>
          <w:bCs/>
          <w:caps/>
          <w:color w:val="0D1B2A"/>
          <w:sz w:val="20"/>
          <w:szCs w:val="20"/>
        </w:rPr>
        <w:t>GRUPO CIBEST</w:t>
      </w:r>
    </w:p>
    <w:p w14:paraId="631D9B7E" w14:textId="77777777" w:rsidR="004845BC" w:rsidRDefault="00000000">
      <w:pPr>
        <w:spacing w:after="480"/>
        <w:jc w:val="center"/>
      </w:pPr>
      <w:r>
        <w:rPr>
          <w:caps/>
          <w:color w:val="1B4D6E"/>
          <w:sz w:val="18"/>
          <w:szCs w:val="18"/>
        </w:rPr>
        <w:t>DIRECCIÓN DE ESTRATEGIA CORPORATIVA</w:t>
      </w:r>
    </w:p>
    <w:p w14:paraId="631D9B7F" w14:textId="77777777" w:rsidR="004845BC" w:rsidRDefault="00000000">
      <w:pPr>
        <w:spacing w:after="80"/>
        <w:jc w:val="center"/>
      </w:pPr>
      <w:r>
        <w:rPr>
          <w:b/>
          <w:bCs/>
          <w:color w:val="0D1B2A"/>
          <w:sz w:val="44"/>
          <w:szCs w:val="44"/>
        </w:rPr>
        <w:t>Marco Metodológico para la Selección</w:t>
      </w:r>
    </w:p>
    <w:p w14:paraId="631D9B80" w14:textId="04E0332C" w:rsidR="004845BC" w:rsidRDefault="00000000">
      <w:pPr>
        <w:spacing w:after="160"/>
        <w:jc w:val="center"/>
      </w:pPr>
      <w:r>
        <w:rPr>
          <w:b/>
          <w:bCs/>
          <w:color w:val="0D1B2A"/>
          <w:sz w:val="44"/>
          <w:szCs w:val="44"/>
        </w:rPr>
        <w:t>Internacional de Mercados</w:t>
      </w:r>
    </w:p>
    <w:p w14:paraId="631D9B81" w14:textId="4B399EFF" w:rsidR="004845BC" w:rsidRDefault="00000000">
      <w:pPr>
        <w:spacing w:after="40"/>
        <w:jc w:val="center"/>
      </w:pPr>
      <w:r>
        <w:rPr>
          <w:i/>
          <w:iCs/>
          <w:color w:val="1B4D6E"/>
          <w:sz w:val="28"/>
          <w:szCs w:val="28"/>
        </w:rPr>
        <w:t>Proyecto RADA</w:t>
      </w:r>
      <w:r w:rsidR="00267C86">
        <w:rPr>
          <w:i/>
          <w:iCs/>
          <w:color w:val="1B4D6E"/>
          <w:sz w:val="28"/>
          <w:szCs w:val="28"/>
        </w:rPr>
        <w:t>R</w:t>
      </w:r>
    </w:p>
    <w:p w14:paraId="631D9B82" w14:textId="77777777" w:rsidR="004845BC" w:rsidRDefault="00000000">
      <w:pPr>
        <w:spacing w:after="600"/>
        <w:jc w:val="center"/>
      </w:pPr>
      <w:r>
        <w:rPr>
          <w:i/>
          <w:iCs/>
          <w:color w:val="444444"/>
        </w:rPr>
        <w:t>Ranking de Atractivo y Diagnóstico Analítico Regional</w:t>
      </w:r>
    </w:p>
    <w:p w14:paraId="631D9B83" w14:textId="77777777" w:rsidR="004845BC" w:rsidRDefault="004845BC">
      <w:pPr>
        <w:pBdr>
          <w:bottom w:val="single" w:sz="12" w:space="1" w:color="E8B931"/>
        </w:pBdr>
        <w:spacing w:after="4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4845BC" w14:paraId="631D9B8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31D9B84" w14:textId="77777777" w:rsidR="004845BC" w:rsidRDefault="00000000">
            <w:r>
              <w:rPr>
                <w:b/>
                <w:bCs/>
                <w:color w:val="0D1B2A"/>
                <w:sz w:val="21"/>
                <w:szCs w:val="21"/>
              </w:rPr>
              <w:t>Autores:</w:t>
            </w:r>
          </w:p>
        </w:tc>
        <w:tc>
          <w:tcPr>
            <w:tcW w:w="4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1D9B85" w14:textId="00DC4CF7" w:rsidR="004845BC" w:rsidRDefault="00000000">
            <w:r>
              <w:rPr>
                <w:color w:val="222222"/>
                <w:sz w:val="21"/>
                <w:szCs w:val="21"/>
              </w:rPr>
              <w:t>Jhon</w:t>
            </w:r>
            <w:r w:rsidR="00A45D5D">
              <w:rPr>
                <w:color w:val="222222"/>
                <w:sz w:val="21"/>
                <w:szCs w:val="21"/>
              </w:rPr>
              <w:t xml:space="preserve"> Adarve </w:t>
            </w:r>
            <w:r>
              <w:rPr>
                <w:color w:val="222222"/>
                <w:sz w:val="21"/>
                <w:szCs w:val="21"/>
              </w:rPr>
              <w:t>— Equipo de Estrategia Corporativa</w:t>
            </w:r>
          </w:p>
        </w:tc>
      </w:tr>
      <w:tr w:rsidR="004845BC" w14:paraId="631D9B89"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31D9B87" w14:textId="77777777" w:rsidR="004845BC" w:rsidRDefault="00000000">
            <w:r>
              <w:rPr>
                <w:b/>
                <w:bCs/>
                <w:color w:val="0D1B2A"/>
                <w:sz w:val="21"/>
                <w:szCs w:val="21"/>
              </w:rPr>
              <w:t>Organización:</w:t>
            </w:r>
          </w:p>
        </w:tc>
        <w:tc>
          <w:tcPr>
            <w:tcW w:w="4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1D9B88" w14:textId="77777777" w:rsidR="004845BC" w:rsidRDefault="00000000">
            <w:r>
              <w:rPr>
                <w:color w:val="222222"/>
                <w:sz w:val="21"/>
                <w:szCs w:val="21"/>
              </w:rPr>
              <w:t xml:space="preserve">Grupo </w:t>
            </w:r>
            <w:proofErr w:type="spellStart"/>
            <w:r>
              <w:rPr>
                <w:color w:val="222222"/>
                <w:sz w:val="21"/>
                <w:szCs w:val="21"/>
              </w:rPr>
              <w:t>Cibest</w:t>
            </w:r>
            <w:proofErr w:type="spellEnd"/>
            <w:r>
              <w:rPr>
                <w:color w:val="222222"/>
                <w:sz w:val="21"/>
                <w:szCs w:val="21"/>
              </w:rPr>
              <w:t xml:space="preserve"> — Dirección de Estrategia</w:t>
            </w:r>
          </w:p>
        </w:tc>
      </w:tr>
      <w:tr w:rsidR="004845BC" w14:paraId="631D9B8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31D9B8A" w14:textId="77777777" w:rsidR="004845BC" w:rsidRDefault="00000000">
            <w:r>
              <w:rPr>
                <w:b/>
                <w:bCs/>
                <w:color w:val="0D1B2A"/>
                <w:sz w:val="21"/>
                <w:szCs w:val="21"/>
              </w:rPr>
              <w:t>Fecha:</w:t>
            </w:r>
          </w:p>
        </w:tc>
        <w:tc>
          <w:tcPr>
            <w:tcW w:w="4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1D9B8B" w14:textId="77777777" w:rsidR="004845BC" w:rsidRDefault="00000000">
            <w:r>
              <w:rPr>
                <w:color w:val="222222"/>
                <w:sz w:val="21"/>
                <w:szCs w:val="21"/>
              </w:rPr>
              <w:t>Marzo 2026</w:t>
            </w:r>
          </w:p>
        </w:tc>
      </w:tr>
      <w:tr w:rsidR="004845BC" w14:paraId="631D9B8F"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31D9B8D" w14:textId="77777777" w:rsidR="004845BC" w:rsidRDefault="00000000">
            <w:r>
              <w:rPr>
                <w:b/>
                <w:bCs/>
                <w:color w:val="0D1B2A"/>
                <w:sz w:val="21"/>
                <w:szCs w:val="21"/>
              </w:rPr>
              <w:t>Versión:</w:t>
            </w:r>
          </w:p>
        </w:tc>
        <w:tc>
          <w:tcPr>
            <w:tcW w:w="4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1D9B8E" w14:textId="77777777" w:rsidR="004845BC" w:rsidRDefault="00000000">
            <w:r>
              <w:rPr>
                <w:color w:val="222222"/>
                <w:sz w:val="21"/>
                <w:szCs w:val="21"/>
              </w:rPr>
              <w:t>1.0</w:t>
            </w:r>
          </w:p>
        </w:tc>
      </w:tr>
      <w:tr w:rsidR="004845BC" w14:paraId="631D9B92"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31D9B90" w14:textId="77777777" w:rsidR="004845BC" w:rsidRDefault="00000000">
            <w:r>
              <w:rPr>
                <w:b/>
                <w:bCs/>
                <w:color w:val="0D1B2A"/>
                <w:sz w:val="21"/>
                <w:szCs w:val="21"/>
              </w:rPr>
              <w:t>Clasificación:</w:t>
            </w:r>
          </w:p>
        </w:tc>
        <w:tc>
          <w:tcPr>
            <w:tcW w:w="4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1D9B91" w14:textId="77777777" w:rsidR="004845BC" w:rsidRDefault="00000000">
            <w:r>
              <w:rPr>
                <w:color w:val="222222"/>
                <w:sz w:val="21"/>
                <w:szCs w:val="21"/>
              </w:rPr>
              <w:t>CONFIDENCIAL — USO INTERNO RESTRINGIDO</w:t>
            </w:r>
          </w:p>
        </w:tc>
      </w:tr>
    </w:tbl>
    <w:p w14:paraId="631D9B93" w14:textId="77777777" w:rsidR="004845BC" w:rsidRDefault="004845BC">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5BC" w14:paraId="631D9B96" w14:textId="77777777">
        <w:tc>
          <w:tcPr>
            <w:tcW w:w="9360" w:type="dxa"/>
            <w:tcBorders>
              <w:top w:val="single" w:sz="2" w:space="0" w:color="E8B931"/>
              <w:left w:val="single" w:sz="2" w:space="0" w:color="E8B931"/>
              <w:bottom w:val="single" w:sz="2" w:space="0" w:color="E8B931"/>
              <w:right w:val="single" w:sz="2" w:space="0" w:color="E8B931"/>
            </w:tcBorders>
            <w:shd w:val="clear" w:color="auto" w:fill="FFF8E7"/>
            <w:tcMar>
              <w:top w:w="120" w:type="dxa"/>
              <w:left w:w="200" w:type="dxa"/>
              <w:bottom w:w="120" w:type="dxa"/>
              <w:right w:w="200" w:type="dxa"/>
            </w:tcMar>
          </w:tcPr>
          <w:p w14:paraId="631D9B94" w14:textId="77777777" w:rsidR="004845BC" w:rsidRDefault="00000000">
            <w:pPr>
              <w:spacing w:after="60"/>
            </w:pPr>
            <w:r>
              <w:rPr>
                <w:b/>
                <w:bCs/>
                <w:caps/>
                <w:color w:val="0D1B2A"/>
                <w:sz w:val="20"/>
                <w:szCs w:val="20"/>
              </w:rPr>
              <w:t>AVISO DE USO</w:t>
            </w:r>
          </w:p>
          <w:p w14:paraId="631D9B95" w14:textId="2F3EC31E" w:rsidR="004845BC" w:rsidRDefault="00000000">
            <w:pPr>
              <w:jc w:val="both"/>
            </w:pPr>
            <w:r>
              <w:rPr>
                <w:color w:val="333333"/>
                <w:sz w:val="20"/>
                <w:szCs w:val="20"/>
              </w:rPr>
              <w:t xml:space="preserve">Este documento es un instrumento metodológico interno. Las recomendaciones derivadas de su aplicación son preliminares y deben ser validadas con </w:t>
            </w:r>
            <w:proofErr w:type="spellStart"/>
            <w:r>
              <w:rPr>
                <w:color w:val="333333"/>
                <w:sz w:val="20"/>
                <w:szCs w:val="20"/>
              </w:rPr>
              <w:t>due</w:t>
            </w:r>
            <w:proofErr w:type="spellEnd"/>
            <w:r>
              <w:rPr>
                <w:color w:val="333333"/>
                <w:sz w:val="20"/>
                <w:szCs w:val="20"/>
              </w:rPr>
              <w:t xml:space="preserve"> </w:t>
            </w:r>
            <w:proofErr w:type="spellStart"/>
            <w:r>
              <w:rPr>
                <w:color w:val="333333"/>
                <w:sz w:val="20"/>
                <w:szCs w:val="20"/>
              </w:rPr>
              <w:t>diligence</w:t>
            </w:r>
            <w:proofErr w:type="spellEnd"/>
            <w:r>
              <w:rPr>
                <w:color w:val="333333"/>
                <w:sz w:val="20"/>
                <w:szCs w:val="20"/>
              </w:rPr>
              <w:t xml:space="preserve"> regulatorio, financiero y legal antes de cualquier decisión de entrada a un mercado. Su distribución fuera de</w:t>
            </w:r>
            <w:r w:rsidR="00E06322">
              <w:rPr>
                <w:color w:val="333333"/>
                <w:sz w:val="20"/>
                <w:szCs w:val="20"/>
              </w:rPr>
              <w:t xml:space="preserve"> </w:t>
            </w:r>
            <w:r>
              <w:rPr>
                <w:color w:val="333333"/>
                <w:sz w:val="20"/>
                <w:szCs w:val="20"/>
              </w:rPr>
              <w:t xml:space="preserve">la Dirección de Estrategia Corporativa requiere autorización expresa del </w:t>
            </w:r>
            <w:proofErr w:type="gramStart"/>
            <w:r>
              <w:rPr>
                <w:color w:val="333333"/>
                <w:sz w:val="20"/>
                <w:szCs w:val="20"/>
              </w:rPr>
              <w:t>Director</w:t>
            </w:r>
            <w:proofErr w:type="gramEnd"/>
            <w:r>
              <w:rPr>
                <w:color w:val="333333"/>
                <w:sz w:val="20"/>
                <w:szCs w:val="20"/>
              </w:rPr>
              <w:t xml:space="preserve"> de Estrategia Corporativa.</w:t>
            </w:r>
          </w:p>
        </w:tc>
      </w:tr>
    </w:tbl>
    <w:p w14:paraId="631D9B97" w14:textId="77777777" w:rsidR="004845BC" w:rsidRDefault="00000000">
      <w:r>
        <w:br w:type="page"/>
      </w:r>
    </w:p>
    <w:p w14:paraId="631D9B98" w14:textId="6B9AF551" w:rsidR="004845BC" w:rsidRDefault="00000000">
      <w:pPr>
        <w:pBdr>
          <w:bottom w:val="single" w:sz="8" w:space="6" w:color="E8B931"/>
        </w:pBdr>
        <w:spacing w:after="40"/>
        <w:jc w:val="center"/>
      </w:pPr>
      <w:r>
        <w:rPr>
          <w:b/>
          <w:bCs/>
          <w:caps/>
          <w:color w:val="0D1B2A"/>
          <w:sz w:val="28"/>
          <w:szCs w:val="28"/>
        </w:rPr>
        <w:lastRenderedPageBreak/>
        <w:t>CONTENIDOS</w:t>
      </w:r>
    </w:p>
    <w:p w14:paraId="631D9B99" w14:textId="77777777" w:rsidR="004845BC" w:rsidRPr="00267C86" w:rsidRDefault="004845BC">
      <w:pPr>
        <w:spacing w:after="120"/>
        <w:rPr>
          <w:sz w:val="18"/>
          <w:szCs w:val="18"/>
        </w:rPr>
      </w:pPr>
    </w:p>
    <w:sdt>
      <w:sdtPr>
        <w:rPr>
          <w:rFonts w:ascii="Arial" w:eastAsia="Arial" w:hAnsi="Arial" w:cs="Arial"/>
          <w:color w:val="auto"/>
          <w:sz w:val="18"/>
          <w:szCs w:val="18"/>
          <w:lang w:val="es-ES"/>
        </w:rPr>
        <w:id w:val="846061147"/>
        <w:docPartObj>
          <w:docPartGallery w:val="Table of Contents"/>
          <w:docPartUnique/>
        </w:docPartObj>
      </w:sdtPr>
      <w:sdtEndPr>
        <w:rPr>
          <w:b/>
          <w:bCs/>
          <w:sz w:val="22"/>
          <w:szCs w:val="22"/>
        </w:rPr>
      </w:sdtEndPr>
      <w:sdtContent>
        <w:p w14:paraId="0BCD0A5C" w14:textId="316E460F" w:rsidR="00D56991" w:rsidRPr="00267C86" w:rsidRDefault="00D56991">
          <w:pPr>
            <w:pStyle w:val="TtuloTDC"/>
            <w:rPr>
              <w:sz w:val="18"/>
              <w:szCs w:val="18"/>
            </w:rPr>
          </w:pPr>
        </w:p>
        <w:p w14:paraId="7A8CF604" w14:textId="0E4859B3" w:rsidR="00D56991" w:rsidRPr="00267C86" w:rsidRDefault="00D56991">
          <w:pPr>
            <w:pStyle w:val="TDC1"/>
            <w:tabs>
              <w:tab w:val="right" w:leader="dot" w:pos="9350"/>
            </w:tabs>
            <w:rPr>
              <w:noProof/>
              <w:sz w:val="18"/>
              <w:szCs w:val="18"/>
            </w:rPr>
          </w:pPr>
          <w:r w:rsidRPr="00267C86">
            <w:rPr>
              <w:sz w:val="18"/>
              <w:szCs w:val="18"/>
            </w:rPr>
            <w:fldChar w:fldCharType="begin"/>
          </w:r>
          <w:r w:rsidRPr="00267C86">
            <w:rPr>
              <w:sz w:val="18"/>
              <w:szCs w:val="18"/>
            </w:rPr>
            <w:instrText xml:space="preserve"> TOC \o "1-3" \h \z \u </w:instrText>
          </w:r>
          <w:r w:rsidRPr="00267C86">
            <w:rPr>
              <w:sz w:val="18"/>
              <w:szCs w:val="18"/>
            </w:rPr>
            <w:fldChar w:fldCharType="separate"/>
          </w:r>
          <w:hyperlink w:anchor="_Toc232659549" w:history="1">
            <w:r w:rsidRPr="00267C86">
              <w:rPr>
                <w:rStyle w:val="Hipervnculo"/>
                <w:noProof/>
                <w:sz w:val="18"/>
                <w:szCs w:val="18"/>
              </w:rPr>
              <w:t>Sección 1 — Introducción y Propósito del Documento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_Toc232659549 \h </w:instrText>
            </w:r>
            <w:r w:rsidRPr="00267C86">
              <w:rPr>
                <w:noProof/>
                <w:webHidden/>
                <w:sz w:val="18"/>
                <w:szCs w:val="18"/>
              </w:rPr>
            </w:r>
            <w:r w:rsidRPr="00267C86">
              <w:rPr>
                <w:noProof/>
                <w:webHidden/>
                <w:sz w:val="18"/>
                <w:szCs w:val="18"/>
              </w:rPr>
              <w:fldChar w:fldCharType="separate"/>
            </w:r>
            <w:r w:rsidRPr="00267C86">
              <w:rPr>
                <w:noProof/>
                <w:webHidden/>
                <w:sz w:val="18"/>
                <w:szCs w:val="18"/>
              </w:rPr>
              <w:t>4</w:t>
            </w:r>
            <w:r w:rsidRPr="00267C86">
              <w:rPr>
                <w:noProof/>
                <w:webHidden/>
                <w:sz w:val="18"/>
                <w:szCs w:val="18"/>
              </w:rPr>
              <w:fldChar w:fldCharType="end"/>
            </w:r>
          </w:hyperlink>
        </w:p>
        <w:p w14:paraId="0CC6E1A1" w14:textId="5D083F5D" w:rsidR="00D56991" w:rsidRPr="00267C86" w:rsidRDefault="00D56991">
          <w:pPr>
            <w:pStyle w:val="TDC2"/>
            <w:tabs>
              <w:tab w:val="right" w:leader="dot" w:pos="9350"/>
            </w:tabs>
            <w:rPr>
              <w:noProof/>
              <w:sz w:val="18"/>
              <w:szCs w:val="18"/>
            </w:rPr>
          </w:pPr>
          <w:hyperlink w:anchor="_Toc232659550" w:history="1">
            <w:r w:rsidRPr="00267C86">
              <w:rPr>
                <w:rStyle w:val="Hipervnculo"/>
                <w:noProof/>
                <w:sz w:val="18"/>
                <w:szCs w:val="18"/>
              </w:rPr>
              <w:t>1.1  Contexto estratégico: por qué la selección de mercados es una decisión crítica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_Toc232659550 \h </w:instrText>
            </w:r>
            <w:r w:rsidRPr="00267C86">
              <w:rPr>
                <w:noProof/>
                <w:webHidden/>
                <w:sz w:val="18"/>
                <w:szCs w:val="18"/>
              </w:rPr>
            </w:r>
            <w:r w:rsidRPr="00267C86">
              <w:rPr>
                <w:noProof/>
                <w:webHidden/>
                <w:sz w:val="18"/>
                <w:szCs w:val="18"/>
              </w:rPr>
              <w:fldChar w:fldCharType="separate"/>
            </w:r>
            <w:r w:rsidRPr="00267C86">
              <w:rPr>
                <w:noProof/>
                <w:webHidden/>
                <w:sz w:val="18"/>
                <w:szCs w:val="18"/>
              </w:rPr>
              <w:t>4</w:t>
            </w:r>
            <w:r w:rsidRPr="00267C86">
              <w:rPr>
                <w:noProof/>
                <w:webHidden/>
                <w:sz w:val="18"/>
                <w:szCs w:val="18"/>
              </w:rPr>
              <w:fldChar w:fldCharType="end"/>
            </w:r>
          </w:hyperlink>
        </w:p>
        <w:p w14:paraId="44CA9FCD" w14:textId="11927DB6" w:rsidR="00D56991" w:rsidRPr="00267C86" w:rsidRDefault="00D56991">
          <w:pPr>
            <w:pStyle w:val="TDC2"/>
            <w:tabs>
              <w:tab w:val="right" w:leader="dot" w:pos="9350"/>
            </w:tabs>
            <w:rPr>
              <w:noProof/>
              <w:sz w:val="18"/>
              <w:szCs w:val="18"/>
            </w:rPr>
          </w:pPr>
          <w:hyperlink w:anchor="_Toc232659551" w:history="1">
            <w:r w:rsidRPr="00267C86">
              <w:rPr>
                <w:rStyle w:val="Hipervnculo"/>
                <w:noProof/>
                <w:sz w:val="18"/>
                <w:szCs w:val="18"/>
              </w:rPr>
              <w:t>1.2  Qué es este documento y para qué sirve</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_Toc232659551 \h </w:instrText>
            </w:r>
            <w:r w:rsidRPr="00267C86">
              <w:rPr>
                <w:noProof/>
                <w:webHidden/>
                <w:sz w:val="18"/>
                <w:szCs w:val="18"/>
              </w:rPr>
            </w:r>
            <w:r w:rsidRPr="00267C86">
              <w:rPr>
                <w:noProof/>
                <w:webHidden/>
                <w:sz w:val="18"/>
                <w:szCs w:val="18"/>
              </w:rPr>
              <w:fldChar w:fldCharType="separate"/>
            </w:r>
            <w:r w:rsidRPr="00267C86">
              <w:rPr>
                <w:noProof/>
                <w:webHidden/>
                <w:sz w:val="18"/>
                <w:szCs w:val="18"/>
              </w:rPr>
              <w:t>4</w:t>
            </w:r>
            <w:r w:rsidRPr="00267C86">
              <w:rPr>
                <w:noProof/>
                <w:webHidden/>
                <w:sz w:val="18"/>
                <w:szCs w:val="18"/>
              </w:rPr>
              <w:fldChar w:fldCharType="end"/>
            </w:r>
          </w:hyperlink>
        </w:p>
        <w:p w14:paraId="2C614BCC" w14:textId="206D0A8B" w:rsidR="00D56991" w:rsidRPr="00267C86" w:rsidRDefault="00D56991">
          <w:pPr>
            <w:pStyle w:val="TDC2"/>
            <w:tabs>
              <w:tab w:val="right" w:leader="dot" w:pos="9350"/>
            </w:tabs>
            <w:rPr>
              <w:noProof/>
              <w:sz w:val="18"/>
              <w:szCs w:val="18"/>
            </w:rPr>
          </w:pPr>
          <w:hyperlink w:anchor="_Toc232659552" w:history="1">
            <w:r w:rsidRPr="00267C86">
              <w:rPr>
                <w:rStyle w:val="Hipervnculo"/>
                <w:noProof/>
                <w:sz w:val="18"/>
                <w:szCs w:val="18"/>
              </w:rPr>
              <w:t>1.3  Audiencia y modo de uso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_Toc232659552 \h </w:instrText>
            </w:r>
            <w:r w:rsidRPr="00267C86">
              <w:rPr>
                <w:noProof/>
                <w:webHidden/>
                <w:sz w:val="18"/>
                <w:szCs w:val="18"/>
              </w:rPr>
            </w:r>
            <w:r w:rsidRPr="00267C86">
              <w:rPr>
                <w:noProof/>
                <w:webHidden/>
                <w:sz w:val="18"/>
                <w:szCs w:val="18"/>
              </w:rPr>
              <w:fldChar w:fldCharType="separate"/>
            </w:r>
            <w:r w:rsidRPr="00267C86">
              <w:rPr>
                <w:noProof/>
                <w:webHidden/>
                <w:sz w:val="18"/>
                <w:szCs w:val="18"/>
              </w:rPr>
              <w:t>4</w:t>
            </w:r>
            <w:r w:rsidRPr="00267C86">
              <w:rPr>
                <w:noProof/>
                <w:webHidden/>
                <w:sz w:val="18"/>
                <w:szCs w:val="18"/>
              </w:rPr>
              <w:fldChar w:fldCharType="end"/>
            </w:r>
          </w:hyperlink>
        </w:p>
        <w:p w14:paraId="2BA5A029" w14:textId="5F20A7D5" w:rsidR="00D56991" w:rsidRPr="00267C86" w:rsidRDefault="00D56991">
          <w:pPr>
            <w:pStyle w:val="TDC2"/>
            <w:tabs>
              <w:tab w:val="right" w:leader="dot" w:pos="9350"/>
            </w:tabs>
            <w:rPr>
              <w:noProof/>
              <w:sz w:val="18"/>
              <w:szCs w:val="18"/>
            </w:rPr>
          </w:pPr>
          <w:hyperlink w:anchor="_Toc232659553" w:history="1">
            <w:r w:rsidRPr="00267C86">
              <w:rPr>
                <w:rStyle w:val="Hipervnculo"/>
                <w:noProof/>
                <w:sz w:val="18"/>
                <w:szCs w:val="18"/>
              </w:rPr>
              <w:t>1.4  RADAR Cibest en el proceso más amplio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_Toc232659553 \h </w:instrText>
            </w:r>
            <w:r w:rsidRPr="00267C86">
              <w:rPr>
                <w:noProof/>
                <w:webHidden/>
                <w:sz w:val="18"/>
                <w:szCs w:val="18"/>
              </w:rPr>
            </w:r>
            <w:r w:rsidRPr="00267C86">
              <w:rPr>
                <w:noProof/>
                <w:webHidden/>
                <w:sz w:val="18"/>
                <w:szCs w:val="18"/>
              </w:rPr>
              <w:fldChar w:fldCharType="separate"/>
            </w:r>
            <w:r w:rsidRPr="00267C86">
              <w:rPr>
                <w:noProof/>
                <w:webHidden/>
                <w:sz w:val="18"/>
                <w:szCs w:val="18"/>
              </w:rPr>
              <w:t>5</w:t>
            </w:r>
            <w:r w:rsidRPr="00267C86">
              <w:rPr>
                <w:noProof/>
                <w:webHidden/>
                <w:sz w:val="18"/>
                <w:szCs w:val="18"/>
              </w:rPr>
              <w:fldChar w:fldCharType="end"/>
            </w:r>
          </w:hyperlink>
        </w:p>
        <w:p w14:paraId="0BFE1093" w14:textId="04796689" w:rsidR="00D56991" w:rsidRPr="00267C86" w:rsidRDefault="00D56991">
          <w:pPr>
            <w:pStyle w:val="TDC2"/>
            <w:tabs>
              <w:tab w:val="right" w:leader="dot" w:pos="9350"/>
            </w:tabs>
            <w:rPr>
              <w:noProof/>
              <w:sz w:val="18"/>
              <w:szCs w:val="18"/>
            </w:rPr>
          </w:pPr>
          <w:hyperlink w:anchor="_Toc232659554" w:history="1">
            <w:r w:rsidRPr="00267C86">
              <w:rPr>
                <w:rStyle w:val="Hipervnculo"/>
                <w:noProof/>
                <w:sz w:val="18"/>
                <w:szCs w:val="18"/>
              </w:rPr>
              <w:t>1.5  Lo que este documento NO hace</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_Toc232659554 \h </w:instrText>
            </w:r>
            <w:r w:rsidRPr="00267C86">
              <w:rPr>
                <w:noProof/>
                <w:webHidden/>
                <w:sz w:val="18"/>
                <w:szCs w:val="18"/>
              </w:rPr>
            </w:r>
            <w:r w:rsidRPr="00267C86">
              <w:rPr>
                <w:noProof/>
                <w:webHidden/>
                <w:sz w:val="18"/>
                <w:szCs w:val="18"/>
              </w:rPr>
              <w:fldChar w:fldCharType="separate"/>
            </w:r>
            <w:r w:rsidRPr="00267C86">
              <w:rPr>
                <w:noProof/>
                <w:webHidden/>
                <w:sz w:val="18"/>
                <w:szCs w:val="18"/>
              </w:rPr>
              <w:t>5</w:t>
            </w:r>
            <w:r w:rsidRPr="00267C86">
              <w:rPr>
                <w:noProof/>
                <w:webHidden/>
                <w:sz w:val="18"/>
                <w:szCs w:val="18"/>
              </w:rPr>
              <w:fldChar w:fldCharType="end"/>
            </w:r>
          </w:hyperlink>
        </w:p>
        <w:p w14:paraId="2CCE9C6A" w14:textId="24F102E1" w:rsidR="00D56991" w:rsidRPr="00267C86" w:rsidRDefault="00D56991">
          <w:pPr>
            <w:pStyle w:val="TDC1"/>
            <w:tabs>
              <w:tab w:val="right" w:leader="dot" w:pos="9350"/>
            </w:tabs>
            <w:rPr>
              <w:noProof/>
              <w:sz w:val="18"/>
              <w:szCs w:val="18"/>
            </w:rPr>
          </w:pPr>
          <w:hyperlink w:anchor="_Toc232659555" w:history="1">
            <w:r w:rsidRPr="00267C86">
              <w:rPr>
                <w:rStyle w:val="Hipervnculo"/>
                <w:noProof/>
                <w:sz w:val="18"/>
                <w:szCs w:val="18"/>
              </w:rPr>
              <w:t>Sección 2 — Fundamentos Teóricos del Proceso de Internacionalización Financiera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_Toc232659555 \h </w:instrText>
            </w:r>
            <w:r w:rsidRPr="00267C86">
              <w:rPr>
                <w:noProof/>
                <w:webHidden/>
                <w:sz w:val="18"/>
                <w:szCs w:val="18"/>
              </w:rPr>
            </w:r>
            <w:r w:rsidRPr="00267C86">
              <w:rPr>
                <w:noProof/>
                <w:webHidden/>
                <w:sz w:val="18"/>
                <w:szCs w:val="18"/>
              </w:rPr>
              <w:fldChar w:fldCharType="separate"/>
            </w:r>
            <w:r w:rsidRPr="00267C86">
              <w:rPr>
                <w:noProof/>
                <w:webHidden/>
                <w:sz w:val="18"/>
                <w:szCs w:val="18"/>
              </w:rPr>
              <w:t>7</w:t>
            </w:r>
            <w:r w:rsidRPr="00267C86">
              <w:rPr>
                <w:noProof/>
                <w:webHidden/>
                <w:sz w:val="18"/>
                <w:szCs w:val="18"/>
              </w:rPr>
              <w:fldChar w:fldCharType="end"/>
            </w:r>
          </w:hyperlink>
        </w:p>
        <w:p w14:paraId="0D534D27" w14:textId="4EA20878" w:rsidR="00D56991" w:rsidRPr="00267C86" w:rsidRDefault="00D56991">
          <w:pPr>
            <w:pStyle w:val="TDC2"/>
            <w:tabs>
              <w:tab w:val="right" w:leader="dot" w:pos="9350"/>
            </w:tabs>
            <w:rPr>
              <w:noProof/>
              <w:sz w:val="18"/>
              <w:szCs w:val="18"/>
            </w:rPr>
          </w:pPr>
          <w:hyperlink w:anchor="_Toc232659556" w:history="1">
            <w:r w:rsidRPr="00267C86">
              <w:rPr>
                <w:rStyle w:val="Hipervnculo"/>
                <w:noProof/>
                <w:sz w:val="18"/>
                <w:szCs w:val="18"/>
              </w:rPr>
              <w:t>2.1  Modelos de internacionalización aplicables a holdings financieras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_Toc232659556 \h </w:instrText>
            </w:r>
            <w:r w:rsidRPr="00267C86">
              <w:rPr>
                <w:noProof/>
                <w:webHidden/>
                <w:sz w:val="18"/>
                <w:szCs w:val="18"/>
              </w:rPr>
            </w:r>
            <w:r w:rsidRPr="00267C86">
              <w:rPr>
                <w:noProof/>
                <w:webHidden/>
                <w:sz w:val="18"/>
                <w:szCs w:val="18"/>
              </w:rPr>
              <w:fldChar w:fldCharType="separate"/>
            </w:r>
            <w:r w:rsidRPr="00267C86">
              <w:rPr>
                <w:noProof/>
                <w:webHidden/>
                <w:sz w:val="18"/>
                <w:szCs w:val="18"/>
              </w:rPr>
              <w:t>7</w:t>
            </w:r>
            <w:r w:rsidRPr="00267C86">
              <w:rPr>
                <w:noProof/>
                <w:webHidden/>
                <w:sz w:val="18"/>
                <w:szCs w:val="18"/>
              </w:rPr>
              <w:fldChar w:fldCharType="end"/>
            </w:r>
          </w:hyperlink>
        </w:p>
        <w:p w14:paraId="4FC37EF3" w14:textId="5D7C8397" w:rsidR="00D56991" w:rsidRPr="00267C86" w:rsidRDefault="00D56991">
          <w:pPr>
            <w:pStyle w:val="TDC3"/>
            <w:tabs>
              <w:tab w:val="right" w:leader="dot" w:pos="9350"/>
            </w:tabs>
            <w:rPr>
              <w:noProof/>
              <w:sz w:val="18"/>
              <w:szCs w:val="18"/>
            </w:rPr>
          </w:pPr>
          <w:hyperlink w:anchor="_Toc232659557" w:history="1">
            <w:r w:rsidRPr="00267C86">
              <w:rPr>
                <w:rStyle w:val="Hipervnculo"/>
                <w:noProof/>
                <w:sz w:val="18"/>
                <w:szCs w:val="18"/>
              </w:rPr>
              <w:t>El Modelo Uppsala: internacionalización gradual y aprendizaje organizacional</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_Toc232659557 \h </w:instrText>
            </w:r>
            <w:r w:rsidRPr="00267C86">
              <w:rPr>
                <w:noProof/>
                <w:webHidden/>
                <w:sz w:val="18"/>
                <w:szCs w:val="18"/>
              </w:rPr>
            </w:r>
            <w:r w:rsidRPr="00267C86">
              <w:rPr>
                <w:noProof/>
                <w:webHidden/>
                <w:sz w:val="18"/>
                <w:szCs w:val="18"/>
              </w:rPr>
              <w:fldChar w:fldCharType="separate"/>
            </w:r>
            <w:r w:rsidRPr="00267C86">
              <w:rPr>
                <w:noProof/>
                <w:webHidden/>
                <w:sz w:val="18"/>
                <w:szCs w:val="18"/>
              </w:rPr>
              <w:t>7</w:t>
            </w:r>
            <w:r w:rsidRPr="00267C86">
              <w:rPr>
                <w:noProof/>
                <w:webHidden/>
                <w:sz w:val="18"/>
                <w:szCs w:val="18"/>
              </w:rPr>
              <w:fldChar w:fldCharType="end"/>
            </w:r>
          </w:hyperlink>
        </w:p>
        <w:p w14:paraId="19EA0972" w14:textId="4E4FAC6D" w:rsidR="00D56991" w:rsidRPr="00267C86" w:rsidRDefault="00D56991">
          <w:pPr>
            <w:pStyle w:val="TDC3"/>
            <w:tabs>
              <w:tab w:val="right" w:leader="dot" w:pos="9350"/>
            </w:tabs>
            <w:rPr>
              <w:noProof/>
              <w:sz w:val="18"/>
              <w:szCs w:val="18"/>
            </w:rPr>
          </w:pPr>
          <w:hyperlink w:anchor="_Toc232659558" w:history="1">
            <w:r w:rsidRPr="00267C86">
              <w:rPr>
                <w:rStyle w:val="Hipervnculo"/>
                <w:noProof/>
                <w:sz w:val="18"/>
                <w:szCs w:val="18"/>
              </w:rPr>
              <w:t>El Paradigma Ecléctico OLI: ventajas de propiedad, localización e internalización</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_Toc232659558 \h </w:instrText>
            </w:r>
            <w:r w:rsidRPr="00267C86">
              <w:rPr>
                <w:noProof/>
                <w:webHidden/>
                <w:sz w:val="18"/>
                <w:szCs w:val="18"/>
              </w:rPr>
            </w:r>
            <w:r w:rsidRPr="00267C86">
              <w:rPr>
                <w:noProof/>
                <w:webHidden/>
                <w:sz w:val="18"/>
                <w:szCs w:val="18"/>
              </w:rPr>
              <w:fldChar w:fldCharType="separate"/>
            </w:r>
            <w:r w:rsidRPr="00267C86">
              <w:rPr>
                <w:noProof/>
                <w:webHidden/>
                <w:sz w:val="18"/>
                <w:szCs w:val="18"/>
              </w:rPr>
              <w:t>8</w:t>
            </w:r>
            <w:r w:rsidRPr="00267C86">
              <w:rPr>
                <w:noProof/>
                <w:webHidden/>
                <w:sz w:val="18"/>
                <w:szCs w:val="18"/>
              </w:rPr>
              <w:fldChar w:fldCharType="end"/>
            </w:r>
          </w:hyperlink>
        </w:p>
        <w:p w14:paraId="427913BC" w14:textId="6E0A8489" w:rsidR="00D56991" w:rsidRPr="00267C86" w:rsidRDefault="00D56991">
          <w:pPr>
            <w:pStyle w:val="TDC3"/>
            <w:tabs>
              <w:tab w:val="right" w:leader="dot" w:pos="9350"/>
            </w:tabs>
            <w:rPr>
              <w:noProof/>
              <w:sz w:val="18"/>
              <w:szCs w:val="18"/>
            </w:rPr>
          </w:pPr>
          <w:hyperlink w:anchor="_Toc232659559" w:history="1">
            <w:r w:rsidRPr="00267C86">
              <w:rPr>
                <w:rStyle w:val="Hipervnculo"/>
                <w:noProof/>
                <w:sz w:val="18"/>
                <w:szCs w:val="18"/>
              </w:rPr>
              <w:t>Born Global y Leapfrogging Digital: la excepción a la gradualidad</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_Toc232659559 \h </w:instrText>
            </w:r>
            <w:r w:rsidRPr="00267C86">
              <w:rPr>
                <w:noProof/>
                <w:webHidden/>
                <w:sz w:val="18"/>
                <w:szCs w:val="18"/>
              </w:rPr>
            </w:r>
            <w:r w:rsidRPr="00267C86">
              <w:rPr>
                <w:noProof/>
                <w:webHidden/>
                <w:sz w:val="18"/>
                <w:szCs w:val="18"/>
              </w:rPr>
              <w:fldChar w:fldCharType="separate"/>
            </w:r>
            <w:r w:rsidRPr="00267C86">
              <w:rPr>
                <w:noProof/>
                <w:webHidden/>
                <w:sz w:val="18"/>
                <w:szCs w:val="18"/>
              </w:rPr>
              <w:t>9</w:t>
            </w:r>
            <w:r w:rsidRPr="00267C86">
              <w:rPr>
                <w:noProof/>
                <w:webHidden/>
                <w:sz w:val="18"/>
                <w:szCs w:val="18"/>
              </w:rPr>
              <w:fldChar w:fldCharType="end"/>
            </w:r>
          </w:hyperlink>
        </w:p>
        <w:p w14:paraId="39F6EB6A" w14:textId="145C8596" w:rsidR="00D56991" w:rsidRPr="00267C86" w:rsidRDefault="00D56991">
          <w:pPr>
            <w:pStyle w:val="TDC3"/>
            <w:tabs>
              <w:tab w:val="right" w:leader="dot" w:pos="9350"/>
            </w:tabs>
            <w:rPr>
              <w:noProof/>
              <w:sz w:val="18"/>
              <w:szCs w:val="18"/>
            </w:rPr>
          </w:pPr>
          <w:hyperlink w:anchor="_Toc232659560" w:history="1">
            <w:r w:rsidRPr="00267C86">
              <w:rPr>
                <w:rStyle w:val="Hipervnculo"/>
                <w:noProof/>
                <w:sz w:val="18"/>
                <w:szCs w:val="18"/>
              </w:rPr>
              <w:t>Teoría de la Distancia Institucional: el predictor más subestimado del fracaso en internacionalización</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_Toc232659560 \h </w:instrText>
            </w:r>
            <w:r w:rsidRPr="00267C86">
              <w:rPr>
                <w:noProof/>
                <w:webHidden/>
                <w:sz w:val="18"/>
                <w:szCs w:val="18"/>
              </w:rPr>
            </w:r>
            <w:r w:rsidRPr="00267C86">
              <w:rPr>
                <w:noProof/>
                <w:webHidden/>
                <w:sz w:val="18"/>
                <w:szCs w:val="18"/>
              </w:rPr>
              <w:fldChar w:fldCharType="separate"/>
            </w:r>
            <w:r w:rsidRPr="00267C86">
              <w:rPr>
                <w:noProof/>
                <w:webHidden/>
                <w:sz w:val="18"/>
                <w:szCs w:val="18"/>
              </w:rPr>
              <w:t>9</w:t>
            </w:r>
            <w:r w:rsidRPr="00267C86">
              <w:rPr>
                <w:noProof/>
                <w:webHidden/>
                <w:sz w:val="18"/>
                <w:szCs w:val="18"/>
              </w:rPr>
              <w:fldChar w:fldCharType="end"/>
            </w:r>
          </w:hyperlink>
        </w:p>
        <w:p w14:paraId="50B20C5C" w14:textId="36BBD369" w:rsidR="00D56991" w:rsidRPr="00267C86" w:rsidRDefault="00D56991">
          <w:pPr>
            <w:pStyle w:val="TDC2"/>
            <w:tabs>
              <w:tab w:val="right" w:leader="dot" w:pos="9350"/>
            </w:tabs>
            <w:rPr>
              <w:noProof/>
              <w:sz w:val="18"/>
              <w:szCs w:val="18"/>
            </w:rPr>
          </w:pPr>
          <w:hyperlink w:anchor="_Toc232659561" w:history="1">
            <w:r w:rsidRPr="00267C86">
              <w:rPr>
                <w:rStyle w:val="Hipervnculo"/>
                <w:noProof/>
                <w:sz w:val="18"/>
                <w:szCs w:val="18"/>
              </w:rPr>
              <w:t>2.2  Especificidades de la internacionalización bancaria y de servicios financieros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_Toc232659561 \h </w:instrText>
            </w:r>
            <w:r w:rsidRPr="00267C86">
              <w:rPr>
                <w:noProof/>
                <w:webHidden/>
                <w:sz w:val="18"/>
                <w:szCs w:val="18"/>
              </w:rPr>
            </w:r>
            <w:r w:rsidRPr="00267C86">
              <w:rPr>
                <w:noProof/>
                <w:webHidden/>
                <w:sz w:val="18"/>
                <w:szCs w:val="18"/>
              </w:rPr>
              <w:fldChar w:fldCharType="separate"/>
            </w:r>
            <w:r w:rsidRPr="00267C86">
              <w:rPr>
                <w:noProof/>
                <w:webHidden/>
                <w:sz w:val="18"/>
                <w:szCs w:val="18"/>
              </w:rPr>
              <w:t>10</w:t>
            </w:r>
            <w:r w:rsidRPr="00267C86">
              <w:rPr>
                <w:noProof/>
                <w:webHidden/>
                <w:sz w:val="18"/>
                <w:szCs w:val="18"/>
              </w:rPr>
              <w:fldChar w:fldCharType="end"/>
            </w:r>
          </w:hyperlink>
        </w:p>
        <w:p w14:paraId="599110DE" w14:textId="44513CF3" w:rsidR="00D56991" w:rsidRPr="00267C86" w:rsidRDefault="00D56991">
          <w:pPr>
            <w:pStyle w:val="TDC2"/>
            <w:tabs>
              <w:tab w:val="right" w:leader="dot" w:pos="9350"/>
            </w:tabs>
            <w:rPr>
              <w:noProof/>
              <w:sz w:val="18"/>
              <w:szCs w:val="18"/>
            </w:rPr>
          </w:pPr>
          <w:hyperlink w:anchor="_Toc232659562" w:history="1">
            <w:r w:rsidRPr="00267C86">
              <w:rPr>
                <w:rStyle w:val="Hipervnculo"/>
                <w:noProof/>
                <w:sz w:val="18"/>
                <w:szCs w:val="18"/>
              </w:rPr>
              <w:t>2.3  Evidencia empírica: qué saben consultoras y organismos sobre selección de mercados financieros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_Toc232659562 \h </w:instrText>
            </w:r>
            <w:r w:rsidRPr="00267C86">
              <w:rPr>
                <w:noProof/>
                <w:webHidden/>
                <w:sz w:val="18"/>
                <w:szCs w:val="18"/>
              </w:rPr>
            </w:r>
            <w:r w:rsidRPr="00267C86">
              <w:rPr>
                <w:noProof/>
                <w:webHidden/>
                <w:sz w:val="18"/>
                <w:szCs w:val="18"/>
              </w:rPr>
              <w:fldChar w:fldCharType="separate"/>
            </w:r>
            <w:r w:rsidRPr="00267C86">
              <w:rPr>
                <w:noProof/>
                <w:webHidden/>
                <w:sz w:val="18"/>
                <w:szCs w:val="18"/>
              </w:rPr>
              <w:t>12</w:t>
            </w:r>
            <w:r w:rsidRPr="00267C86">
              <w:rPr>
                <w:noProof/>
                <w:webHidden/>
                <w:sz w:val="18"/>
                <w:szCs w:val="18"/>
              </w:rPr>
              <w:fldChar w:fldCharType="end"/>
            </w:r>
          </w:hyperlink>
        </w:p>
        <w:p w14:paraId="2D41009F" w14:textId="2FAFA337" w:rsidR="00D56991" w:rsidRPr="00267C86" w:rsidRDefault="00D56991">
          <w:pPr>
            <w:pStyle w:val="TDC1"/>
            <w:tabs>
              <w:tab w:val="right" w:leader="dot" w:pos="9350"/>
            </w:tabs>
            <w:rPr>
              <w:noProof/>
              <w:sz w:val="18"/>
              <w:szCs w:val="18"/>
            </w:rPr>
          </w:pPr>
          <w:hyperlink w:anchor="_Toc232659563" w:history="1">
            <w:r w:rsidRPr="00267C86">
              <w:rPr>
                <w:rStyle w:val="Hipervnculo"/>
                <w:noProof/>
                <w:sz w:val="18"/>
                <w:szCs w:val="18"/>
              </w:rPr>
              <w:t>Sección 3 — Fase 1: Definición del Objetivo de Internacionalización</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_Toc232659563 \h </w:instrText>
            </w:r>
            <w:r w:rsidRPr="00267C86">
              <w:rPr>
                <w:noProof/>
                <w:webHidden/>
                <w:sz w:val="18"/>
                <w:szCs w:val="18"/>
              </w:rPr>
            </w:r>
            <w:r w:rsidRPr="00267C86">
              <w:rPr>
                <w:noProof/>
                <w:webHidden/>
                <w:sz w:val="18"/>
                <w:szCs w:val="18"/>
              </w:rPr>
              <w:fldChar w:fldCharType="separate"/>
            </w:r>
            <w:r w:rsidRPr="00267C86">
              <w:rPr>
                <w:noProof/>
                <w:webHidden/>
                <w:sz w:val="18"/>
                <w:szCs w:val="18"/>
              </w:rPr>
              <w:t>15</w:t>
            </w:r>
            <w:r w:rsidRPr="00267C86">
              <w:rPr>
                <w:noProof/>
                <w:webHidden/>
                <w:sz w:val="18"/>
                <w:szCs w:val="18"/>
              </w:rPr>
              <w:fldChar w:fldCharType="end"/>
            </w:r>
          </w:hyperlink>
        </w:p>
        <w:p w14:paraId="31C1A3C9" w14:textId="4A38FA16" w:rsidR="00D56991" w:rsidRPr="00267C86" w:rsidRDefault="00D56991">
          <w:pPr>
            <w:pStyle w:val="TDC2"/>
            <w:tabs>
              <w:tab w:val="right" w:leader="dot" w:pos="9350"/>
            </w:tabs>
            <w:rPr>
              <w:noProof/>
              <w:sz w:val="18"/>
              <w:szCs w:val="18"/>
            </w:rPr>
          </w:pPr>
          <w:hyperlink w:anchor="_Toc232659564" w:history="1">
            <w:r w:rsidRPr="00267C86">
              <w:rPr>
                <w:rStyle w:val="Hipervnculo"/>
                <w:noProof/>
                <w:sz w:val="18"/>
                <w:szCs w:val="18"/>
              </w:rPr>
              <w:t>3.1  Por qué el objetivo de internacionalización determina todo lo demás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_Toc232659564 \h </w:instrText>
            </w:r>
            <w:r w:rsidRPr="00267C86">
              <w:rPr>
                <w:noProof/>
                <w:webHidden/>
                <w:sz w:val="18"/>
                <w:szCs w:val="18"/>
              </w:rPr>
            </w:r>
            <w:r w:rsidRPr="00267C86">
              <w:rPr>
                <w:noProof/>
                <w:webHidden/>
                <w:sz w:val="18"/>
                <w:szCs w:val="18"/>
              </w:rPr>
              <w:fldChar w:fldCharType="separate"/>
            </w:r>
            <w:r w:rsidRPr="00267C86">
              <w:rPr>
                <w:noProof/>
                <w:webHidden/>
                <w:sz w:val="18"/>
                <w:szCs w:val="18"/>
              </w:rPr>
              <w:t>15</w:t>
            </w:r>
            <w:r w:rsidRPr="00267C86">
              <w:rPr>
                <w:noProof/>
                <w:webHidden/>
                <w:sz w:val="18"/>
                <w:szCs w:val="18"/>
              </w:rPr>
              <w:fldChar w:fldCharType="end"/>
            </w:r>
          </w:hyperlink>
        </w:p>
        <w:p w14:paraId="6CB52F8E" w14:textId="310A9A62" w:rsidR="00D56991" w:rsidRPr="00267C86" w:rsidRDefault="00D56991">
          <w:pPr>
            <w:pStyle w:val="TDC3"/>
            <w:tabs>
              <w:tab w:val="right" w:leader="dot" w:pos="9350"/>
            </w:tabs>
            <w:rPr>
              <w:noProof/>
              <w:sz w:val="18"/>
              <w:szCs w:val="18"/>
            </w:rPr>
          </w:pPr>
          <w:hyperlink w:anchor="_Toc232659565" w:history="1">
            <w:r w:rsidRPr="00267C86">
              <w:rPr>
                <w:rStyle w:val="Hipervnculo"/>
                <w:noProof/>
                <w:sz w:val="18"/>
                <w:szCs w:val="18"/>
              </w:rPr>
              <w:t>Arquetipo 1: Objetivo de escala de mercado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_Toc232659565 \h </w:instrText>
            </w:r>
            <w:r w:rsidRPr="00267C86">
              <w:rPr>
                <w:noProof/>
                <w:webHidden/>
                <w:sz w:val="18"/>
                <w:szCs w:val="18"/>
              </w:rPr>
            </w:r>
            <w:r w:rsidRPr="00267C86">
              <w:rPr>
                <w:noProof/>
                <w:webHidden/>
                <w:sz w:val="18"/>
                <w:szCs w:val="18"/>
              </w:rPr>
              <w:fldChar w:fldCharType="separate"/>
            </w:r>
            <w:r w:rsidRPr="00267C86">
              <w:rPr>
                <w:noProof/>
                <w:webHidden/>
                <w:sz w:val="18"/>
                <w:szCs w:val="18"/>
              </w:rPr>
              <w:t>15</w:t>
            </w:r>
            <w:r w:rsidRPr="00267C86">
              <w:rPr>
                <w:noProof/>
                <w:webHidden/>
                <w:sz w:val="18"/>
                <w:szCs w:val="18"/>
              </w:rPr>
              <w:fldChar w:fldCharType="end"/>
            </w:r>
          </w:hyperlink>
        </w:p>
        <w:p w14:paraId="7DEE5D1C" w14:textId="4112A26B" w:rsidR="00D56991" w:rsidRPr="00267C86" w:rsidRDefault="00D56991">
          <w:pPr>
            <w:pStyle w:val="TDC3"/>
            <w:tabs>
              <w:tab w:val="right" w:leader="dot" w:pos="9350"/>
            </w:tabs>
            <w:rPr>
              <w:noProof/>
              <w:sz w:val="18"/>
              <w:szCs w:val="18"/>
            </w:rPr>
          </w:pPr>
          <w:hyperlink w:anchor="_Toc232659566" w:history="1">
            <w:r w:rsidRPr="00267C86">
              <w:rPr>
                <w:rStyle w:val="Hipervnculo"/>
                <w:noProof/>
                <w:sz w:val="18"/>
                <w:szCs w:val="18"/>
              </w:rPr>
              <w:t>Arquetipo 2: Objetivo de diversificación de riesgo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_Toc232659566 \h </w:instrText>
            </w:r>
            <w:r w:rsidRPr="00267C86">
              <w:rPr>
                <w:noProof/>
                <w:webHidden/>
                <w:sz w:val="18"/>
                <w:szCs w:val="18"/>
              </w:rPr>
            </w:r>
            <w:r w:rsidRPr="00267C86">
              <w:rPr>
                <w:noProof/>
                <w:webHidden/>
                <w:sz w:val="18"/>
                <w:szCs w:val="18"/>
              </w:rPr>
              <w:fldChar w:fldCharType="separate"/>
            </w:r>
            <w:r w:rsidRPr="00267C86">
              <w:rPr>
                <w:noProof/>
                <w:webHidden/>
                <w:sz w:val="18"/>
                <w:szCs w:val="18"/>
              </w:rPr>
              <w:t>16</w:t>
            </w:r>
            <w:r w:rsidRPr="00267C86">
              <w:rPr>
                <w:noProof/>
                <w:webHidden/>
                <w:sz w:val="18"/>
                <w:szCs w:val="18"/>
              </w:rPr>
              <w:fldChar w:fldCharType="end"/>
            </w:r>
          </w:hyperlink>
        </w:p>
        <w:p w14:paraId="3C76E532" w14:textId="7602DD10" w:rsidR="00D56991" w:rsidRPr="00267C86" w:rsidRDefault="00D56991">
          <w:pPr>
            <w:pStyle w:val="TDC3"/>
            <w:tabs>
              <w:tab w:val="right" w:leader="dot" w:pos="9350"/>
            </w:tabs>
            <w:rPr>
              <w:noProof/>
              <w:sz w:val="18"/>
              <w:szCs w:val="18"/>
            </w:rPr>
          </w:pPr>
          <w:hyperlink w:anchor="_Toc232659567" w:history="1">
            <w:r w:rsidRPr="00267C86">
              <w:rPr>
                <w:rStyle w:val="Hipervnculo"/>
                <w:noProof/>
                <w:sz w:val="18"/>
                <w:szCs w:val="18"/>
              </w:rPr>
              <w:t>Arquetipo 3: Objetivo de captura de un corredor específico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_Toc232659567 \h </w:instrText>
            </w:r>
            <w:r w:rsidRPr="00267C86">
              <w:rPr>
                <w:noProof/>
                <w:webHidden/>
                <w:sz w:val="18"/>
                <w:szCs w:val="18"/>
              </w:rPr>
            </w:r>
            <w:r w:rsidRPr="00267C86">
              <w:rPr>
                <w:noProof/>
                <w:webHidden/>
                <w:sz w:val="18"/>
                <w:szCs w:val="18"/>
              </w:rPr>
              <w:fldChar w:fldCharType="separate"/>
            </w:r>
            <w:r w:rsidRPr="00267C86">
              <w:rPr>
                <w:noProof/>
                <w:webHidden/>
                <w:sz w:val="18"/>
                <w:szCs w:val="18"/>
              </w:rPr>
              <w:t>16</w:t>
            </w:r>
            <w:r w:rsidRPr="00267C86">
              <w:rPr>
                <w:noProof/>
                <w:webHidden/>
                <w:sz w:val="18"/>
                <w:szCs w:val="18"/>
              </w:rPr>
              <w:fldChar w:fldCharType="end"/>
            </w:r>
          </w:hyperlink>
        </w:p>
        <w:p w14:paraId="384389E7" w14:textId="5DC27CB3" w:rsidR="00D56991" w:rsidRPr="00267C86" w:rsidRDefault="00D56991">
          <w:pPr>
            <w:pStyle w:val="TDC3"/>
            <w:tabs>
              <w:tab w:val="right" w:leader="dot" w:pos="9350"/>
            </w:tabs>
            <w:rPr>
              <w:noProof/>
              <w:sz w:val="18"/>
              <w:szCs w:val="18"/>
            </w:rPr>
          </w:pPr>
          <w:hyperlink w:anchor="_Toc232659568" w:history="1">
            <w:r w:rsidRPr="00267C86">
              <w:rPr>
                <w:rStyle w:val="Hipervnculo"/>
                <w:noProof/>
                <w:sz w:val="18"/>
                <w:szCs w:val="18"/>
              </w:rPr>
              <w:t>Arquetipo 4: Objetivo de adquisición de capacidades (reverse innovation)</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_Toc232659568 \h </w:instrText>
            </w:r>
            <w:r w:rsidRPr="00267C86">
              <w:rPr>
                <w:noProof/>
                <w:webHidden/>
                <w:sz w:val="18"/>
                <w:szCs w:val="18"/>
              </w:rPr>
            </w:r>
            <w:r w:rsidRPr="00267C86">
              <w:rPr>
                <w:noProof/>
                <w:webHidden/>
                <w:sz w:val="18"/>
                <w:szCs w:val="18"/>
              </w:rPr>
              <w:fldChar w:fldCharType="separate"/>
            </w:r>
            <w:r w:rsidRPr="00267C86">
              <w:rPr>
                <w:noProof/>
                <w:webHidden/>
                <w:sz w:val="18"/>
                <w:szCs w:val="18"/>
              </w:rPr>
              <w:t>16</w:t>
            </w:r>
            <w:r w:rsidRPr="00267C86">
              <w:rPr>
                <w:noProof/>
                <w:webHidden/>
                <w:sz w:val="18"/>
                <w:szCs w:val="18"/>
              </w:rPr>
              <w:fldChar w:fldCharType="end"/>
            </w:r>
          </w:hyperlink>
        </w:p>
        <w:p w14:paraId="120E3B7D" w14:textId="16F3E511" w:rsidR="00D56991" w:rsidRPr="00267C86" w:rsidRDefault="00D56991">
          <w:pPr>
            <w:pStyle w:val="TDC3"/>
            <w:tabs>
              <w:tab w:val="right" w:leader="dot" w:pos="9350"/>
            </w:tabs>
            <w:rPr>
              <w:noProof/>
              <w:sz w:val="18"/>
              <w:szCs w:val="18"/>
            </w:rPr>
          </w:pPr>
          <w:hyperlink w:anchor="_Toc232659569" w:history="1">
            <w:r w:rsidRPr="00267C86">
              <w:rPr>
                <w:rStyle w:val="Hipervnculo"/>
                <w:noProof/>
                <w:sz w:val="18"/>
                <w:szCs w:val="18"/>
              </w:rPr>
              <w:t>Arquetipo 5: Objetivo de seguimiento al cliente (client following)</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_Toc232659569 \h </w:instrText>
            </w:r>
            <w:r w:rsidRPr="00267C86">
              <w:rPr>
                <w:noProof/>
                <w:webHidden/>
                <w:sz w:val="18"/>
                <w:szCs w:val="18"/>
              </w:rPr>
            </w:r>
            <w:r w:rsidRPr="00267C86">
              <w:rPr>
                <w:noProof/>
                <w:webHidden/>
                <w:sz w:val="18"/>
                <w:szCs w:val="18"/>
              </w:rPr>
              <w:fldChar w:fldCharType="separate"/>
            </w:r>
            <w:r w:rsidRPr="00267C86">
              <w:rPr>
                <w:noProof/>
                <w:webHidden/>
                <w:sz w:val="18"/>
                <w:szCs w:val="18"/>
              </w:rPr>
              <w:t>17</w:t>
            </w:r>
            <w:r w:rsidRPr="00267C86">
              <w:rPr>
                <w:noProof/>
                <w:webHidden/>
                <w:sz w:val="18"/>
                <w:szCs w:val="18"/>
              </w:rPr>
              <w:fldChar w:fldCharType="end"/>
            </w:r>
          </w:hyperlink>
        </w:p>
        <w:p w14:paraId="470CD259" w14:textId="27BE389F" w:rsidR="00D56991" w:rsidRPr="00267C86" w:rsidRDefault="00D56991">
          <w:pPr>
            <w:pStyle w:val="TDC2"/>
            <w:tabs>
              <w:tab w:val="right" w:leader="dot" w:pos="9350"/>
            </w:tabs>
            <w:rPr>
              <w:noProof/>
              <w:sz w:val="18"/>
              <w:szCs w:val="18"/>
            </w:rPr>
          </w:pPr>
          <w:hyperlink w:anchor="_Toc232659570" w:history="1">
            <w:r w:rsidRPr="00267C86">
              <w:rPr>
                <w:rStyle w:val="Hipervnculo"/>
                <w:noProof/>
                <w:sz w:val="18"/>
                <w:szCs w:val="18"/>
              </w:rPr>
              <w:t>3.2  Preguntas diagnósticas para definir el objetivo de Grupo Cibest</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_Toc232659570 \h </w:instrText>
            </w:r>
            <w:r w:rsidRPr="00267C86">
              <w:rPr>
                <w:noProof/>
                <w:webHidden/>
                <w:sz w:val="18"/>
                <w:szCs w:val="18"/>
              </w:rPr>
            </w:r>
            <w:r w:rsidRPr="00267C86">
              <w:rPr>
                <w:noProof/>
                <w:webHidden/>
                <w:sz w:val="18"/>
                <w:szCs w:val="18"/>
              </w:rPr>
              <w:fldChar w:fldCharType="separate"/>
            </w:r>
            <w:r w:rsidRPr="00267C86">
              <w:rPr>
                <w:noProof/>
                <w:webHidden/>
                <w:sz w:val="18"/>
                <w:szCs w:val="18"/>
              </w:rPr>
              <w:t>17</w:t>
            </w:r>
            <w:r w:rsidRPr="00267C86">
              <w:rPr>
                <w:noProof/>
                <w:webHidden/>
                <w:sz w:val="18"/>
                <w:szCs w:val="18"/>
              </w:rPr>
              <w:fldChar w:fldCharType="end"/>
            </w:r>
          </w:hyperlink>
        </w:p>
        <w:p w14:paraId="51EE730D" w14:textId="511981AF" w:rsidR="00D56991" w:rsidRPr="00267C86" w:rsidRDefault="00D56991">
          <w:pPr>
            <w:pStyle w:val="TDC2"/>
            <w:tabs>
              <w:tab w:val="right" w:leader="dot" w:pos="9350"/>
            </w:tabs>
            <w:rPr>
              <w:noProof/>
              <w:sz w:val="18"/>
              <w:szCs w:val="18"/>
            </w:rPr>
          </w:pPr>
          <w:hyperlink w:anchor="_Toc232659571" w:history="1">
            <w:r w:rsidRPr="00267C86">
              <w:rPr>
                <w:rStyle w:val="Hipervnculo"/>
                <w:noProof/>
                <w:sz w:val="18"/>
                <w:szCs w:val="18"/>
              </w:rPr>
              <w:t>3.3  Cómo el objetivo modifica el modelo cuantitativo RADAR Cibest</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_Toc232659571 \h </w:instrText>
            </w:r>
            <w:r w:rsidRPr="00267C86">
              <w:rPr>
                <w:noProof/>
                <w:webHidden/>
                <w:sz w:val="18"/>
                <w:szCs w:val="18"/>
              </w:rPr>
            </w:r>
            <w:r w:rsidRPr="00267C86">
              <w:rPr>
                <w:noProof/>
                <w:webHidden/>
                <w:sz w:val="18"/>
                <w:szCs w:val="18"/>
              </w:rPr>
              <w:fldChar w:fldCharType="separate"/>
            </w:r>
            <w:r w:rsidRPr="00267C86">
              <w:rPr>
                <w:noProof/>
                <w:webHidden/>
                <w:sz w:val="18"/>
                <w:szCs w:val="18"/>
              </w:rPr>
              <w:t>18</w:t>
            </w:r>
            <w:r w:rsidRPr="00267C86">
              <w:rPr>
                <w:noProof/>
                <w:webHidden/>
                <w:sz w:val="18"/>
                <w:szCs w:val="18"/>
              </w:rPr>
              <w:fldChar w:fldCharType="end"/>
            </w:r>
          </w:hyperlink>
        </w:p>
        <w:p w14:paraId="43C0A7F1" w14:textId="04025417" w:rsidR="00D56991" w:rsidRPr="00267C86" w:rsidRDefault="00D56991">
          <w:pPr>
            <w:pStyle w:val="TDC2"/>
            <w:tabs>
              <w:tab w:val="right" w:leader="dot" w:pos="9350"/>
            </w:tabs>
            <w:rPr>
              <w:noProof/>
              <w:sz w:val="18"/>
              <w:szCs w:val="18"/>
            </w:rPr>
          </w:pPr>
          <w:hyperlink w:anchor="_Toc232659572" w:history="1">
            <w:r w:rsidRPr="00267C86">
              <w:rPr>
                <w:rStyle w:val="Hipervnculo"/>
                <w:noProof/>
                <w:sz w:val="18"/>
                <w:szCs w:val="18"/>
              </w:rPr>
              <w:t>3.4  Entregables, participantes y tiempo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_Toc232659572 \h </w:instrText>
            </w:r>
            <w:r w:rsidRPr="00267C86">
              <w:rPr>
                <w:noProof/>
                <w:webHidden/>
                <w:sz w:val="18"/>
                <w:szCs w:val="18"/>
              </w:rPr>
            </w:r>
            <w:r w:rsidRPr="00267C86">
              <w:rPr>
                <w:noProof/>
                <w:webHidden/>
                <w:sz w:val="18"/>
                <w:szCs w:val="18"/>
              </w:rPr>
              <w:fldChar w:fldCharType="separate"/>
            </w:r>
            <w:r w:rsidRPr="00267C86">
              <w:rPr>
                <w:noProof/>
                <w:webHidden/>
                <w:sz w:val="18"/>
                <w:szCs w:val="18"/>
              </w:rPr>
              <w:t>20</w:t>
            </w:r>
            <w:r w:rsidRPr="00267C86">
              <w:rPr>
                <w:noProof/>
                <w:webHidden/>
                <w:sz w:val="18"/>
                <w:szCs w:val="18"/>
              </w:rPr>
              <w:fldChar w:fldCharType="end"/>
            </w:r>
          </w:hyperlink>
        </w:p>
        <w:p w14:paraId="50F7A9CF" w14:textId="608834BB" w:rsidR="00D56991" w:rsidRPr="00267C86" w:rsidRDefault="00D56991">
          <w:pPr>
            <w:pStyle w:val="TDC1"/>
            <w:tabs>
              <w:tab w:val="right" w:leader="dot" w:pos="9350"/>
            </w:tabs>
            <w:rPr>
              <w:noProof/>
              <w:sz w:val="18"/>
              <w:szCs w:val="18"/>
            </w:rPr>
          </w:pPr>
          <w:hyperlink w:anchor="_Toc232659573" w:history="1">
            <w:r w:rsidRPr="00267C86">
              <w:rPr>
                <w:rStyle w:val="Hipervnculo"/>
                <w:noProof/>
                <w:sz w:val="18"/>
                <w:szCs w:val="18"/>
              </w:rPr>
              <w:t>Sección 4 — Fase 2: Definición del Universo de Mercados y Criterios de Exclusión Inicial (Screening Primario)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_Toc232659573 \h </w:instrText>
            </w:r>
            <w:r w:rsidRPr="00267C86">
              <w:rPr>
                <w:noProof/>
                <w:webHidden/>
                <w:sz w:val="18"/>
                <w:szCs w:val="18"/>
              </w:rPr>
            </w:r>
            <w:r w:rsidRPr="00267C86">
              <w:rPr>
                <w:noProof/>
                <w:webHidden/>
                <w:sz w:val="18"/>
                <w:szCs w:val="18"/>
              </w:rPr>
              <w:fldChar w:fldCharType="separate"/>
            </w:r>
            <w:r w:rsidRPr="00267C86">
              <w:rPr>
                <w:noProof/>
                <w:webHidden/>
                <w:sz w:val="18"/>
                <w:szCs w:val="18"/>
              </w:rPr>
              <w:t>21</w:t>
            </w:r>
            <w:r w:rsidRPr="00267C86">
              <w:rPr>
                <w:noProof/>
                <w:webHidden/>
                <w:sz w:val="18"/>
                <w:szCs w:val="18"/>
              </w:rPr>
              <w:fldChar w:fldCharType="end"/>
            </w:r>
          </w:hyperlink>
        </w:p>
        <w:p w14:paraId="483A3B32" w14:textId="2F0239A6" w:rsidR="00D56991" w:rsidRPr="00267C86" w:rsidRDefault="00D56991">
          <w:pPr>
            <w:pStyle w:val="TDC2"/>
            <w:tabs>
              <w:tab w:val="right" w:leader="dot" w:pos="9350"/>
            </w:tabs>
            <w:rPr>
              <w:noProof/>
              <w:sz w:val="18"/>
              <w:szCs w:val="18"/>
            </w:rPr>
          </w:pPr>
          <w:hyperlink w:anchor="_Toc232659574" w:history="1">
            <w:r w:rsidRPr="00267C86">
              <w:rPr>
                <w:rStyle w:val="Hipervnculo"/>
                <w:noProof/>
                <w:sz w:val="18"/>
                <w:szCs w:val="18"/>
              </w:rPr>
              <w:t>4.1  Cómo definir el universo inicial de mercados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_Toc232659574 \h </w:instrText>
            </w:r>
            <w:r w:rsidRPr="00267C86">
              <w:rPr>
                <w:noProof/>
                <w:webHidden/>
                <w:sz w:val="18"/>
                <w:szCs w:val="18"/>
              </w:rPr>
            </w:r>
            <w:r w:rsidRPr="00267C86">
              <w:rPr>
                <w:noProof/>
                <w:webHidden/>
                <w:sz w:val="18"/>
                <w:szCs w:val="18"/>
              </w:rPr>
              <w:fldChar w:fldCharType="separate"/>
            </w:r>
            <w:r w:rsidRPr="00267C86">
              <w:rPr>
                <w:noProof/>
                <w:webHidden/>
                <w:sz w:val="18"/>
                <w:szCs w:val="18"/>
              </w:rPr>
              <w:t>21</w:t>
            </w:r>
            <w:r w:rsidRPr="00267C86">
              <w:rPr>
                <w:noProof/>
                <w:webHidden/>
                <w:sz w:val="18"/>
                <w:szCs w:val="18"/>
              </w:rPr>
              <w:fldChar w:fldCharType="end"/>
            </w:r>
          </w:hyperlink>
        </w:p>
        <w:p w14:paraId="7CFDD490" w14:textId="207C8690" w:rsidR="00D56991" w:rsidRPr="00267C86" w:rsidRDefault="00D56991">
          <w:pPr>
            <w:pStyle w:val="TDC2"/>
            <w:tabs>
              <w:tab w:val="right" w:leader="dot" w:pos="9350"/>
            </w:tabs>
            <w:rPr>
              <w:noProof/>
              <w:sz w:val="18"/>
              <w:szCs w:val="18"/>
            </w:rPr>
          </w:pPr>
          <w:hyperlink w:anchor="_Toc232659575" w:history="1">
            <w:r w:rsidRPr="00267C86">
              <w:rPr>
                <w:rStyle w:val="Hipervnculo"/>
                <w:noProof/>
                <w:sz w:val="18"/>
                <w:szCs w:val="18"/>
              </w:rPr>
              <w:t>4.2  Criterios de exclusión absoluta (filtros de no entrada)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_Toc232659575 \h </w:instrText>
            </w:r>
            <w:r w:rsidRPr="00267C86">
              <w:rPr>
                <w:noProof/>
                <w:webHidden/>
                <w:sz w:val="18"/>
                <w:szCs w:val="18"/>
              </w:rPr>
            </w:r>
            <w:r w:rsidRPr="00267C86">
              <w:rPr>
                <w:noProof/>
                <w:webHidden/>
                <w:sz w:val="18"/>
                <w:szCs w:val="18"/>
              </w:rPr>
              <w:fldChar w:fldCharType="separate"/>
            </w:r>
            <w:r w:rsidRPr="00267C86">
              <w:rPr>
                <w:noProof/>
                <w:webHidden/>
                <w:sz w:val="18"/>
                <w:szCs w:val="18"/>
              </w:rPr>
              <w:t>22</w:t>
            </w:r>
            <w:r w:rsidRPr="00267C86">
              <w:rPr>
                <w:noProof/>
                <w:webHidden/>
                <w:sz w:val="18"/>
                <w:szCs w:val="18"/>
              </w:rPr>
              <w:fldChar w:fldCharType="end"/>
            </w:r>
          </w:hyperlink>
        </w:p>
        <w:p w14:paraId="30D08BA1" w14:textId="791569F4" w:rsidR="00D56991" w:rsidRPr="00267C86" w:rsidRDefault="00D56991">
          <w:pPr>
            <w:pStyle w:val="TDC2"/>
            <w:tabs>
              <w:tab w:val="right" w:leader="dot" w:pos="9350"/>
            </w:tabs>
            <w:rPr>
              <w:noProof/>
              <w:sz w:val="18"/>
              <w:szCs w:val="18"/>
            </w:rPr>
          </w:pPr>
          <w:hyperlink w:anchor="_Toc232659576" w:history="1">
            <w:r w:rsidRPr="00267C86">
              <w:rPr>
                <w:rStyle w:val="Hipervnculo"/>
                <w:noProof/>
                <w:sz w:val="18"/>
                <w:szCs w:val="18"/>
              </w:rPr>
              <w:t>4.3  Criterios de viabilidad regulatoria básica por línea de negocio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_Toc232659576 \h </w:instrText>
            </w:r>
            <w:r w:rsidRPr="00267C86">
              <w:rPr>
                <w:noProof/>
                <w:webHidden/>
                <w:sz w:val="18"/>
                <w:szCs w:val="18"/>
              </w:rPr>
            </w:r>
            <w:r w:rsidRPr="00267C86">
              <w:rPr>
                <w:noProof/>
                <w:webHidden/>
                <w:sz w:val="18"/>
                <w:szCs w:val="18"/>
              </w:rPr>
              <w:fldChar w:fldCharType="separate"/>
            </w:r>
            <w:r w:rsidRPr="00267C86">
              <w:rPr>
                <w:noProof/>
                <w:webHidden/>
                <w:sz w:val="18"/>
                <w:szCs w:val="18"/>
              </w:rPr>
              <w:t>24</w:t>
            </w:r>
            <w:r w:rsidRPr="00267C86">
              <w:rPr>
                <w:noProof/>
                <w:webHidden/>
                <w:sz w:val="18"/>
                <w:szCs w:val="18"/>
              </w:rPr>
              <w:fldChar w:fldCharType="end"/>
            </w:r>
          </w:hyperlink>
        </w:p>
        <w:p w14:paraId="4B8967F2" w14:textId="107DFECD" w:rsidR="00D56991" w:rsidRPr="00267C86" w:rsidRDefault="00D56991">
          <w:pPr>
            <w:pStyle w:val="TDC2"/>
            <w:tabs>
              <w:tab w:val="right" w:leader="dot" w:pos="9350"/>
            </w:tabs>
            <w:rPr>
              <w:noProof/>
              <w:sz w:val="18"/>
              <w:szCs w:val="18"/>
            </w:rPr>
          </w:pPr>
          <w:hyperlink w:anchor="_Toc232659577" w:history="1">
            <w:r w:rsidRPr="00267C86">
              <w:rPr>
                <w:rStyle w:val="Hipervnculo"/>
                <w:noProof/>
                <w:sz w:val="18"/>
                <w:szCs w:val="18"/>
              </w:rPr>
              <w:t>4.4  Entregables, participantes y tiempo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_Toc232659577 \h </w:instrText>
            </w:r>
            <w:r w:rsidRPr="00267C86">
              <w:rPr>
                <w:noProof/>
                <w:webHidden/>
                <w:sz w:val="18"/>
                <w:szCs w:val="18"/>
              </w:rPr>
            </w:r>
            <w:r w:rsidRPr="00267C86">
              <w:rPr>
                <w:noProof/>
                <w:webHidden/>
                <w:sz w:val="18"/>
                <w:szCs w:val="18"/>
              </w:rPr>
              <w:fldChar w:fldCharType="separate"/>
            </w:r>
            <w:r w:rsidRPr="00267C86">
              <w:rPr>
                <w:noProof/>
                <w:webHidden/>
                <w:sz w:val="18"/>
                <w:szCs w:val="18"/>
              </w:rPr>
              <w:t>25</w:t>
            </w:r>
            <w:r w:rsidRPr="00267C86">
              <w:rPr>
                <w:noProof/>
                <w:webHidden/>
                <w:sz w:val="18"/>
                <w:szCs w:val="18"/>
              </w:rPr>
              <w:fldChar w:fldCharType="end"/>
            </w:r>
          </w:hyperlink>
        </w:p>
        <w:p w14:paraId="71657B30" w14:textId="653D2998" w:rsidR="00D56991" w:rsidRPr="00267C86" w:rsidRDefault="00D56991">
          <w:pPr>
            <w:pStyle w:val="TDC1"/>
            <w:tabs>
              <w:tab w:val="right" w:leader="dot" w:pos="9350"/>
            </w:tabs>
            <w:rPr>
              <w:noProof/>
              <w:sz w:val="18"/>
              <w:szCs w:val="18"/>
            </w:rPr>
          </w:pPr>
          <w:hyperlink w:anchor="_Toc232659578" w:history="1">
            <w:r w:rsidRPr="00267C86">
              <w:rPr>
                <w:rStyle w:val="Hipervnculo"/>
                <w:noProof/>
                <w:sz w:val="18"/>
                <w:szCs w:val="18"/>
              </w:rPr>
              <w:t>Sección 5 — Fase 3: El Modelo Cuantitativo RADAR Cibest — Arquitectura, Outputs y Validación</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_Toc232659578 \h </w:instrText>
            </w:r>
            <w:r w:rsidRPr="00267C86">
              <w:rPr>
                <w:noProof/>
                <w:webHidden/>
                <w:sz w:val="18"/>
                <w:szCs w:val="18"/>
              </w:rPr>
            </w:r>
            <w:r w:rsidRPr="00267C86">
              <w:rPr>
                <w:noProof/>
                <w:webHidden/>
                <w:sz w:val="18"/>
                <w:szCs w:val="18"/>
              </w:rPr>
              <w:fldChar w:fldCharType="separate"/>
            </w:r>
            <w:r w:rsidRPr="00267C86">
              <w:rPr>
                <w:noProof/>
                <w:webHidden/>
                <w:sz w:val="18"/>
                <w:szCs w:val="18"/>
              </w:rPr>
              <w:t>27</w:t>
            </w:r>
            <w:r w:rsidRPr="00267C86">
              <w:rPr>
                <w:noProof/>
                <w:webHidden/>
                <w:sz w:val="18"/>
                <w:szCs w:val="18"/>
              </w:rPr>
              <w:fldChar w:fldCharType="end"/>
            </w:r>
          </w:hyperlink>
        </w:p>
        <w:p w14:paraId="5D33DD31" w14:textId="7F35FC54" w:rsidR="00D56991" w:rsidRPr="00267C86" w:rsidRDefault="00D56991">
          <w:pPr>
            <w:pStyle w:val="TDC2"/>
            <w:tabs>
              <w:tab w:val="right" w:leader="dot" w:pos="9350"/>
            </w:tabs>
            <w:rPr>
              <w:noProof/>
              <w:sz w:val="18"/>
              <w:szCs w:val="18"/>
            </w:rPr>
          </w:pPr>
          <w:hyperlink w:anchor="_Toc232659579" w:history="1">
            <w:r w:rsidRPr="00267C86">
              <w:rPr>
                <w:rStyle w:val="Hipervnculo"/>
                <w:noProof/>
                <w:sz w:val="18"/>
                <w:szCs w:val="18"/>
              </w:rPr>
              <w:t>5.1  Qué es RADAR Cibest y cuál es su rol en el proceso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_Toc232659579 \h </w:instrText>
            </w:r>
            <w:r w:rsidRPr="00267C86">
              <w:rPr>
                <w:noProof/>
                <w:webHidden/>
                <w:sz w:val="18"/>
                <w:szCs w:val="18"/>
              </w:rPr>
            </w:r>
            <w:r w:rsidRPr="00267C86">
              <w:rPr>
                <w:noProof/>
                <w:webHidden/>
                <w:sz w:val="18"/>
                <w:szCs w:val="18"/>
              </w:rPr>
              <w:fldChar w:fldCharType="separate"/>
            </w:r>
            <w:r w:rsidRPr="00267C86">
              <w:rPr>
                <w:noProof/>
                <w:webHidden/>
                <w:sz w:val="18"/>
                <w:szCs w:val="18"/>
              </w:rPr>
              <w:t>27</w:t>
            </w:r>
            <w:r w:rsidRPr="00267C86">
              <w:rPr>
                <w:noProof/>
                <w:webHidden/>
                <w:sz w:val="18"/>
                <w:szCs w:val="18"/>
              </w:rPr>
              <w:fldChar w:fldCharType="end"/>
            </w:r>
          </w:hyperlink>
        </w:p>
        <w:p w14:paraId="29B98B47" w14:textId="00B0B863" w:rsidR="00D56991" w:rsidRPr="00267C86" w:rsidRDefault="00D56991">
          <w:pPr>
            <w:pStyle w:val="TDC2"/>
            <w:tabs>
              <w:tab w:val="right" w:leader="dot" w:pos="9350"/>
            </w:tabs>
            <w:rPr>
              <w:noProof/>
              <w:sz w:val="18"/>
              <w:szCs w:val="18"/>
            </w:rPr>
          </w:pPr>
          <w:hyperlink w:anchor="_Toc232659580" w:history="1">
            <w:r w:rsidRPr="00267C86">
              <w:rPr>
                <w:rStyle w:val="Hipervnculo"/>
                <w:noProof/>
                <w:sz w:val="18"/>
                <w:szCs w:val="18"/>
              </w:rPr>
              <w:t>5.2  Arquitectura del modelo: los tres pilares del enfoque multicriteria híbrido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_Toc232659580 \h </w:instrText>
            </w:r>
            <w:r w:rsidRPr="00267C86">
              <w:rPr>
                <w:noProof/>
                <w:webHidden/>
                <w:sz w:val="18"/>
                <w:szCs w:val="18"/>
              </w:rPr>
            </w:r>
            <w:r w:rsidRPr="00267C86">
              <w:rPr>
                <w:noProof/>
                <w:webHidden/>
                <w:sz w:val="18"/>
                <w:szCs w:val="18"/>
              </w:rPr>
              <w:fldChar w:fldCharType="separate"/>
            </w:r>
            <w:r w:rsidRPr="00267C86">
              <w:rPr>
                <w:noProof/>
                <w:webHidden/>
                <w:sz w:val="18"/>
                <w:szCs w:val="18"/>
              </w:rPr>
              <w:t>28</w:t>
            </w:r>
            <w:r w:rsidRPr="00267C86">
              <w:rPr>
                <w:noProof/>
                <w:webHidden/>
                <w:sz w:val="18"/>
                <w:szCs w:val="18"/>
              </w:rPr>
              <w:fldChar w:fldCharType="end"/>
            </w:r>
          </w:hyperlink>
        </w:p>
        <w:p w14:paraId="4E20DA8A" w14:textId="55211CD1" w:rsidR="00D56991" w:rsidRPr="00267C86" w:rsidRDefault="00D56991">
          <w:pPr>
            <w:pStyle w:val="TDC3"/>
            <w:tabs>
              <w:tab w:val="right" w:leader="dot" w:pos="9350"/>
            </w:tabs>
            <w:rPr>
              <w:noProof/>
              <w:sz w:val="18"/>
              <w:szCs w:val="18"/>
            </w:rPr>
          </w:pPr>
          <w:hyperlink w:anchor="_Toc232659581" w:history="1">
            <w:r w:rsidRPr="00267C86">
              <w:rPr>
                <w:rStyle w:val="Hipervnculo"/>
                <w:noProof/>
                <w:sz w:val="18"/>
                <w:szCs w:val="18"/>
              </w:rPr>
              <w:t>Pilar 1 — Ponderación con percepción directiva: qué valora más la dirección de Cibest</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_Toc232659581 \h </w:instrText>
            </w:r>
            <w:r w:rsidRPr="00267C86">
              <w:rPr>
                <w:noProof/>
                <w:webHidden/>
                <w:sz w:val="18"/>
                <w:szCs w:val="18"/>
              </w:rPr>
            </w:r>
            <w:r w:rsidRPr="00267C86">
              <w:rPr>
                <w:noProof/>
                <w:webHidden/>
                <w:sz w:val="18"/>
                <w:szCs w:val="18"/>
              </w:rPr>
              <w:fldChar w:fldCharType="separate"/>
            </w:r>
            <w:r w:rsidRPr="00267C86">
              <w:rPr>
                <w:noProof/>
                <w:webHidden/>
                <w:sz w:val="18"/>
                <w:szCs w:val="18"/>
              </w:rPr>
              <w:t>28</w:t>
            </w:r>
            <w:r w:rsidRPr="00267C86">
              <w:rPr>
                <w:noProof/>
                <w:webHidden/>
                <w:sz w:val="18"/>
                <w:szCs w:val="18"/>
              </w:rPr>
              <w:fldChar w:fldCharType="end"/>
            </w:r>
          </w:hyperlink>
        </w:p>
        <w:p w14:paraId="5D6CBF5D" w14:textId="3857D857" w:rsidR="00D56991" w:rsidRPr="00267C86" w:rsidRDefault="00D56991">
          <w:pPr>
            <w:pStyle w:val="TDC3"/>
            <w:tabs>
              <w:tab w:val="right" w:leader="dot" w:pos="9350"/>
            </w:tabs>
            <w:rPr>
              <w:noProof/>
              <w:sz w:val="18"/>
              <w:szCs w:val="18"/>
            </w:rPr>
          </w:pPr>
          <w:hyperlink w:anchor="_Toc232659582" w:history="1">
            <w:r w:rsidRPr="00267C86">
              <w:rPr>
                <w:rStyle w:val="Hipervnculo"/>
                <w:noProof/>
                <w:sz w:val="18"/>
                <w:szCs w:val="18"/>
              </w:rPr>
              <w:t>Pilar 2 — Ranking cuantitativo: cómo los datos objetivos posicionan a cada mercado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_Toc232659582 \h </w:instrText>
            </w:r>
            <w:r w:rsidRPr="00267C86">
              <w:rPr>
                <w:noProof/>
                <w:webHidden/>
                <w:sz w:val="18"/>
                <w:szCs w:val="18"/>
              </w:rPr>
            </w:r>
            <w:r w:rsidRPr="00267C86">
              <w:rPr>
                <w:noProof/>
                <w:webHidden/>
                <w:sz w:val="18"/>
                <w:szCs w:val="18"/>
              </w:rPr>
              <w:fldChar w:fldCharType="separate"/>
            </w:r>
            <w:r w:rsidRPr="00267C86">
              <w:rPr>
                <w:noProof/>
                <w:webHidden/>
                <w:sz w:val="18"/>
                <w:szCs w:val="18"/>
              </w:rPr>
              <w:t>29</w:t>
            </w:r>
            <w:r w:rsidRPr="00267C86">
              <w:rPr>
                <w:noProof/>
                <w:webHidden/>
                <w:sz w:val="18"/>
                <w:szCs w:val="18"/>
              </w:rPr>
              <w:fldChar w:fldCharType="end"/>
            </w:r>
          </w:hyperlink>
        </w:p>
        <w:p w14:paraId="2FF64DD2" w14:textId="07499CE3" w:rsidR="00D56991" w:rsidRPr="00267C86" w:rsidRDefault="00D56991">
          <w:pPr>
            <w:pStyle w:val="TDC3"/>
            <w:tabs>
              <w:tab w:val="right" w:leader="dot" w:pos="9350"/>
            </w:tabs>
            <w:rPr>
              <w:noProof/>
              <w:sz w:val="18"/>
              <w:szCs w:val="18"/>
            </w:rPr>
          </w:pPr>
          <w:hyperlink w:anchor="_Toc232659583" w:history="1">
            <w:r w:rsidRPr="00267C86">
              <w:rPr>
                <w:rStyle w:val="Hipervnculo"/>
                <w:noProof/>
                <w:sz w:val="18"/>
                <w:szCs w:val="18"/>
              </w:rPr>
              <w:t>Pilar 3 — Proximidad con Colombia: el factor gravitacional del modelo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_Toc232659583 \h </w:instrText>
            </w:r>
            <w:r w:rsidRPr="00267C86">
              <w:rPr>
                <w:noProof/>
                <w:webHidden/>
                <w:sz w:val="18"/>
                <w:szCs w:val="18"/>
              </w:rPr>
            </w:r>
            <w:r w:rsidRPr="00267C86">
              <w:rPr>
                <w:noProof/>
                <w:webHidden/>
                <w:sz w:val="18"/>
                <w:szCs w:val="18"/>
              </w:rPr>
              <w:fldChar w:fldCharType="separate"/>
            </w:r>
            <w:r w:rsidRPr="00267C86">
              <w:rPr>
                <w:noProof/>
                <w:webHidden/>
                <w:sz w:val="18"/>
                <w:szCs w:val="18"/>
              </w:rPr>
              <w:t>29</w:t>
            </w:r>
            <w:r w:rsidRPr="00267C86">
              <w:rPr>
                <w:noProof/>
                <w:webHidden/>
                <w:sz w:val="18"/>
                <w:szCs w:val="18"/>
              </w:rPr>
              <w:fldChar w:fldCharType="end"/>
            </w:r>
          </w:hyperlink>
        </w:p>
        <w:p w14:paraId="17142E82" w14:textId="608717FF" w:rsidR="00D56991" w:rsidRPr="00267C86" w:rsidRDefault="00D56991">
          <w:pPr>
            <w:pStyle w:val="TDC3"/>
            <w:tabs>
              <w:tab w:val="right" w:leader="dot" w:pos="9350"/>
            </w:tabs>
            <w:rPr>
              <w:noProof/>
              <w:sz w:val="18"/>
              <w:szCs w:val="18"/>
            </w:rPr>
          </w:pPr>
          <w:hyperlink w:anchor="_Toc232659584" w:history="1">
            <w:r w:rsidRPr="00267C86">
              <w:rPr>
                <w:rStyle w:val="Hipervnculo"/>
                <w:noProof/>
                <w:sz w:val="18"/>
                <w:szCs w:val="18"/>
              </w:rPr>
              <w:t>Integración de los tres pilares: el score RADAR Cibest</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_Toc232659584 \h </w:instrText>
            </w:r>
            <w:r w:rsidRPr="00267C86">
              <w:rPr>
                <w:noProof/>
                <w:webHidden/>
                <w:sz w:val="18"/>
                <w:szCs w:val="18"/>
              </w:rPr>
            </w:r>
            <w:r w:rsidRPr="00267C86">
              <w:rPr>
                <w:noProof/>
                <w:webHidden/>
                <w:sz w:val="18"/>
                <w:szCs w:val="18"/>
              </w:rPr>
              <w:fldChar w:fldCharType="separate"/>
            </w:r>
            <w:r w:rsidRPr="00267C86">
              <w:rPr>
                <w:noProof/>
                <w:webHidden/>
                <w:sz w:val="18"/>
                <w:szCs w:val="18"/>
              </w:rPr>
              <w:t>30</w:t>
            </w:r>
            <w:r w:rsidRPr="00267C86">
              <w:rPr>
                <w:noProof/>
                <w:webHidden/>
                <w:sz w:val="18"/>
                <w:szCs w:val="18"/>
              </w:rPr>
              <w:fldChar w:fldCharType="end"/>
            </w:r>
          </w:hyperlink>
        </w:p>
        <w:p w14:paraId="7C48F40F" w14:textId="4114ED9D" w:rsidR="00D56991" w:rsidRPr="00267C86" w:rsidRDefault="00D56991">
          <w:pPr>
            <w:pStyle w:val="TDC2"/>
            <w:tabs>
              <w:tab w:val="right" w:leader="dot" w:pos="9350"/>
            </w:tabs>
            <w:rPr>
              <w:noProof/>
              <w:sz w:val="18"/>
              <w:szCs w:val="18"/>
            </w:rPr>
          </w:pPr>
          <w:hyperlink w:anchor="_Toc232659585" w:history="1">
            <w:r w:rsidRPr="00267C86">
              <w:rPr>
                <w:rStyle w:val="Hipervnculo"/>
                <w:noProof/>
                <w:sz w:val="18"/>
                <w:szCs w:val="18"/>
              </w:rPr>
              <w:t>5.3  El diccionario de variables: treinta y cinco indicadores en cinco dimensiones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_Toc232659585 \h </w:instrText>
            </w:r>
            <w:r w:rsidRPr="00267C86">
              <w:rPr>
                <w:noProof/>
                <w:webHidden/>
                <w:sz w:val="18"/>
                <w:szCs w:val="18"/>
              </w:rPr>
            </w:r>
            <w:r w:rsidRPr="00267C86">
              <w:rPr>
                <w:noProof/>
                <w:webHidden/>
                <w:sz w:val="18"/>
                <w:szCs w:val="18"/>
              </w:rPr>
              <w:fldChar w:fldCharType="separate"/>
            </w:r>
            <w:r w:rsidRPr="00267C86">
              <w:rPr>
                <w:noProof/>
                <w:webHidden/>
                <w:sz w:val="18"/>
                <w:szCs w:val="18"/>
              </w:rPr>
              <w:t>31</w:t>
            </w:r>
            <w:r w:rsidRPr="00267C86">
              <w:rPr>
                <w:noProof/>
                <w:webHidden/>
                <w:sz w:val="18"/>
                <w:szCs w:val="18"/>
              </w:rPr>
              <w:fldChar w:fldCharType="end"/>
            </w:r>
          </w:hyperlink>
        </w:p>
        <w:p w14:paraId="15C7E48E" w14:textId="3A6036D4" w:rsidR="00D56991" w:rsidRPr="00267C86" w:rsidRDefault="00D56991">
          <w:pPr>
            <w:pStyle w:val="TDC2"/>
            <w:tabs>
              <w:tab w:val="right" w:leader="dot" w:pos="9350"/>
            </w:tabs>
            <w:rPr>
              <w:noProof/>
              <w:sz w:val="18"/>
              <w:szCs w:val="18"/>
            </w:rPr>
          </w:pPr>
          <w:hyperlink w:anchor="_Toc232659586" w:history="1">
            <w:r w:rsidRPr="00267C86">
              <w:rPr>
                <w:rStyle w:val="Hipervnculo"/>
                <w:noProof/>
                <w:sz w:val="18"/>
                <w:szCs w:val="18"/>
              </w:rPr>
              <w:t>5.4  La codificación A/B de relevancia: cómo el modelo diferencia señales por línea de negocio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_Toc232659586 \h </w:instrText>
            </w:r>
            <w:r w:rsidRPr="00267C86">
              <w:rPr>
                <w:noProof/>
                <w:webHidden/>
                <w:sz w:val="18"/>
                <w:szCs w:val="18"/>
              </w:rPr>
            </w:r>
            <w:r w:rsidRPr="00267C86">
              <w:rPr>
                <w:noProof/>
                <w:webHidden/>
                <w:sz w:val="18"/>
                <w:szCs w:val="18"/>
              </w:rPr>
              <w:fldChar w:fldCharType="separate"/>
            </w:r>
            <w:r w:rsidRPr="00267C86">
              <w:rPr>
                <w:noProof/>
                <w:webHidden/>
                <w:sz w:val="18"/>
                <w:szCs w:val="18"/>
              </w:rPr>
              <w:t>35</w:t>
            </w:r>
            <w:r w:rsidRPr="00267C86">
              <w:rPr>
                <w:noProof/>
                <w:webHidden/>
                <w:sz w:val="18"/>
                <w:szCs w:val="18"/>
              </w:rPr>
              <w:fldChar w:fldCharType="end"/>
            </w:r>
          </w:hyperlink>
        </w:p>
        <w:p w14:paraId="3097CDDD" w14:textId="3EB00CB8" w:rsidR="00D56991" w:rsidRPr="00267C86" w:rsidRDefault="00D56991">
          <w:pPr>
            <w:pStyle w:val="TDC2"/>
            <w:tabs>
              <w:tab w:val="right" w:leader="dot" w:pos="9350"/>
            </w:tabs>
            <w:rPr>
              <w:noProof/>
              <w:sz w:val="18"/>
              <w:szCs w:val="18"/>
            </w:rPr>
          </w:pPr>
          <w:hyperlink w:anchor="_Toc232659587" w:history="1">
            <w:r w:rsidRPr="00267C86">
              <w:rPr>
                <w:rStyle w:val="Hipervnculo"/>
                <w:noProof/>
                <w:sz w:val="18"/>
                <w:szCs w:val="18"/>
              </w:rPr>
              <w:t>5.5  Qué entrega RADAR Cibest: los cuatro tipos de output</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_Toc232659587 \h </w:instrText>
            </w:r>
            <w:r w:rsidRPr="00267C86">
              <w:rPr>
                <w:noProof/>
                <w:webHidden/>
                <w:sz w:val="18"/>
                <w:szCs w:val="18"/>
              </w:rPr>
            </w:r>
            <w:r w:rsidRPr="00267C86">
              <w:rPr>
                <w:noProof/>
                <w:webHidden/>
                <w:sz w:val="18"/>
                <w:szCs w:val="18"/>
              </w:rPr>
              <w:fldChar w:fldCharType="separate"/>
            </w:r>
            <w:r w:rsidRPr="00267C86">
              <w:rPr>
                <w:noProof/>
                <w:webHidden/>
                <w:sz w:val="18"/>
                <w:szCs w:val="18"/>
              </w:rPr>
              <w:t>36</w:t>
            </w:r>
            <w:r w:rsidRPr="00267C86">
              <w:rPr>
                <w:noProof/>
                <w:webHidden/>
                <w:sz w:val="18"/>
                <w:szCs w:val="18"/>
              </w:rPr>
              <w:fldChar w:fldCharType="end"/>
            </w:r>
          </w:hyperlink>
        </w:p>
        <w:p w14:paraId="4AC16C8E" w14:textId="1AF715A6" w:rsidR="00D56991" w:rsidRPr="00267C86" w:rsidRDefault="00D56991">
          <w:pPr>
            <w:pStyle w:val="TDC3"/>
            <w:tabs>
              <w:tab w:val="right" w:leader="dot" w:pos="9350"/>
            </w:tabs>
            <w:rPr>
              <w:noProof/>
              <w:sz w:val="18"/>
              <w:szCs w:val="18"/>
            </w:rPr>
          </w:pPr>
          <w:hyperlink w:anchor="_Toc232659588" w:history="1">
            <w:r w:rsidRPr="00267C86">
              <w:rPr>
                <w:rStyle w:val="Hipervnculo"/>
                <w:noProof/>
                <w:sz w:val="18"/>
                <w:szCs w:val="18"/>
              </w:rPr>
              <w:t>Output 1 — El ranking general de atractivo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_Toc232659588 \h </w:instrText>
            </w:r>
            <w:r w:rsidRPr="00267C86">
              <w:rPr>
                <w:noProof/>
                <w:webHidden/>
                <w:sz w:val="18"/>
                <w:szCs w:val="18"/>
              </w:rPr>
            </w:r>
            <w:r w:rsidRPr="00267C86">
              <w:rPr>
                <w:noProof/>
                <w:webHidden/>
                <w:sz w:val="18"/>
                <w:szCs w:val="18"/>
              </w:rPr>
              <w:fldChar w:fldCharType="separate"/>
            </w:r>
            <w:r w:rsidRPr="00267C86">
              <w:rPr>
                <w:noProof/>
                <w:webHidden/>
                <w:sz w:val="18"/>
                <w:szCs w:val="18"/>
              </w:rPr>
              <w:t>36</w:t>
            </w:r>
            <w:r w:rsidRPr="00267C86">
              <w:rPr>
                <w:noProof/>
                <w:webHidden/>
                <w:sz w:val="18"/>
                <w:szCs w:val="18"/>
              </w:rPr>
              <w:fldChar w:fldCharType="end"/>
            </w:r>
          </w:hyperlink>
        </w:p>
        <w:p w14:paraId="796E522F" w14:textId="505FA016" w:rsidR="00D56991" w:rsidRPr="00267C86" w:rsidRDefault="00D56991">
          <w:pPr>
            <w:pStyle w:val="TDC3"/>
            <w:tabs>
              <w:tab w:val="right" w:leader="dot" w:pos="9350"/>
            </w:tabs>
            <w:rPr>
              <w:noProof/>
              <w:sz w:val="18"/>
              <w:szCs w:val="18"/>
            </w:rPr>
          </w:pPr>
          <w:hyperlink w:anchor="_Toc232659589" w:history="1">
            <w:r w:rsidRPr="00267C86">
              <w:rPr>
                <w:rStyle w:val="Hipervnculo"/>
                <w:noProof/>
                <w:sz w:val="18"/>
                <w:szCs w:val="18"/>
              </w:rPr>
              <w:t>Output 2 — El perfil de fortalezas y debilidades por dimensión</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_Toc232659589 \h </w:instrText>
            </w:r>
            <w:r w:rsidRPr="00267C86">
              <w:rPr>
                <w:noProof/>
                <w:webHidden/>
                <w:sz w:val="18"/>
                <w:szCs w:val="18"/>
              </w:rPr>
            </w:r>
            <w:r w:rsidRPr="00267C86">
              <w:rPr>
                <w:noProof/>
                <w:webHidden/>
                <w:sz w:val="18"/>
                <w:szCs w:val="18"/>
              </w:rPr>
              <w:fldChar w:fldCharType="separate"/>
            </w:r>
            <w:r w:rsidRPr="00267C86">
              <w:rPr>
                <w:noProof/>
                <w:webHidden/>
                <w:sz w:val="18"/>
                <w:szCs w:val="18"/>
              </w:rPr>
              <w:t>36</w:t>
            </w:r>
            <w:r w:rsidRPr="00267C86">
              <w:rPr>
                <w:noProof/>
                <w:webHidden/>
                <w:sz w:val="18"/>
                <w:szCs w:val="18"/>
              </w:rPr>
              <w:fldChar w:fldCharType="end"/>
            </w:r>
          </w:hyperlink>
        </w:p>
        <w:p w14:paraId="1853C3AC" w14:textId="68ABBA56" w:rsidR="00D56991" w:rsidRPr="00267C86" w:rsidRDefault="00D56991">
          <w:pPr>
            <w:pStyle w:val="TDC3"/>
            <w:tabs>
              <w:tab w:val="right" w:leader="dot" w:pos="9350"/>
            </w:tabs>
            <w:rPr>
              <w:noProof/>
              <w:sz w:val="18"/>
              <w:szCs w:val="18"/>
            </w:rPr>
          </w:pPr>
          <w:hyperlink w:anchor="_Toc232659590" w:history="1">
            <w:r w:rsidRPr="00267C86">
              <w:rPr>
                <w:rStyle w:val="Hipervnculo"/>
                <w:noProof/>
                <w:sz w:val="18"/>
                <w:szCs w:val="18"/>
              </w:rPr>
              <w:t>Output 3 — Las señales diferenciadas por línea de negocio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_Toc232659590 \h </w:instrText>
            </w:r>
            <w:r w:rsidRPr="00267C86">
              <w:rPr>
                <w:noProof/>
                <w:webHidden/>
                <w:sz w:val="18"/>
                <w:szCs w:val="18"/>
              </w:rPr>
            </w:r>
            <w:r w:rsidRPr="00267C86">
              <w:rPr>
                <w:noProof/>
                <w:webHidden/>
                <w:sz w:val="18"/>
                <w:szCs w:val="18"/>
              </w:rPr>
              <w:fldChar w:fldCharType="separate"/>
            </w:r>
            <w:r w:rsidRPr="00267C86">
              <w:rPr>
                <w:noProof/>
                <w:webHidden/>
                <w:sz w:val="18"/>
                <w:szCs w:val="18"/>
              </w:rPr>
              <w:t>37</w:t>
            </w:r>
            <w:r w:rsidRPr="00267C86">
              <w:rPr>
                <w:noProof/>
                <w:webHidden/>
                <w:sz w:val="18"/>
                <w:szCs w:val="18"/>
              </w:rPr>
              <w:fldChar w:fldCharType="end"/>
            </w:r>
          </w:hyperlink>
        </w:p>
        <w:p w14:paraId="608654DB" w14:textId="03BE1D5F" w:rsidR="00D56991" w:rsidRPr="00267C86" w:rsidRDefault="00D56991">
          <w:pPr>
            <w:pStyle w:val="TDC3"/>
            <w:tabs>
              <w:tab w:val="right" w:leader="dot" w:pos="9350"/>
            </w:tabs>
            <w:rPr>
              <w:noProof/>
              <w:sz w:val="18"/>
              <w:szCs w:val="18"/>
            </w:rPr>
          </w:pPr>
          <w:hyperlink w:anchor="_Toc232659591" w:history="1">
            <w:r w:rsidRPr="00267C86">
              <w:rPr>
                <w:rStyle w:val="Hipervnculo"/>
                <w:noProof/>
                <w:sz w:val="18"/>
                <w:szCs w:val="18"/>
              </w:rPr>
              <w:t>Output 4 — La clasificación del motor de reglas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_Toc232659591 \h </w:instrText>
            </w:r>
            <w:r w:rsidRPr="00267C86">
              <w:rPr>
                <w:noProof/>
                <w:webHidden/>
                <w:sz w:val="18"/>
                <w:szCs w:val="18"/>
              </w:rPr>
            </w:r>
            <w:r w:rsidRPr="00267C86">
              <w:rPr>
                <w:noProof/>
                <w:webHidden/>
                <w:sz w:val="18"/>
                <w:szCs w:val="18"/>
              </w:rPr>
              <w:fldChar w:fldCharType="separate"/>
            </w:r>
            <w:r w:rsidRPr="00267C86">
              <w:rPr>
                <w:noProof/>
                <w:webHidden/>
                <w:sz w:val="18"/>
                <w:szCs w:val="18"/>
              </w:rPr>
              <w:t>37</w:t>
            </w:r>
            <w:r w:rsidRPr="00267C86">
              <w:rPr>
                <w:noProof/>
                <w:webHidden/>
                <w:sz w:val="18"/>
                <w:szCs w:val="18"/>
              </w:rPr>
              <w:fldChar w:fldCharType="end"/>
            </w:r>
          </w:hyperlink>
        </w:p>
        <w:p w14:paraId="1C723851" w14:textId="638D8349" w:rsidR="00D56991" w:rsidRPr="00267C86" w:rsidRDefault="00D56991">
          <w:pPr>
            <w:pStyle w:val="TDC2"/>
            <w:tabs>
              <w:tab w:val="right" w:leader="dot" w:pos="9350"/>
            </w:tabs>
            <w:rPr>
              <w:noProof/>
              <w:sz w:val="18"/>
              <w:szCs w:val="18"/>
            </w:rPr>
          </w:pPr>
          <w:hyperlink w:anchor="_Toc232659592" w:history="1">
            <w:r w:rsidRPr="00267C86">
              <w:rPr>
                <w:rStyle w:val="Hipervnculo"/>
                <w:noProof/>
                <w:sz w:val="18"/>
                <w:szCs w:val="18"/>
              </w:rPr>
              <w:t>5.6  Cómo RADAR Cibest alimenta las fases siguientes del proceso SIM</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_Toc232659592 \h </w:instrText>
            </w:r>
            <w:r w:rsidRPr="00267C86">
              <w:rPr>
                <w:noProof/>
                <w:webHidden/>
                <w:sz w:val="18"/>
                <w:szCs w:val="18"/>
              </w:rPr>
            </w:r>
            <w:r w:rsidRPr="00267C86">
              <w:rPr>
                <w:noProof/>
                <w:webHidden/>
                <w:sz w:val="18"/>
                <w:szCs w:val="18"/>
              </w:rPr>
              <w:fldChar w:fldCharType="separate"/>
            </w:r>
            <w:r w:rsidRPr="00267C86">
              <w:rPr>
                <w:noProof/>
                <w:webHidden/>
                <w:sz w:val="18"/>
                <w:szCs w:val="18"/>
              </w:rPr>
              <w:t>37</w:t>
            </w:r>
            <w:r w:rsidRPr="00267C86">
              <w:rPr>
                <w:noProof/>
                <w:webHidden/>
                <w:sz w:val="18"/>
                <w:szCs w:val="18"/>
              </w:rPr>
              <w:fldChar w:fldCharType="end"/>
            </w:r>
          </w:hyperlink>
        </w:p>
        <w:p w14:paraId="64E73E56" w14:textId="5E28BA17" w:rsidR="00D56991" w:rsidRPr="00267C86" w:rsidRDefault="00D56991">
          <w:pPr>
            <w:pStyle w:val="TDC2"/>
            <w:tabs>
              <w:tab w:val="right" w:leader="dot" w:pos="9350"/>
            </w:tabs>
            <w:rPr>
              <w:noProof/>
              <w:sz w:val="18"/>
              <w:szCs w:val="18"/>
            </w:rPr>
          </w:pPr>
          <w:hyperlink w:anchor="_Toc232659593" w:history="1">
            <w:r w:rsidRPr="00267C86">
              <w:rPr>
                <w:rStyle w:val="Hipervnculo"/>
                <w:noProof/>
                <w:sz w:val="18"/>
                <w:szCs w:val="18"/>
              </w:rPr>
              <w:t>5.7  Cómo evaluar si el modelo es correcto: los cinco criterios de validación</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_Toc232659593 \h </w:instrText>
            </w:r>
            <w:r w:rsidRPr="00267C86">
              <w:rPr>
                <w:noProof/>
                <w:webHidden/>
                <w:sz w:val="18"/>
                <w:szCs w:val="18"/>
              </w:rPr>
            </w:r>
            <w:r w:rsidRPr="00267C86">
              <w:rPr>
                <w:noProof/>
                <w:webHidden/>
                <w:sz w:val="18"/>
                <w:szCs w:val="18"/>
              </w:rPr>
              <w:fldChar w:fldCharType="separate"/>
            </w:r>
            <w:r w:rsidRPr="00267C86">
              <w:rPr>
                <w:noProof/>
                <w:webHidden/>
                <w:sz w:val="18"/>
                <w:szCs w:val="18"/>
              </w:rPr>
              <w:t>38</w:t>
            </w:r>
            <w:r w:rsidRPr="00267C86">
              <w:rPr>
                <w:noProof/>
                <w:webHidden/>
                <w:sz w:val="18"/>
                <w:szCs w:val="18"/>
              </w:rPr>
              <w:fldChar w:fldCharType="end"/>
            </w:r>
          </w:hyperlink>
        </w:p>
        <w:p w14:paraId="164F4AF4" w14:textId="20F5B171" w:rsidR="00D56991" w:rsidRPr="00267C86" w:rsidRDefault="00D56991">
          <w:pPr>
            <w:pStyle w:val="TDC2"/>
            <w:tabs>
              <w:tab w:val="right" w:leader="dot" w:pos="9350"/>
            </w:tabs>
            <w:rPr>
              <w:noProof/>
              <w:sz w:val="18"/>
              <w:szCs w:val="18"/>
            </w:rPr>
          </w:pPr>
          <w:hyperlink w:anchor="_Toc232659594" w:history="1">
            <w:r w:rsidRPr="00267C86">
              <w:rPr>
                <w:rStyle w:val="Hipervnculo"/>
                <w:noProof/>
                <w:sz w:val="18"/>
                <w:szCs w:val="18"/>
              </w:rPr>
              <w:t>5.8  Entregables, participantes y tiempo de la Fase 3</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_Toc232659594 \h </w:instrText>
            </w:r>
            <w:r w:rsidRPr="00267C86">
              <w:rPr>
                <w:noProof/>
                <w:webHidden/>
                <w:sz w:val="18"/>
                <w:szCs w:val="18"/>
              </w:rPr>
            </w:r>
            <w:r w:rsidRPr="00267C86">
              <w:rPr>
                <w:noProof/>
                <w:webHidden/>
                <w:sz w:val="18"/>
                <w:szCs w:val="18"/>
              </w:rPr>
              <w:fldChar w:fldCharType="separate"/>
            </w:r>
            <w:r w:rsidRPr="00267C86">
              <w:rPr>
                <w:noProof/>
                <w:webHidden/>
                <w:sz w:val="18"/>
                <w:szCs w:val="18"/>
              </w:rPr>
              <w:t>39</w:t>
            </w:r>
            <w:r w:rsidRPr="00267C86">
              <w:rPr>
                <w:noProof/>
                <w:webHidden/>
                <w:sz w:val="18"/>
                <w:szCs w:val="18"/>
              </w:rPr>
              <w:fldChar w:fldCharType="end"/>
            </w:r>
          </w:hyperlink>
        </w:p>
        <w:p w14:paraId="7AFB20B8" w14:textId="30744979" w:rsidR="00D56991" w:rsidRPr="00267C86" w:rsidRDefault="00D56991">
          <w:pPr>
            <w:pStyle w:val="TDC1"/>
            <w:tabs>
              <w:tab w:val="right" w:leader="dot" w:pos="9350"/>
            </w:tabs>
            <w:rPr>
              <w:noProof/>
              <w:sz w:val="18"/>
              <w:szCs w:val="18"/>
            </w:rPr>
          </w:pPr>
          <w:hyperlink w:anchor="_Toc232659595" w:history="1">
            <w:r w:rsidRPr="00267C86">
              <w:rPr>
                <w:rStyle w:val="Hipervnculo"/>
                <w:noProof/>
                <w:sz w:val="18"/>
                <w:szCs w:val="18"/>
              </w:rPr>
              <w:t>Sección 6 — Fase 4: Inteligencia Estratégica Cualitativa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_Toc232659595 \h </w:instrText>
            </w:r>
            <w:r w:rsidRPr="00267C86">
              <w:rPr>
                <w:noProof/>
                <w:webHidden/>
                <w:sz w:val="18"/>
                <w:szCs w:val="18"/>
              </w:rPr>
            </w:r>
            <w:r w:rsidRPr="00267C86">
              <w:rPr>
                <w:noProof/>
                <w:webHidden/>
                <w:sz w:val="18"/>
                <w:szCs w:val="18"/>
              </w:rPr>
              <w:fldChar w:fldCharType="separate"/>
            </w:r>
            <w:r w:rsidRPr="00267C86">
              <w:rPr>
                <w:noProof/>
                <w:webHidden/>
                <w:sz w:val="18"/>
                <w:szCs w:val="18"/>
              </w:rPr>
              <w:t>41</w:t>
            </w:r>
            <w:r w:rsidRPr="00267C86">
              <w:rPr>
                <w:noProof/>
                <w:webHidden/>
                <w:sz w:val="18"/>
                <w:szCs w:val="18"/>
              </w:rPr>
              <w:fldChar w:fldCharType="end"/>
            </w:r>
          </w:hyperlink>
        </w:p>
        <w:p w14:paraId="0F2327E3" w14:textId="6812441C" w:rsidR="00D56991" w:rsidRPr="00267C86" w:rsidRDefault="00D56991">
          <w:pPr>
            <w:pStyle w:val="TDC2"/>
            <w:tabs>
              <w:tab w:val="right" w:leader="dot" w:pos="9350"/>
            </w:tabs>
            <w:rPr>
              <w:noProof/>
              <w:sz w:val="18"/>
              <w:szCs w:val="18"/>
            </w:rPr>
          </w:pPr>
          <w:hyperlink w:anchor="_Toc232659596" w:history="1">
            <w:r w:rsidRPr="00267C86">
              <w:rPr>
                <w:rStyle w:val="Hipervnculo"/>
                <w:noProof/>
                <w:sz w:val="18"/>
                <w:szCs w:val="18"/>
              </w:rPr>
              <w:t>6.1  Por qué el modelo cuantitativo no es suficiente</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_Toc232659596 \h </w:instrText>
            </w:r>
            <w:r w:rsidRPr="00267C86">
              <w:rPr>
                <w:noProof/>
                <w:webHidden/>
                <w:sz w:val="18"/>
                <w:szCs w:val="18"/>
              </w:rPr>
            </w:r>
            <w:r w:rsidRPr="00267C86">
              <w:rPr>
                <w:noProof/>
                <w:webHidden/>
                <w:sz w:val="18"/>
                <w:szCs w:val="18"/>
              </w:rPr>
              <w:fldChar w:fldCharType="separate"/>
            </w:r>
            <w:r w:rsidRPr="00267C86">
              <w:rPr>
                <w:noProof/>
                <w:webHidden/>
                <w:sz w:val="18"/>
                <w:szCs w:val="18"/>
              </w:rPr>
              <w:t>41</w:t>
            </w:r>
            <w:r w:rsidRPr="00267C86">
              <w:rPr>
                <w:noProof/>
                <w:webHidden/>
                <w:sz w:val="18"/>
                <w:szCs w:val="18"/>
              </w:rPr>
              <w:fldChar w:fldCharType="end"/>
            </w:r>
          </w:hyperlink>
        </w:p>
        <w:p w14:paraId="52BDD873" w14:textId="6B6BCCE4" w:rsidR="00D56991" w:rsidRPr="00267C86" w:rsidRDefault="00D56991">
          <w:pPr>
            <w:pStyle w:val="TDC2"/>
            <w:tabs>
              <w:tab w:val="right" w:leader="dot" w:pos="9350"/>
            </w:tabs>
            <w:rPr>
              <w:noProof/>
              <w:sz w:val="18"/>
              <w:szCs w:val="18"/>
            </w:rPr>
          </w:pPr>
          <w:hyperlink w:anchor="_Toc232659597" w:history="1">
            <w:r w:rsidRPr="00267C86">
              <w:rPr>
                <w:rStyle w:val="Hipervnculo"/>
                <w:noProof/>
                <w:sz w:val="18"/>
                <w:szCs w:val="18"/>
              </w:rPr>
              <w:t>6.2  Los cuatro bloques de inteligencia cualitativa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_Toc232659597 \h </w:instrText>
            </w:r>
            <w:r w:rsidRPr="00267C86">
              <w:rPr>
                <w:noProof/>
                <w:webHidden/>
                <w:sz w:val="18"/>
                <w:szCs w:val="18"/>
              </w:rPr>
            </w:r>
            <w:r w:rsidRPr="00267C86">
              <w:rPr>
                <w:noProof/>
                <w:webHidden/>
                <w:sz w:val="18"/>
                <w:szCs w:val="18"/>
              </w:rPr>
              <w:fldChar w:fldCharType="separate"/>
            </w:r>
            <w:r w:rsidRPr="00267C86">
              <w:rPr>
                <w:noProof/>
                <w:webHidden/>
                <w:sz w:val="18"/>
                <w:szCs w:val="18"/>
              </w:rPr>
              <w:t>42</w:t>
            </w:r>
            <w:r w:rsidRPr="00267C86">
              <w:rPr>
                <w:noProof/>
                <w:webHidden/>
                <w:sz w:val="18"/>
                <w:szCs w:val="18"/>
              </w:rPr>
              <w:fldChar w:fldCharType="end"/>
            </w:r>
          </w:hyperlink>
        </w:p>
        <w:p w14:paraId="58259B54" w14:textId="1A6AAB55" w:rsidR="00D56991" w:rsidRPr="00267C86" w:rsidRDefault="00D56991">
          <w:pPr>
            <w:pStyle w:val="TDC3"/>
            <w:tabs>
              <w:tab w:val="right" w:leader="dot" w:pos="9350"/>
            </w:tabs>
            <w:rPr>
              <w:noProof/>
              <w:sz w:val="18"/>
              <w:szCs w:val="18"/>
            </w:rPr>
          </w:pPr>
          <w:hyperlink w:anchor="_Toc232659598" w:history="1">
            <w:r w:rsidRPr="00267C86">
              <w:rPr>
                <w:rStyle w:val="Hipervnculo"/>
                <w:noProof/>
                <w:sz w:val="18"/>
                <w:szCs w:val="18"/>
              </w:rPr>
              <w:t>Bloque 1 — Inteligencia de ecosistema regulatorio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_Toc232659598 \h </w:instrText>
            </w:r>
            <w:r w:rsidRPr="00267C86">
              <w:rPr>
                <w:noProof/>
                <w:webHidden/>
                <w:sz w:val="18"/>
                <w:szCs w:val="18"/>
              </w:rPr>
            </w:r>
            <w:r w:rsidRPr="00267C86">
              <w:rPr>
                <w:noProof/>
                <w:webHidden/>
                <w:sz w:val="18"/>
                <w:szCs w:val="18"/>
              </w:rPr>
              <w:fldChar w:fldCharType="separate"/>
            </w:r>
            <w:r w:rsidRPr="00267C86">
              <w:rPr>
                <w:noProof/>
                <w:webHidden/>
                <w:sz w:val="18"/>
                <w:szCs w:val="18"/>
              </w:rPr>
              <w:t>42</w:t>
            </w:r>
            <w:r w:rsidRPr="00267C86">
              <w:rPr>
                <w:noProof/>
                <w:webHidden/>
                <w:sz w:val="18"/>
                <w:szCs w:val="18"/>
              </w:rPr>
              <w:fldChar w:fldCharType="end"/>
            </w:r>
          </w:hyperlink>
        </w:p>
        <w:p w14:paraId="35C4C068" w14:textId="4DE03D41" w:rsidR="00D56991" w:rsidRPr="00267C86" w:rsidRDefault="00D56991">
          <w:pPr>
            <w:pStyle w:val="TDC3"/>
            <w:tabs>
              <w:tab w:val="right" w:leader="dot" w:pos="9350"/>
            </w:tabs>
            <w:rPr>
              <w:noProof/>
              <w:sz w:val="18"/>
              <w:szCs w:val="18"/>
            </w:rPr>
          </w:pPr>
          <w:hyperlink w:anchor="_Toc232659599" w:history="1">
            <w:r w:rsidRPr="00267C86">
              <w:rPr>
                <w:rStyle w:val="Hipervnculo"/>
                <w:noProof/>
                <w:sz w:val="18"/>
                <w:szCs w:val="18"/>
              </w:rPr>
              <w:t>Bloque 2 — Inteligencia competitiva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_Toc232659599 \h </w:instrText>
            </w:r>
            <w:r w:rsidRPr="00267C86">
              <w:rPr>
                <w:noProof/>
                <w:webHidden/>
                <w:sz w:val="18"/>
                <w:szCs w:val="18"/>
              </w:rPr>
            </w:r>
            <w:r w:rsidRPr="00267C86">
              <w:rPr>
                <w:noProof/>
                <w:webHidden/>
                <w:sz w:val="18"/>
                <w:szCs w:val="18"/>
              </w:rPr>
              <w:fldChar w:fldCharType="separate"/>
            </w:r>
            <w:r w:rsidRPr="00267C86">
              <w:rPr>
                <w:noProof/>
                <w:webHidden/>
                <w:sz w:val="18"/>
                <w:szCs w:val="18"/>
              </w:rPr>
              <w:t>43</w:t>
            </w:r>
            <w:r w:rsidRPr="00267C86">
              <w:rPr>
                <w:noProof/>
                <w:webHidden/>
                <w:sz w:val="18"/>
                <w:szCs w:val="18"/>
              </w:rPr>
              <w:fldChar w:fldCharType="end"/>
            </w:r>
          </w:hyperlink>
        </w:p>
        <w:p w14:paraId="581615EB" w14:textId="037C80CE" w:rsidR="00D56991" w:rsidRPr="00267C86" w:rsidRDefault="00D56991">
          <w:pPr>
            <w:pStyle w:val="TDC3"/>
            <w:tabs>
              <w:tab w:val="right" w:leader="dot" w:pos="9350"/>
            </w:tabs>
            <w:rPr>
              <w:noProof/>
              <w:sz w:val="18"/>
              <w:szCs w:val="18"/>
            </w:rPr>
          </w:pPr>
          <w:hyperlink w:anchor="_Toc232659600" w:history="1">
            <w:r w:rsidRPr="00267C86">
              <w:rPr>
                <w:rStyle w:val="Hipervnculo"/>
                <w:noProof/>
                <w:sz w:val="18"/>
                <w:szCs w:val="18"/>
              </w:rPr>
              <w:t>Bloque 3 — Inteligencia de cliente y demanda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_Toc232659600 \h </w:instrText>
            </w:r>
            <w:r w:rsidRPr="00267C86">
              <w:rPr>
                <w:noProof/>
                <w:webHidden/>
                <w:sz w:val="18"/>
                <w:szCs w:val="18"/>
              </w:rPr>
            </w:r>
            <w:r w:rsidRPr="00267C86">
              <w:rPr>
                <w:noProof/>
                <w:webHidden/>
                <w:sz w:val="18"/>
                <w:szCs w:val="18"/>
              </w:rPr>
              <w:fldChar w:fldCharType="separate"/>
            </w:r>
            <w:r w:rsidRPr="00267C86">
              <w:rPr>
                <w:noProof/>
                <w:webHidden/>
                <w:sz w:val="18"/>
                <w:szCs w:val="18"/>
              </w:rPr>
              <w:t>43</w:t>
            </w:r>
            <w:r w:rsidRPr="00267C86">
              <w:rPr>
                <w:noProof/>
                <w:webHidden/>
                <w:sz w:val="18"/>
                <w:szCs w:val="18"/>
              </w:rPr>
              <w:fldChar w:fldCharType="end"/>
            </w:r>
          </w:hyperlink>
        </w:p>
        <w:p w14:paraId="6253C4CA" w14:textId="19FBABAD" w:rsidR="00D56991" w:rsidRPr="00267C86" w:rsidRDefault="00D56991">
          <w:pPr>
            <w:pStyle w:val="TDC3"/>
            <w:tabs>
              <w:tab w:val="right" w:leader="dot" w:pos="9350"/>
            </w:tabs>
            <w:rPr>
              <w:noProof/>
              <w:sz w:val="18"/>
              <w:szCs w:val="18"/>
            </w:rPr>
          </w:pPr>
          <w:hyperlink w:anchor="_Toc232659601" w:history="1">
            <w:r w:rsidRPr="00267C86">
              <w:rPr>
                <w:rStyle w:val="Hipervnculo"/>
                <w:noProof/>
                <w:sz w:val="18"/>
                <w:szCs w:val="18"/>
              </w:rPr>
              <w:t>Bloque 4 — Inteligencia de modelo de negocio local</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_Toc232659601 \h </w:instrText>
            </w:r>
            <w:r w:rsidRPr="00267C86">
              <w:rPr>
                <w:noProof/>
                <w:webHidden/>
                <w:sz w:val="18"/>
                <w:szCs w:val="18"/>
              </w:rPr>
            </w:r>
            <w:r w:rsidRPr="00267C86">
              <w:rPr>
                <w:noProof/>
                <w:webHidden/>
                <w:sz w:val="18"/>
                <w:szCs w:val="18"/>
              </w:rPr>
              <w:fldChar w:fldCharType="separate"/>
            </w:r>
            <w:r w:rsidRPr="00267C86">
              <w:rPr>
                <w:noProof/>
                <w:webHidden/>
                <w:sz w:val="18"/>
                <w:szCs w:val="18"/>
              </w:rPr>
              <w:t>44</w:t>
            </w:r>
            <w:r w:rsidRPr="00267C86">
              <w:rPr>
                <w:noProof/>
                <w:webHidden/>
                <w:sz w:val="18"/>
                <w:szCs w:val="18"/>
              </w:rPr>
              <w:fldChar w:fldCharType="end"/>
            </w:r>
          </w:hyperlink>
        </w:p>
        <w:p w14:paraId="42B17337" w14:textId="7D85BBA3" w:rsidR="00D56991" w:rsidRPr="00267C86" w:rsidRDefault="00D56991">
          <w:pPr>
            <w:pStyle w:val="TDC2"/>
            <w:tabs>
              <w:tab w:val="right" w:leader="dot" w:pos="9350"/>
            </w:tabs>
            <w:rPr>
              <w:noProof/>
              <w:sz w:val="18"/>
              <w:szCs w:val="18"/>
            </w:rPr>
          </w:pPr>
          <w:hyperlink w:anchor="_Toc232659602" w:history="1">
            <w:r w:rsidRPr="00267C86">
              <w:rPr>
                <w:rStyle w:val="Hipervnculo"/>
                <w:noProof/>
                <w:sz w:val="18"/>
                <w:szCs w:val="18"/>
              </w:rPr>
              <w:t>6.3  Cómo articular la inteligencia cualitativa con RADAR Cibest: la matriz de investigación</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_Toc232659602 \h </w:instrText>
            </w:r>
            <w:r w:rsidRPr="00267C86">
              <w:rPr>
                <w:noProof/>
                <w:webHidden/>
                <w:sz w:val="18"/>
                <w:szCs w:val="18"/>
              </w:rPr>
            </w:r>
            <w:r w:rsidRPr="00267C86">
              <w:rPr>
                <w:noProof/>
                <w:webHidden/>
                <w:sz w:val="18"/>
                <w:szCs w:val="18"/>
              </w:rPr>
              <w:fldChar w:fldCharType="separate"/>
            </w:r>
            <w:r w:rsidRPr="00267C86">
              <w:rPr>
                <w:noProof/>
                <w:webHidden/>
                <w:sz w:val="18"/>
                <w:szCs w:val="18"/>
              </w:rPr>
              <w:t>45</w:t>
            </w:r>
            <w:r w:rsidRPr="00267C86">
              <w:rPr>
                <w:noProof/>
                <w:webHidden/>
                <w:sz w:val="18"/>
                <w:szCs w:val="18"/>
              </w:rPr>
              <w:fldChar w:fldCharType="end"/>
            </w:r>
          </w:hyperlink>
        </w:p>
        <w:p w14:paraId="2C9DEC29" w14:textId="56060E9E" w:rsidR="00D56991" w:rsidRPr="00267C86" w:rsidRDefault="00D56991">
          <w:pPr>
            <w:pStyle w:val="TDC2"/>
            <w:tabs>
              <w:tab w:val="right" w:leader="dot" w:pos="9350"/>
            </w:tabs>
            <w:rPr>
              <w:noProof/>
              <w:sz w:val="18"/>
              <w:szCs w:val="18"/>
            </w:rPr>
          </w:pPr>
          <w:hyperlink w:anchor="_Toc232659603" w:history="1">
            <w:r w:rsidRPr="00267C86">
              <w:rPr>
                <w:rStyle w:val="Hipervnculo"/>
                <w:noProof/>
                <w:sz w:val="18"/>
                <w:szCs w:val="18"/>
              </w:rPr>
              <w:t>6.4  Entregables, participantes y tiempo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_Toc232659603 \h </w:instrText>
            </w:r>
            <w:r w:rsidRPr="00267C86">
              <w:rPr>
                <w:noProof/>
                <w:webHidden/>
                <w:sz w:val="18"/>
                <w:szCs w:val="18"/>
              </w:rPr>
            </w:r>
            <w:r w:rsidRPr="00267C86">
              <w:rPr>
                <w:noProof/>
                <w:webHidden/>
                <w:sz w:val="18"/>
                <w:szCs w:val="18"/>
              </w:rPr>
              <w:fldChar w:fldCharType="separate"/>
            </w:r>
            <w:r w:rsidRPr="00267C86">
              <w:rPr>
                <w:noProof/>
                <w:webHidden/>
                <w:sz w:val="18"/>
                <w:szCs w:val="18"/>
              </w:rPr>
              <w:t>46</w:t>
            </w:r>
            <w:r w:rsidRPr="00267C86">
              <w:rPr>
                <w:noProof/>
                <w:webHidden/>
                <w:sz w:val="18"/>
                <w:szCs w:val="18"/>
              </w:rPr>
              <w:fldChar w:fldCharType="end"/>
            </w:r>
          </w:hyperlink>
        </w:p>
        <w:p w14:paraId="417998F1" w14:textId="59259733" w:rsidR="00D56991" w:rsidRPr="00267C86" w:rsidRDefault="00D56991">
          <w:pPr>
            <w:pStyle w:val="TDC1"/>
            <w:tabs>
              <w:tab w:val="right" w:leader="dot" w:pos="9350"/>
            </w:tabs>
            <w:rPr>
              <w:noProof/>
              <w:sz w:val="18"/>
              <w:szCs w:val="18"/>
            </w:rPr>
          </w:pPr>
          <w:hyperlink w:anchor="_Toc232659604" w:history="1">
            <w:r w:rsidRPr="00267C86">
              <w:rPr>
                <w:rStyle w:val="Hipervnculo"/>
                <w:noProof/>
                <w:sz w:val="18"/>
                <w:szCs w:val="18"/>
              </w:rPr>
              <w:t>Sección 7 — Fase 5: Evaluación de Capacidades de Cibest por Línea de Negocio y Mercado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_Toc232659604 \h </w:instrText>
            </w:r>
            <w:r w:rsidRPr="00267C86">
              <w:rPr>
                <w:noProof/>
                <w:webHidden/>
                <w:sz w:val="18"/>
                <w:szCs w:val="18"/>
              </w:rPr>
            </w:r>
            <w:r w:rsidRPr="00267C86">
              <w:rPr>
                <w:noProof/>
                <w:webHidden/>
                <w:sz w:val="18"/>
                <w:szCs w:val="18"/>
              </w:rPr>
              <w:fldChar w:fldCharType="separate"/>
            </w:r>
            <w:r w:rsidRPr="00267C86">
              <w:rPr>
                <w:noProof/>
                <w:webHidden/>
                <w:sz w:val="18"/>
                <w:szCs w:val="18"/>
              </w:rPr>
              <w:t>48</w:t>
            </w:r>
            <w:r w:rsidRPr="00267C86">
              <w:rPr>
                <w:noProof/>
                <w:webHidden/>
                <w:sz w:val="18"/>
                <w:szCs w:val="18"/>
              </w:rPr>
              <w:fldChar w:fldCharType="end"/>
            </w:r>
          </w:hyperlink>
        </w:p>
        <w:p w14:paraId="70ED2A4B" w14:textId="67FC71C1" w:rsidR="00D56991" w:rsidRPr="00267C86" w:rsidRDefault="00D56991">
          <w:pPr>
            <w:pStyle w:val="TDC2"/>
            <w:tabs>
              <w:tab w:val="right" w:leader="dot" w:pos="9350"/>
            </w:tabs>
            <w:rPr>
              <w:noProof/>
              <w:sz w:val="18"/>
              <w:szCs w:val="18"/>
            </w:rPr>
          </w:pPr>
          <w:hyperlink w:anchor="_Toc232659605" w:history="1">
            <w:r w:rsidRPr="00267C86">
              <w:rPr>
                <w:rStyle w:val="Hipervnculo"/>
                <w:noProof/>
                <w:sz w:val="18"/>
                <w:szCs w:val="18"/>
              </w:rPr>
              <w:t>7.1  Por qué la evaluación de capacidades es diferente a la evaluación de atractivo de mercado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_Toc232659605 \h </w:instrText>
            </w:r>
            <w:r w:rsidRPr="00267C86">
              <w:rPr>
                <w:noProof/>
                <w:webHidden/>
                <w:sz w:val="18"/>
                <w:szCs w:val="18"/>
              </w:rPr>
            </w:r>
            <w:r w:rsidRPr="00267C86">
              <w:rPr>
                <w:noProof/>
                <w:webHidden/>
                <w:sz w:val="18"/>
                <w:szCs w:val="18"/>
              </w:rPr>
              <w:fldChar w:fldCharType="separate"/>
            </w:r>
            <w:r w:rsidRPr="00267C86">
              <w:rPr>
                <w:noProof/>
                <w:webHidden/>
                <w:sz w:val="18"/>
                <w:szCs w:val="18"/>
              </w:rPr>
              <w:t>48</w:t>
            </w:r>
            <w:r w:rsidRPr="00267C86">
              <w:rPr>
                <w:noProof/>
                <w:webHidden/>
                <w:sz w:val="18"/>
                <w:szCs w:val="18"/>
              </w:rPr>
              <w:fldChar w:fldCharType="end"/>
            </w:r>
          </w:hyperlink>
        </w:p>
        <w:p w14:paraId="557C69CB" w14:textId="017CBDF6" w:rsidR="00D56991" w:rsidRPr="00267C86" w:rsidRDefault="00D56991">
          <w:pPr>
            <w:pStyle w:val="TDC2"/>
            <w:tabs>
              <w:tab w:val="right" w:leader="dot" w:pos="9350"/>
            </w:tabs>
            <w:rPr>
              <w:noProof/>
              <w:sz w:val="18"/>
              <w:szCs w:val="18"/>
            </w:rPr>
          </w:pPr>
          <w:hyperlink w:anchor="_Toc232659606" w:history="1">
            <w:r w:rsidRPr="00267C86">
              <w:rPr>
                <w:rStyle w:val="Hipervnculo"/>
                <w:noProof/>
                <w:sz w:val="18"/>
                <w:szCs w:val="18"/>
              </w:rPr>
              <w:t>7.2  Las cinco dimensiones de capacidad evaluadas por línea de negocio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_Toc232659606 \h </w:instrText>
            </w:r>
            <w:r w:rsidRPr="00267C86">
              <w:rPr>
                <w:noProof/>
                <w:webHidden/>
                <w:sz w:val="18"/>
                <w:szCs w:val="18"/>
              </w:rPr>
            </w:r>
            <w:r w:rsidRPr="00267C86">
              <w:rPr>
                <w:noProof/>
                <w:webHidden/>
                <w:sz w:val="18"/>
                <w:szCs w:val="18"/>
              </w:rPr>
              <w:fldChar w:fldCharType="separate"/>
            </w:r>
            <w:r w:rsidRPr="00267C86">
              <w:rPr>
                <w:noProof/>
                <w:webHidden/>
                <w:sz w:val="18"/>
                <w:szCs w:val="18"/>
              </w:rPr>
              <w:t>49</w:t>
            </w:r>
            <w:r w:rsidRPr="00267C86">
              <w:rPr>
                <w:noProof/>
                <w:webHidden/>
                <w:sz w:val="18"/>
                <w:szCs w:val="18"/>
              </w:rPr>
              <w:fldChar w:fldCharType="end"/>
            </w:r>
          </w:hyperlink>
        </w:p>
        <w:p w14:paraId="20F375FA" w14:textId="1D66C0E0" w:rsidR="00D56991" w:rsidRPr="00267C86" w:rsidRDefault="00D56991">
          <w:pPr>
            <w:pStyle w:val="TDC3"/>
            <w:tabs>
              <w:tab w:val="right" w:leader="dot" w:pos="9350"/>
            </w:tabs>
            <w:rPr>
              <w:noProof/>
              <w:sz w:val="18"/>
              <w:szCs w:val="18"/>
            </w:rPr>
          </w:pPr>
          <w:hyperlink w:anchor="_Toc232659607" w:history="1">
            <w:r w:rsidRPr="00267C86">
              <w:rPr>
                <w:rStyle w:val="Hipervnculo"/>
                <w:noProof/>
                <w:sz w:val="18"/>
                <w:szCs w:val="18"/>
              </w:rPr>
              <w:t>Capacidades tecnológicas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_Toc232659607 \h </w:instrText>
            </w:r>
            <w:r w:rsidRPr="00267C86">
              <w:rPr>
                <w:noProof/>
                <w:webHidden/>
                <w:sz w:val="18"/>
                <w:szCs w:val="18"/>
              </w:rPr>
            </w:r>
            <w:r w:rsidRPr="00267C86">
              <w:rPr>
                <w:noProof/>
                <w:webHidden/>
                <w:sz w:val="18"/>
                <w:szCs w:val="18"/>
              </w:rPr>
              <w:fldChar w:fldCharType="separate"/>
            </w:r>
            <w:r w:rsidRPr="00267C86">
              <w:rPr>
                <w:noProof/>
                <w:webHidden/>
                <w:sz w:val="18"/>
                <w:szCs w:val="18"/>
              </w:rPr>
              <w:t>49</w:t>
            </w:r>
            <w:r w:rsidRPr="00267C86">
              <w:rPr>
                <w:noProof/>
                <w:webHidden/>
                <w:sz w:val="18"/>
                <w:szCs w:val="18"/>
              </w:rPr>
              <w:fldChar w:fldCharType="end"/>
            </w:r>
          </w:hyperlink>
        </w:p>
        <w:p w14:paraId="3701BA82" w14:textId="0EC6AFA9" w:rsidR="00D56991" w:rsidRPr="00267C86" w:rsidRDefault="00D56991">
          <w:pPr>
            <w:pStyle w:val="TDC3"/>
            <w:tabs>
              <w:tab w:val="right" w:leader="dot" w:pos="9350"/>
            </w:tabs>
            <w:rPr>
              <w:noProof/>
              <w:sz w:val="18"/>
              <w:szCs w:val="18"/>
            </w:rPr>
          </w:pPr>
          <w:hyperlink w:anchor="_Toc232659608" w:history="1">
            <w:r w:rsidRPr="00267C86">
              <w:rPr>
                <w:rStyle w:val="Hipervnculo"/>
                <w:noProof/>
                <w:sz w:val="18"/>
                <w:szCs w:val="18"/>
              </w:rPr>
              <w:t>Capacidades de talento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_Toc232659608 \h </w:instrText>
            </w:r>
            <w:r w:rsidRPr="00267C86">
              <w:rPr>
                <w:noProof/>
                <w:webHidden/>
                <w:sz w:val="18"/>
                <w:szCs w:val="18"/>
              </w:rPr>
            </w:r>
            <w:r w:rsidRPr="00267C86">
              <w:rPr>
                <w:noProof/>
                <w:webHidden/>
                <w:sz w:val="18"/>
                <w:szCs w:val="18"/>
              </w:rPr>
              <w:fldChar w:fldCharType="separate"/>
            </w:r>
            <w:r w:rsidRPr="00267C86">
              <w:rPr>
                <w:noProof/>
                <w:webHidden/>
                <w:sz w:val="18"/>
                <w:szCs w:val="18"/>
              </w:rPr>
              <w:t>50</w:t>
            </w:r>
            <w:r w:rsidRPr="00267C86">
              <w:rPr>
                <w:noProof/>
                <w:webHidden/>
                <w:sz w:val="18"/>
                <w:szCs w:val="18"/>
              </w:rPr>
              <w:fldChar w:fldCharType="end"/>
            </w:r>
          </w:hyperlink>
        </w:p>
        <w:p w14:paraId="585CDA07" w14:textId="7A9CD902" w:rsidR="00D56991" w:rsidRPr="00267C86" w:rsidRDefault="00D56991">
          <w:pPr>
            <w:pStyle w:val="TDC3"/>
            <w:tabs>
              <w:tab w:val="right" w:leader="dot" w:pos="9350"/>
            </w:tabs>
            <w:rPr>
              <w:noProof/>
              <w:sz w:val="18"/>
              <w:szCs w:val="18"/>
            </w:rPr>
          </w:pPr>
          <w:hyperlink w:anchor="_Toc232659609" w:history="1">
            <w:r w:rsidRPr="00267C86">
              <w:rPr>
                <w:rStyle w:val="Hipervnculo"/>
                <w:noProof/>
                <w:sz w:val="18"/>
                <w:szCs w:val="18"/>
              </w:rPr>
              <w:t>Capacidades de capital</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_Toc232659609 \h </w:instrText>
            </w:r>
            <w:r w:rsidRPr="00267C86">
              <w:rPr>
                <w:noProof/>
                <w:webHidden/>
                <w:sz w:val="18"/>
                <w:szCs w:val="18"/>
              </w:rPr>
            </w:r>
            <w:r w:rsidRPr="00267C86">
              <w:rPr>
                <w:noProof/>
                <w:webHidden/>
                <w:sz w:val="18"/>
                <w:szCs w:val="18"/>
              </w:rPr>
              <w:fldChar w:fldCharType="separate"/>
            </w:r>
            <w:r w:rsidRPr="00267C86">
              <w:rPr>
                <w:noProof/>
                <w:webHidden/>
                <w:sz w:val="18"/>
                <w:szCs w:val="18"/>
              </w:rPr>
              <w:t>50</w:t>
            </w:r>
            <w:r w:rsidRPr="00267C86">
              <w:rPr>
                <w:noProof/>
                <w:webHidden/>
                <w:sz w:val="18"/>
                <w:szCs w:val="18"/>
              </w:rPr>
              <w:fldChar w:fldCharType="end"/>
            </w:r>
          </w:hyperlink>
        </w:p>
        <w:p w14:paraId="7D251F59" w14:textId="5EF94C9B" w:rsidR="00D56991" w:rsidRPr="00267C86" w:rsidRDefault="00D56991">
          <w:pPr>
            <w:pStyle w:val="TDC3"/>
            <w:tabs>
              <w:tab w:val="right" w:leader="dot" w:pos="9350"/>
            </w:tabs>
            <w:rPr>
              <w:noProof/>
              <w:sz w:val="18"/>
              <w:szCs w:val="18"/>
            </w:rPr>
          </w:pPr>
          <w:hyperlink w:anchor="_Toc232659610" w:history="1">
            <w:r w:rsidRPr="00267C86">
              <w:rPr>
                <w:rStyle w:val="Hipervnculo"/>
                <w:noProof/>
                <w:sz w:val="18"/>
                <w:szCs w:val="18"/>
              </w:rPr>
              <w:t>Capacidades relacionales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_Toc232659610 \h </w:instrText>
            </w:r>
            <w:r w:rsidRPr="00267C86">
              <w:rPr>
                <w:noProof/>
                <w:webHidden/>
                <w:sz w:val="18"/>
                <w:szCs w:val="18"/>
              </w:rPr>
            </w:r>
            <w:r w:rsidRPr="00267C86">
              <w:rPr>
                <w:noProof/>
                <w:webHidden/>
                <w:sz w:val="18"/>
                <w:szCs w:val="18"/>
              </w:rPr>
              <w:fldChar w:fldCharType="separate"/>
            </w:r>
            <w:r w:rsidRPr="00267C86">
              <w:rPr>
                <w:noProof/>
                <w:webHidden/>
                <w:sz w:val="18"/>
                <w:szCs w:val="18"/>
              </w:rPr>
              <w:t>50</w:t>
            </w:r>
            <w:r w:rsidRPr="00267C86">
              <w:rPr>
                <w:noProof/>
                <w:webHidden/>
                <w:sz w:val="18"/>
                <w:szCs w:val="18"/>
              </w:rPr>
              <w:fldChar w:fldCharType="end"/>
            </w:r>
          </w:hyperlink>
        </w:p>
        <w:p w14:paraId="14308D40" w14:textId="26A22099" w:rsidR="00D56991" w:rsidRPr="00267C86" w:rsidRDefault="00D56991">
          <w:pPr>
            <w:pStyle w:val="TDC3"/>
            <w:tabs>
              <w:tab w:val="right" w:leader="dot" w:pos="9350"/>
            </w:tabs>
            <w:rPr>
              <w:noProof/>
              <w:sz w:val="18"/>
              <w:szCs w:val="18"/>
            </w:rPr>
          </w:pPr>
          <w:hyperlink w:anchor="_Toc232659611" w:history="1">
            <w:r w:rsidRPr="00267C86">
              <w:rPr>
                <w:rStyle w:val="Hipervnculo"/>
                <w:noProof/>
                <w:sz w:val="18"/>
                <w:szCs w:val="18"/>
              </w:rPr>
              <w:t>Capacidades de gestión internacional</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_Toc232659611 \h </w:instrText>
            </w:r>
            <w:r w:rsidRPr="00267C86">
              <w:rPr>
                <w:noProof/>
                <w:webHidden/>
                <w:sz w:val="18"/>
                <w:szCs w:val="18"/>
              </w:rPr>
            </w:r>
            <w:r w:rsidRPr="00267C86">
              <w:rPr>
                <w:noProof/>
                <w:webHidden/>
                <w:sz w:val="18"/>
                <w:szCs w:val="18"/>
              </w:rPr>
              <w:fldChar w:fldCharType="separate"/>
            </w:r>
            <w:r w:rsidRPr="00267C86">
              <w:rPr>
                <w:noProof/>
                <w:webHidden/>
                <w:sz w:val="18"/>
                <w:szCs w:val="18"/>
              </w:rPr>
              <w:t>51</w:t>
            </w:r>
            <w:r w:rsidRPr="00267C86">
              <w:rPr>
                <w:noProof/>
                <w:webHidden/>
                <w:sz w:val="18"/>
                <w:szCs w:val="18"/>
              </w:rPr>
              <w:fldChar w:fldCharType="end"/>
            </w:r>
          </w:hyperlink>
        </w:p>
        <w:p w14:paraId="25A783BA" w14:textId="299219F3" w:rsidR="00D56991" w:rsidRPr="00267C86" w:rsidRDefault="00D56991">
          <w:pPr>
            <w:pStyle w:val="TDC2"/>
            <w:tabs>
              <w:tab w:val="right" w:leader="dot" w:pos="9350"/>
            </w:tabs>
            <w:rPr>
              <w:noProof/>
              <w:sz w:val="18"/>
              <w:szCs w:val="18"/>
            </w:rPr>
          </w:pPr>
          <w:hyperlink w:anchor="_Toc232659612" w:history="1">
            <w:r w:rsidRPr="00267C86">
              <w:rPr>
                <w:rStyle w:val="Hipervnculo"/>
                <w:noProof/>
                <w:sz w:val="18"/>
                <w:szCs w:val="18"/>
              </w:rPr>
              <w:t>7.3  Cómo se realiza la evaluación: el proceso de auto-evaluación facilitada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_Toc232659612 \h </w:instrText>
            </w:r>
            <w:r w:rsidRPr="00267C86">
              <w:rPr>
                <w:noProof/>
                <w:webHidden/>
                <w:sz w:val="18"/>
                <w:szCs w:val="18"/>
              </w:rPr>
            </w:r>
            <w:r w:rsidRPr="00267C86">
              <w:rPr>
                <w:noProof/>
                <w:webHidden/>
                <w:sz w:val="18"/>
                <w:szCs w:val="18"/>
              </w:rPr>
              <w:fldChar w:fldCharType="separate"/>
            </w:r>
            <w:r w:rsidRPr="00267C86">
              <w:rPr>
                <w:noProof/>
                <w:webHidden/>
                <w:sz w:val="18"/>
                <w:szCs w:val="18"/>
              </w:rPr>
              <w:t>51</w:t>
            </w:r>
            <w:r w:rsidRPr="00267C86">
              <w:rPr>
                <w:noProof/>
                <w:webHidden/>
                <w:sz w:val="18"/>
                <w:szCs w:val="18"/>
              </w:rPr>
              <w:fldChar w:fldCharType="end"/>
            </w:r>
          </w:hyperlink>
        </w:p>
        <w:p w14:paraId="2675483E" w14:textId="6ECD1886" w:rsidR="00D56991" w:rsidRPr="00267C86" w:rsidRDefault="00D56991">
          <w:pPr>
            <w:pStyle w:val="TDC2"/>
            <w:tabs>
              <w:tab w:val="right" w:leader="dot" w:pos="9350"/>
            </w:tabs>
            <w:rPr>
              <w:noProof/>
              <w:sz w:val="18"/>
              <w:szCs w:val="18"/>
            </w:rPr>
          </w:pPr>
          <w:hyperlink w:anchor="_Toc232659613" w:history="1">
            <w:r w:rsidRPr="00267C86">
              <w:rPr>
                <w:rStyle w:val="Hipervnculo"/>
                <w:noProof/>
                <w:sz w:val="18"/>
                <w:szCs w:val="18"/>
              </w:rPr>
              <w:t>7.4  La matriz de prioridad ajustada: Atractivo RADAR × Capacidades Cibest</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_Toc232659613 \h </w:instrText>
            </w:r>
            <w:r w:rsidRPr="00267C86">
              <w:rPr>
                <w:noProof/>
                <w:webHidden/>
                <w:sz w:val="18"/>
                <w:szCs w:val="18"/>
              </w:rPr>
            </w:r>
            <w:r w:rsidRPr="00267C86">
              <w:rPr>
                <w:noProof/>
                <w:webHidden/>
                <w:sz w:val="18"/>
                <w:szCs w:val="18"/>
              </w:rPr>
              <w:fldChar w:fldCharType="separate"/>
            </w:r>
            <w:r w:rsidRPr="00267C86">
              <w:rPr>
                <w:noProof/>
                <w:webHidden/>
                <w:sz w:val="18"/>
                <w:szCs w:val="18"/>
              </w:rPr>
              <w:t>52</w:t>
            </w:r>
            <w:r w:rsidRPr="00267C86">
              <w:rPr>
                <w:noProof/>
                <w:webHidden/>
                <w:sz w:val="18"/>
                <w:szCs w:val="18"/>
              </w:rPr>
              <w:fldChar w:fldCharType="end"/>
            </w:r>
          </w:hyperlink>
        </w:p>
        <w:p w14:paraId="7C614BE9" w14:textId="2CF6F95F" w:rsidR="00D56991" w:rsidRPr="00267C86" w:rsidRDefault="00D56991">
          <w:pPr>
            <w:pStyle w:val="TDC2"/>
            <w:tabs>
              <w:tab w:val="right" w:leader="dot" w:pos="9350"/>
            </w:tabs>
            <w:rPr>
              <w:noProof/>
              <w:sz w:val="18"/>
              <w:szCs w:val="18"/>
            </w:rPr>
          </w:pPr>
          <w:hyperlink w:anchor="_Toc232659614" w:history="1">
            <w:r w:rsidRPr="00267C86">
              <w:rPr>
                <w:rStyle w:val="Hipervnculo"/>
                <w:noProof/>
                <w:sz w:val="18"/>
                <w:szCs w:val="18"/>
              </w:rPr>
              <w:t>7.5  Entregables, participantes y tiempo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_Toc232659614 \h </w:instrText>
            </w:r>
            <w:r w:rsidRPr="00267C86">
              <w:rPr>
                <w:noProof/>
                <w:webHidden/>
                <w:sz w:val="18"/>
                <w:szCs w:val="18"/>
              </w:rPr>
            </w:r>
            <w:r w:rsidRPr="00267C86">
              <w:rPr>
                <w:noProof/>
                <w:webHidden/>
                <w:sz w:val="18"/>
                <w:szCs w:val="18"/>
              </w:rPr>
              <w:fldChar w:fldCharType="separate"/>
            </w:r>
            <w:r w:rsidRPr="00267C86">
              <w:rPr>
                <w:noProof/>
                <w:webHidden/>
                <w:sz w:val="18"/>
                <w:szCs w:val="18"/>
              </w:rPr>
              <w:t>53</w:t>
            </w:r>
            <w:r w:rsidRPr="00267C86">
              <w:rPr>
                <w:noProof/>
                <w:webHidden/>
                <w:sz w:val="18"/>
                <w:szCs w:val="18"/>
              </w:rPr>
              <w:fldChar w:fldCharType="end"/>
            </w:r>
          </w:hyperlink>
        </w:p>
        <w:p w14:paraId="3BAA1E3C" w14:textId="63D9EE87" w:rsidR="00D56991" w:rsidRPr="00267C86" w:rsidRDefault="00D56991">
          <w:pPr>
            <w:pStyle w:val="TDC1"/>
            <w:tabs>
              <w:tab w:val="right" w:leader="dot" w:pos="9350"/>
            </w:tabs>
            <w:rPr>
              <w:noProof/>
              <w:sz w:val="18"/>
              <w:szCs w:val="18"/>
            </w:rPr>
          </w:pPr>
          <w:hyperlink w:anchor="_Toc232659615" w:history="1">
            <w:r w:rsidRPr="00267C86">
              <w:rPr>
                <w:rStyle w:val="Hipervnculo"/>
                <w:noProof/>
                <w:sz w:val="18"/>
                <w:szCs w:val="18"/>
              </w:rPr>
              <w:t>Sección 8 — Fase 6: Embudo de Decisión y Perfilamiento Estratégico Final</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_Toc232659615 \h </w:instrText>
            </w:r>
            <w:r w:rsidRPr="00267C86">
              <w:rPr>
                <w:noProof/>
                <w:webHidden/>
                <w:sz w:val="18"/>
                <w:szCs w:val="18"/>
              </w:rPr>
            </w:r>
            <w:r w:rsidRPr="00267C86">
              <w:rPr>
                <w:noProof/>
                <w:webHidden/>
                <w:sz w:val="18"/>
                <w:szCs w:val="18"/>
              </w:rPr>
              <w:fldChar w:fldCharType="separate"/>
            </w:r>
            <w:r w:rsidRPr="00267C86">
              <w:rPr>
                <w:noProof/>
                <w:webHidden/>
                <w:sz w:val="18"/>
                <w:szCs w:val="18"/>
              </w:rPr>
              <w:t>54</w:t>
            </w:r>
            <w:r w:rsidRPr="00267C86">
              <w:rPr>
                <w:noProof/>
                <w:webHidden/>
                <w:sz w:val="18"/>
                <w:szCs w:val="18"/>
              </w:rPr>
              <w:fldChar w:fldCharType="end"/>
            </w:r>
          </w:hyperlink>
        </w:p>
        <w:p w14:paraId="0856AF8E" w14:textId="417A7289" w:rsidR="00D56991" w:rsidRPr="00267C86" w:rsidRDefault="00D56991">
          <w:pPr>
            <w:pStyle w:val="TDC2"/>
            <w:tabs>
              <w:tab w:val="right" w:leader="dot" w:pos="9350"/>
            </w:tabs>
            <w:rPr>
              <w:noProof/>
              <w:sz w:val="18"/>
              <w:szCs w:val="18"/>
            </w:rPr>
          </w:pPr>
          <w:hyperlink w:anchor="_Toc232659616" w:history="1">
            <w:r w:rsidRPr="00267C86">
              <w:rPr>
                <w:rStyle w:val="Hipervnculo"/>
                <w:noProof/>
                <w:sz w:val="18"/>
                <w:szCs w:val="18"/>
              </w:rPr>
              <w:t>8.1  La lógica del embudo: por qué la reducción progresiva es más eficiente que la evaluación total</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_Toc232659616 \h </w:instrText>
            </w:r>
            <w:r w:rsidRPr="00267C86">
              <w:rPr>
                <w:noProof/>
                <w:webHidden/>
                <w:sz w:val="18"/>
                <w:szCs w:val="18"/>
              </w:rPr>
            </w:r>
            <w:r w:rsidRPr="00267C86">
              <w:rPr>
                <w:noProof/>
                <w:webHidden/>
                <w:sz w:val="18"/>
                <w:szCs w:val="18"/>
              </w:rPr>
              <w:fldChar w:fldCharType="separate"/>
            </w:r>
            <w:r w:rsidRPr="00267C86">
              <w:rPr>
                <w:noProof/>
                <w:webHidden/>
                <w:sz w:val="18"/>
                <w:szCs w:val="18"/>
              </w:rPr>
              <w:t>54</w:t>
            </w:r>
            <w:r w:rsidRPr="00267C86">
              <w:rPr>
                <w:noProof/>
                <w:webHidden/>
                <w:sz w:val="18"/>
                <w:szCs w:val="18"/>
              </w:rPr>
              <w:fldChar w:fldCharType="end"/>
            </w:r>
          </w:hyperlink>
        </w:p>
        <w:p w14:paraId="00998034" w14:textId="44DBB52B" w:rsidR="00D56991" w:rsidRPr="00267C86" w:rsidRDefault="00D56991">
          <w:pPr>
            <w:pStyle w:val="TDC2"/>
            <w:tabs>
              <w:tab w:val="right" w:leader="dot" w:pos="9350"/>
            </w:tabs>
            <w:rPr>
              <w:noProof/>
              <w:sz w:val="18"/>
              <w:szCs w:val="18"/>
            </w:rPr>
          </w:pPr>
          <w:hyperlink w:anchor="_Toc232659617" w:history="1">
            <w:r w:rsidRPr="00267C86">
              <w:rPr>
                <w:rStyle w:val="Hipervnculo"/>
                <w:noProof/>
                <w:sz w:val="18"/>
                <w:szCs w:val="18"/>
              </w:rPr>
              <w:t>8.2  Perfilamiento estratégico de los candidatos finales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_Toc232659617 \h </w:instrText>
            </w:r>
            <w:r w:rsidRPr="00267C86">
              <w:rPr>
                <w:noProof/>
                <w:webHidden/>
                <w:sz w:val="18"/>
                <w:szCs w:val="18"/>
              </w:rPr>
            </w:r>
            <w:r w:rsidRPr="00267C86">
              <w:rPr>
                <w:noProof/>
                <w:webHidden/>
                <w:sz w:val="18"/>
                <w:szCs w:val="18"/>
              </w:rPr>
              <w:fldChar w:fldCharType="separate"/>
            </w:r>
            <w:r w:rsidRPr="00267C86">
              <w:rPr>
                <w:noProof/>
                <w:webHidden/>
                <w:sz w:val="18"/>
                <w:szCs w:val="18"/>
              </w:rPr>
              <w:t>56</w:t>
            </w:r>
            <w:r w:rsidRPr="00267C86">
              <w:rPr>
                <w:noProof/>
                <w:webHidden/>
                <w:sz w:val="18"/>
                <w:szCs w:val="18"/>
              </w:rPr>
              <w:fldChar w:fldCharType="end"/>
            </w:r>
          </w:hyperlink>
        </w:p>
        <w:p w14:paraId="1BD8056A" w14:textId="1CEC4D7C" w:rsidR="00D56991" w:rsidRPr="00267C86" w:rsidRDefault="00D56991">
          <w:pPr>
            <w:pStyle w:val="TDC2"/>
            <w:tabs>
              <w:tab w:val="right" w:leader="dot" w:pos="9350"/>
            </w:tabs>
            <w:rPr>
              <w:noProof/>
              <w:sz w:val="18"/>
              <w:szCs w:val="18"/>
            </w:rPr>
          </w:pPr>
          <w:hyperlink w:anchor="_Toc232659618" w:history="1">
            <w:r w:rsidRPr="00267C86">
              <w:rPr>
                <w:rStyle w:val="Hipervnculo"/>
                <w:noProof/>
                <w:sz w:val="18"/>
                <w:szCs w:val="18"/>
              </w:rPr>
              <w:t>8.3  El motor narrativo de RADAR Cibest (Fase B): automatización del perfilamiento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_Toc232659618 \h </w:instrText>
            </w:r>
            <w:r w:rsidRPr="00267C86">
              <w:rPr>
                <w:noProof/>
                <w:webHidden/>
                <w:sz w:val="18"/>
                <w:szCs w:val="18"/>
              </w:rPr>
            </w:r>
            <w:r w:rsidRPr="00267C86">
              <w:rPr>
                <w:noProof/>
                <w:webHidden/>
                <w:sz w:val="18"/>
                <w:szCs w:val="18"/>
              </w:rPr>
              <w:fldChar w:fldCharType="separate"/>
            </w:r>
            <w:r w:rsidRPr="00267C86">
              <w:rPr>
                <w:noProof/>
                <w:webHidden/>
                <w:sz w:val="18"/>
                <w:szCs w:val="18"/>
              </w:rPr>
              <w:t>56</w:t>
            </w:r>
            <w:r w:rsidRPr="00267C86">
              <w:rPr>
                <w:noProof/>
                <w:webHidden/>
                <w:sz w:val="18"/>
                <w:szCs w:val="18"/>
              </w:rPr>
              <w:fldChar w:fldCharType="end"/>
            </w:r>
          </w:hyperlink>
        </w:p>
        <w:p w14:paraId="495461AA" w14:textId="37E89F58" w:rsidR="00D56991" w:rsidRPr="00267C86" w:rsidRDefault="00D56991">
          <w:pPr>
            <w:pStyle w:val="TDC2"/>
            <w:tabs>
              <w:tab w:val="right" w:leader="dot" w:pos="9350"/>
            </w:tabs>
            <w:rPr>
              <w:noProof/>
              <w:sz w:val="18"/>
              <w:szCs w:val="18"/>
            </w:rPr>
          </w:pPr>
          <w:hyperlink w:anchor="_Toc232659619" w:history="1">
            <w:r w:rsidRPr="00267C86">
              <w:rPr>
                <w:rStyle w:val="Hipervnculo"/>
                <w:noProof/>
                <w:sz w:val="18"/>
                <w:szCs w:val="18"/>
              </w:rPr>
              <w:t>8.4  La sesión del Comité Ejecutivo para la decisión de avance a due diligence</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_Toc232659619 \h </w:instrText>
            </w:r>
            <w:r w:rsidRPr="00267C86">
              <w:rPr>
                <w:noProof/>
                <w:webHidden/>
                <w:sz w:val="18"/>
                <w:szCs w:val="18"/>
              </w:rPr>
            </w:r>
            <w:r w:rsidRPr="00267C86">
              <w:rPr>
                <w:noProof/>
                <w:webHidden/>
                <w:sz w:val="18"/>
                <w:szCs w:val="18"/>
              </w:rPr>
              <w:fldChar w:fldCharType="separate"/>
            </w:r>
            <w:r w:rsidRPr="00267C86">
              <w:rPr>
                <w:noProof/>
                <w:webHidden/>
                <w:sz w:val="18"/>
                <w:szCs w:val="18"/>
              </w:rPr>
              <w:t>57</w:t>
            </w:r>
            <w:r w:rsidRPr="00267C86">
              <w:rPr>
                <w:noProof/>
                <w:webHidden/>
                <w:sz w:val="18"/>
                <w:szCs w:val="18"/>
              </w:rPr>
              <w:fldChar w:fldCharType="end"/>
            </w:r>
          </w:hyperlink>
        </w:p>
        <w:p w14:paraId="453397E7" w14:textId="1307E982" w:rsidR="00D56991" w:rsidRPr="00267C86" w:rsidRDefault="00D56991">
          <w:pPr>
            <w:pStyle w:val="TDC2"/>
            <w:tabs>
              <w:tab w:val="right" w:leader="dot" w:pos="9350"/>
            </w:tabs>
            <w:rPr>
              <w:noProof/>
              <w:sz w:val="18"/>
              <w:szCs w:val="18"/>
            </w:rPr>
          </w:pPr>
          <w:hyperlink w:anchor="_Toc232659620" w:history="1">
            <w:r w:rsidRPr="00267C86">
              <w:rPr>
                <w:rStyle w:val="Hipervnculo"/>
                <w:noProof/>
                <w:sz w:val="18"/>
                <w:szCs w:val="18"/>
              </w:rPr>
              <w:t>8.5  Entregables, participantes y tiempo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_Toc232659620 \h </w:instrText>
            </w:r>
            <w:r w:rsidRPr="00267C86">
              <w:rPr>
                <w:noProof/>
                <w:webHidden/>
                <w:sz w:val="18"/>
                <w:szCs w:val="18"/>
              </w:rPr>
            </w:r>
            <w:r w:rsidRPr="00267C86">
              <w:rPr>
                <w:noProof/>
                <w:webHidden/>
                <w:sz w:val="18"/>
                <w:szCs w:val="18"/>
              </w:rPr>
              <w:fldChar w:fldCharType="separate"/>
            </w:r>
            <w:r w:rsidRPr="00267C86">
              <w:rPr>
                <w:noProof/>
                <w:webHidden/>
                <w:sz w:val="18"/>
                <w:szCs w:val="18"/>
              </w:rPr>
              <w:t>58</w:t>
            </w:r>
            <w:r w:rsidRPr="00267C86">
              <w:rPr>
                <w:noProof/>
                <w:webHidden/>
                <w:sz w:val="18"/>
                <w:szCs w:val="18"/>
              </w:rPr>
              <w:fldChar w:fldCharType="end"/>
            </w:r>
          </w:hyperlink>
        </w:p>
        <w:p w14:paraId="675752AE" w14:textId="5AB10007" w:rsidR="00D56991" w:rsidRPr="00267C86" w:rsidRDefault="00D56991">
          <w:pPr>
            <w:pStyle w:val="TDC1"/>
            <w:tabs>
              <w:tab w:val="right" w:leader="dot" w:pos="9350"/>
            </w:tabs>
            <w:rPr>
              <w:noProof/>
              <w:sz w:val="18"/>
              <w:szCs w:val="18"/>
            </w:rPr>
          </w:pPr>
          <w:hyperlink w:anchor="_Toc232659621" w:history="1">
            <w:r w:rsidRPr="00267C86">
              <w:rPr>
                <w:rStyle w:val="Hipervnculo"/>
                <w:noProof/>
                <w:sz w:val="18"/>
                <w:szCs w:val="18"/>
              </w:rPr>
              <w:t>Sección 9 — Fase 7: Selección del Modo de Entrada al Mercado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_Toc232659621 \h </w:instrText>
            </w:r>
            <w:r w:rsidRPr="00267C86">
              <w:rPr>
                <w:noProof/>
                <w:webHidden/>
                <w:sz w:val="18"/>
                <w:szCs w:val="18"/>
              </w:rPr>
            </w:r>
            <w:r w:rsidRPr="00267C86">
              <w:rPr>
                <w:noProof/>
                <w:webHidden/>
                <w:sz w:val="18"/>
                <w:szCs w:val="18"/>
              </w:rPr>
              <w:fldChar w:fldCharType="separate"/>
            </w:r>
            <w:r w:rsidRPr="00267C86">
              <w:rPr>
                <w:noProof/>
                <w:webHidden/>
                <w:sz w:val="18"/>
                <w:szCs w:val="18"/>
              </w:rPr>
              <w:t>59</w:t>
            </w:r>
            <w:r w:rsidRPr="00267C86">
              <w:rPr>
                <w:noProof/>
                <w:webHidden/>
                <w:sz w:val="18"/>
                <w:szCs w:val="18"/>
              </w:rPr>
              <w:fldChar w:fldCharType="end"/>
            </w:r>
          </w:hyperlink>
        </w:p>
        <w:p w14:paraId="1C0BCE48" w14:textId="64A92837" w:rsidR="00D56991" w:rsidRPr="00267C86" w:rsidRDefault="00D56991">
          <w:pPr>
            <w:pStyle w:val="TDC2"/>
            <w:tabs>
              <w:tab w:val="right" w:leader="dot" w:pos="9350"/>
            </w:tabs>
            <w:rPr>
              <w:noProof/>
              <w:sz w:val="18"/>
              <w:szCs w:val="18"/>
            </w:rPr>
          </w:pPr>
          <w:hyperlink w:anchor="_Toc232659622" w:history="1">
            <w:r w:rsidRPr="00267C86">
              <w:rPr>
                <w:rStyle w:val="Hipervnculo"/>
                <w:noProof/>
                <w:sz w:val="18"/>
                <w:szCs w:val="18"/>
              </w:rPr>
              <w:t>9.1  Los cuatro criterios de selección del modo de entrada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_Toc232659622 \h </w:instrText>
            </w:r>
            <w:r w:rsidRPr="00267C86">
              <w:rPr>
                <w:noProof/>
                <w:webHidden/>
                <w:sz w:val="18"/>
                <w:szCs w:val="18"/>
              </w:rPr>
            </w:r>
            <w:r w:rsidRPr="00267C86">
              <w:rPr>
                <w:noProof/>
                <w:webHidden/>
                <w:sz w:val="18"/>
                <w:szCs w:val="18"/>
              </w:rPr>
              <w:fldChar w:fldCharType="separate"/>
            </w:r>
            <w:r w:rsidRPr="00267C86">
              <w:rPr>
                <w:noProof/>
                <w:webHidden/>
                <w:sz w:val="18"/>
                <w:szCs w:val="18"/>
              </w:rPr>
              <w:t>59</w:t>
            </w:r>
            <w:r w:rsidRPr="00267C86">
              <w:rPr>
                <w:noProof/>
                <w:webHidden/>
                <w:sz w:val="18"/>
                <w:szCs w:val="18"/>
              </w:rPr>
              <w:fldChar w:fldCharType="end"/>
            </w:r>
          </w:hyperlink>
        </w:p>
        <w:p w14:paraId="0BF5574F" w14:textId="59BCE8C0" w:rsidR="00D56991" w:rsidRPr="00267C86" w:rsidRDefault="00D56991">
          <w:pPr>
            <w:pStyle w:val="TDC2"/>
            <w:tabs>
              <w:tab w:val="right" w:leader="dot" w:pos="9350"/>
            </w:tabs>
            <w:rPr>
              <w:noProof/>
              <w:sz w:val="18"/>
              <w:szCs w:val="18"/>
            </w:rPr>
          </w:pPr>
          <w:hyperlink w:anchor="_Toc232659623" w:history="1">
            <w:r w:rsidRPr="00267C86">
              <w:rPr>
                <w:rStyle w:val="Hipervnculo"/>
                <w:noProof/>
                <w:sz w:val="18"/>
                <w:szCs w:val="18"/>
              </w:rPr>
              <w:t>9.2  Los siete modos de entrada disponibles para Cibest</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_Toc232659623 \h </w:instrText>
            </w:r>
            <w:r w:rsidRPr="00267C86">
              <w:rPr>
                <w:noProof/>
                <w:webHidden/>
                <w:sz w:val="18"/>
                <w:szCs w:val="18"/>
              </w:rPr>
            </w:r>
            <w:r w:rsidRPr="00267C86">
              <w:rPr>
                <w:noProof/>
                <w:webHidden/>
                <w:sz w:val="18"/>
                <w:szCs w:val="18"/>
              </w:rPr>
              <w:fldChar w:fldCharType="separate"/>
            </w:r>
            <w:r w:rsidRPr="00267C86">
              <w:rPr>
                <w:noProof/>
                <w:webHidden/>
                <w:sz w:val="18"/>
                <w:szCs w:val="18"/>
              </w:rPr>
              <w:t>60</w:t>
            </w:r>
            <w:r w:rsidRPr="00267C86">
              <w:rPr>
                <w:noProof/>
                <w:webHidden/>
                <w:sz w:val="18"/>
                <w:szCs w:val="18"/>
              </w:rPr>
              <w:fldChar w:fldCharType="end"/>
            </w:r>
          </w:hyperlink>
        </w:p>
        <w:p w14:paraId="5E23192F" w14:textId="2AF2237A" w:rsidR="00D56991" w:rsidRPr="00267C86" w:rsidRDefault="00D56991">
          <w:pPr>
            <w:pStyle w:val="TDC3"/>
            <w:tabs>
              <w:tab w:val="right" w:leader="dot" w:pos="9350"/>
            </w:tabs>
            <w:rPr>
              <w:noProof/>
              <w:sz w:val="18"/>
              <w:szCs w:val="18"/>
            </w:rPr>
          </w:pPr>
          <w:hyperlink w:anchor="_Toc232659624" w:history="1">
            <w:r w:rsidRPr="00267C86">
              <w:rPr>
                <w:rStyle w:val="Hipervnculo"/>
                <w:noProof/>
                <w:sz w:val="18"/>
                <w:szCs w:val="18"/>
              </w:rPr>
              <w:t>Modo 1 — Licencia bancaria propia (greenfield)</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_Toc232659624 \h </w:instrText>
            </w:r>
            <w:r w:rsidRPr="00267C86">
              <w:rPr>
                <w:noProof/>
                <w:webHidden/>
                <w:sz w:val="18"/>
                <w:szCs w:val="18"/>
              </w:rPr>
            </w:r>
            <w:r w:rsidRPr="00267C86">
              <w:rPr>
                <w:noProof/>
                <w:webHidden/>
                <w:sz w:val="18"/>
                <w:szCs w:val="18"/>
              </w:rPr>
              <w:fldChar w:fldCharType="separate"/>
            </w:r>
            <w:r w:rsidRPr="00267C86">
              <w:rPr>
                <w:noProof/>
                <w:webHidden/>
                <w:sz w:val="18"/>
                <w:szCs w:val="18"/>
              </w:rPr>
              <w:t>60</w:t>
            </w:r>
            <w:r w:rsidRPr="00267C86">
              <w:rPr>
                <w:noProof/>
                <w:webHidden/>
                <w:sz w:val="18"/>
                <w:szCs w:val="18"/>
              </w:rPr>
              <w:fldChar w:fldCharType="end"/>
            </w:r>
          </w:hyperlink>
        </w:p>
        <w:p w14:paraId="038A15B7" w14:textId="2CFB5039" w:rsidR="00D56991" w:rsidRPr="00267C86" w:rsidRDefault="00D56991">
          <w:pPr>
            <w:pStyle w:val="TDC3"/>
            <w:tabs>
              <w:tab w:val="right" w:leader="dot" w:pos="9350"/>
            </w:tabs>
            <w:rPr>
              <w:noProof/>
              <w:sz w:val="18"/>
              <w:szCs w:val="18"/>
            </w:rPr>
          </w:pPr>
          <w:hyperlink w:anchor="_Toc232659625" w:history="1">
            <w:r w:rsidRPr="00267C86">
              <w:rPr>
                <w:rStyle w:val="Hipervnculo"/>
                <w:noProof/>
                <w:sz w:val="18"/>
                <w:szCs w:val="18"/>
              </w:rPr>
              <w:t>Modo 2 — Adquisición con participación mayoritaria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_Toc232659625 \h </w:instrText>
            </w:r>
            <w:r w:rsidRPr="00267C86">
              <w:rPr>
                <w:noProof/>
                <w:webHidden/>
                <w:sz w:val="18"/>
                <w:szCs w:val="18"/>
              </w:rPr>
            </w:r>
            <w:r w:rsidRPr="00267C86">
              <w:rPr>
                <w:noProof/>
                <w:webHidden/>
                <w:sz w:val="18"/>
                <w:szCs w:val="18"/>
              </w:rPr>
              <w:fldChar w:fldCharType="separate"/>
            </w:r>
            <w:r w:rsidRPr="00267C86">
              <w:rPr>
                <w:noProof/>
                <w:webHidden/>
                <w:sz w:val="18"/>
                <w:szCs w:val="18"/>
              </w:rPr>
              <w:t>60</w:t>
            </w:r>
            <w:r w:rsidRPr="00267C86">
              <w:rPr>
                <w:noProof/>
                <w:webHidden/>
                <w:sz w:val="18"/>
                <w:szCs w:val="18"/>
              </w:rPr>
              <w:fldChar w:fldCharType="end"/>
            </w:r>
          </w:hyperlink>
        </w:p>
        <w:p w14:paraId="636FC7B3" w14:textId="294C3A1A" w:rsidR="00D56991" w:rsidRPr="00267C86" w:rsidRDefault="00D56991">
          <w:pPr>
            <w:pStyle w:val="TDC3"/>
            <w:tabs>
              <w:tab w:val="right" w:leader="dot" w:pos="9350"/>
            </w:tabs>
            <w:rPr>
              <w:noProof/>
              <w:sz w:val="18"/>
              <w:szCs w:val="18"/>
            </w:rPr>
          </w:pPr>
          <w:hyperlink w:anchor="_Toc232659626" w:history="1">
            <w:r w:rsidRPr="00267C86">
              <w:rPr>
                <w:rStyle w:val="Hipervnculo"/>
                <w:noProof/>
                <w:sz w:val="18"/>
                <w:szCs w:val="18"/>
              </w:rPr>
              <w:t>Modo 3 — Adquisición con participación minoritaria estratégica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_Toc232659626 \h </w:instrText>
            </w:r>
            <w:r w:rsidRPr="00267C86">
              <w:rPr>
                <w:noProof/>
                <w:webHidden/>
                <w:sz w:val="18"/>
                <w:szCs w:val="18"/>
              </w:rPr>
            </w:r>
            <w:r w:rsidRPr="00267C86">
              <w:rPr>
                <w:noProof/>
                <w:webHidden/>
                <w:sz w:val="18"/>
                <w:szCs w:val="18"/>
              </w:rPr>
              <w:fldChar w:fldCharType="separate"/>
            </w:r>
            <w:r w:rsidRPr="00267C86">
              <w:rPr>
                <w:noProof/>
                <w:webHidden/>
                <w:sz w:val="18"/>
                <w:szCs w:val="18"/>
              </w:rPr>
              <w:t>61</w:t>
            </w:r>
            <w:r w:rsidRPr="00267C86">
              <w:rPr>
                <w:noProof/>
                <w:webHidden/>
                <w:sz w:val="18"/>
                <w:szCs w:val="18"/>
              </w:rPr>
              <w:fldChar w:fldCharType="end"/>
            </w:r>
          </w:hyperlink>
        </w:p>
        <w:p w14:paraId="524CFD09" w14:textId="65D6B354" w:rsidR="00D56991" w:rsidRPr="00267C86" w:rsidRDefault="00D56991">
          <w:pPr>
            <w:pStyle w:val="TDC3"/>
            <w:tabs>
              <w:tab w:val="right" w:leader="dot" w:pos="9350"/>
            </w:tabs>
            <w:rPr>
              <w:noProof/>
              <w:sz w:val="18"/>
              <w:szCs w:val="18"/>
            </w:rPr>
          </w:pPr>
          <w:hyperlink w:anchor="_Toc232659627" w:history="1">
            <w:r w:rsidRPr="00267C86">
              <w:rPr>
                <w:rStyle w:val="Hipervnculo"/>
                <w:noProof/>
                <w:sz w:val="18"/>
                <w:szCs w:val="18"/>
              </w:rPr>
              <w:t>Modo 4 — Alianza estratégica o joint venture</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_Toc232659627 \h </w:instrText>
            </w:r>
            <w:r w:rsidRPr="00267C86">
              <w:rPr>
                <w:noProof/>
                <w:webHidden/>
                <w:sz w:val="18"/>
                <w:szCs w:val="18"/>
              </w:rPr>
            </w:r>
            <w:r w:rsidRPr="00267C86">
              <w:rPr>
                <w:noProof/>
                <w:webHidden/>
                <w:sz w:val="18"/>
                <w:szCs w:val="18"/>
              </w:rPr>
              <w:fldChar w:fldCharType="separate"/>
            </w:r>
            <w:r w:rsidRPr="00267C86">
              <w:rPr>
                <w:noProof/>
                <w:webHidden/>
                <w:sz w:val="18"/>
                <w:szCs w:val="18"/>
              </w:rPr>
              <w:t>61</w:t>
            </w:r>
            <w:r w:rsidRPr="00267C86">
              <w:rPr>
                <w:noProof/>
                <w:webHidden/>
                <w:sz w:val="18"/>
                <w:szCs w:val="18"/>
              </w:rPr>
              <w:fldChar w:fldCharType="end"/>
            </w:r>
          </w:hyperlink>
        </w:p>
        <w:p w14:paraId="6E942865" w14:textId="412A1347" w:rsidR="00D56991" w:rsidRPr="00267C86" w:rsidRDefault="00D56991">
          <w:pPr>
            <w:pStyle w:val="TDC3"/>
            <w:tabs>
              <w:tab w:val="right" w:leader="dot" w:pos="9350"/>
            </w:tabs>
            <w:rPr>
              <w:noProof/>
              <w:sz w:val="18"/>
              <w:szCs w:val="18"/>
            </w:rPr>
          </w:pPr>
          <w:hyperlink w:anchor="_Toc232659628" w:history="1">
            <w:r w:rsidRPr="00267C86">
              <w:rPr>
                <w:rStyle w:val="Hipervnculo"/>
                <w:noProof/>
                <w:sz w:val="18"/>
                <w:szCs w:val="18"/>
              </w:rPr>
              <w:t>Modo 5 — Lanzamiento digital sin presencia física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_Toc232659628 \h </w:instrText>
            </w:r>
            <w:r w:rsidRPr="00267C86">
              <w:rPr>
                <w:noProof/>
                <w:webHidden/>
                <w:sz w:val="18"/>
                <w:szCs w:val="18"/>
              </w:rPr>
            </w:r>
            <w:r w:rsidRPr="00267C86">
              <w:rPr>
                <w:noProof/>
                <w:webHidden/>
                <w:sz w:val="18"/>
                <w:szCs w:val="18"/>
              </w:rPr>
              <w:fldChar w:fldCharType="separate"/>
            </w:r>
            <w:r w:rsidRPr="00267C86">
              <w:rPr>
                <w:noProof/>
                <w:webHidden/>
                <w:sz w:val="18"/>
                <w:szCs w:val="18"/>
              </w:rPr>
              <w:t>62</w:t>
            </w:r>
            <w:r w:rsidRPr="00267C86">
              <w:rPr>
                <w:noProof/>
                <w:webHidden/>
                <w:sz w:val="18"/>
                <w:szCs w:val="18"/>
              </w:rPr>
              <w:fldChar w:fldCharType="end"/>
            </w:r>
          </w:hyperlink>
        </w:p>
        <w:p w14:paraId="44DE9AA2" w14:textId="585C54BA" w:rsidR="00D56991" w:rsidRPr="00267C86" w:rsidRDefault="00D56991">
          <w:pPr>
            <w:pStyle w:val="TDC3"/>
            <w:tabs>
              <w:tab w:val="right" w:leader="dot" w:pos="9350"/>
            </w:tabs>
            <w:rPr>
              <w:noProof/>
              <w:sz w:val="18"/>
              <w:szCs w:val="18"/>
            </w:rPr>
          </w:pPr>
          <w:hyperlink w:anchor="_Toc232659629" w:history="1">
            <w:r w:rsidRPr="00267C86">
              <w:rPr>
                <w:rStyle w:val="Hipervnculo"/>
                <w:noProof/>
                <w:sz w:val="18"/>
                <w:szCs w:val="18"/>
              </w:rPr>
              <w:t>Modo 6 — Oficina de representación</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_Toc232659629 \h </w:instrText>
            </w:r>
            <w:r w:rsidRPr="00267C86">
              <w:rPr>
                <w:noProof/>
                <w:webHidden/>
                <w:sz w:val="18"/>
                <w:szCs w:val="18"/>
              </w:rPr>
            </w:r>
            <w:r w:rsidRPr="00267C86">
              <w:rPr>
                <w:noProof/>
                <w:webHidden/>
                <w:sz w:val="18"/>
                <w:szCs w:val="18"/>
              </w:rPr>
              <w:fldChar w:fldCharType="separate"/>
            </w:r>
            <w:r w:rsidRPr="00267C86">
              <w:rPr>
                <w:noProof/>
                <w:webHidden/>
                <w:sz w:val="18"/>
                <w:szCs w:val="18"/>
              </w:rPr>
              <w:t>62</w:t>
            </w:r>
            <w:r w:rsidRPr="00267C86">
              <w:rPr>
                <w:noProof/>
                <w:webHidden/>
                <w:sz w:val="18"/>
                <w:szCs w:val="18"/>
              </w:rPr>
              <w:fldChar w:fldCharType="end"/>
            </w:r>
          </w:hyperlink>
        </w:p>
        <w:p w14:paraId="2ADF2114" w14:textId="3C276813" w:rsidR="00D56991" w:rsidRPr="00267C86" w:rsidRDefault="00D56991">
          <w:pPr>
            <w:pStyle w:val="TDC3"/>
            <w:tabs>
              <w:tab w:val="right" w:leader="dot" w:pos="9350"/>
            </w:tabs>
            <w:rPr>
              <w:noProof/>
              <w:sz w:val="18"/>
              <w:szCs w:val="18"/>
            </w:rPr>
          </w:pPr>
          <w:hyperlink w:anchor="_Toc232659630" w:history="1">
            <w:r w:rsidRPr="00267C86">
              <w:rPr>
                <w:rStyle w:val="Hipervnculo"/>
                <w:noProof/>
                <w:sz w:val="18"/>
                <w:szCs w:val="18"/>
              </w:rPr>
              <w:t>Modo 7 — Piloto comercial acotado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_Toc232659630 \h </w:instrText>
            </w:r>
            <w:r w:rsidRPr="00267C86">
              <w:rPr>
                <w:noProof/>
                <w:webHidden/>
                <w:sz w:val="18"/>
                <w:szCs w:val="18"/>
              </w:rPr>
            </w:r>
            <w:r w:rsidRPr="00267C86">
              <w:rPr>
                <w:noProof/>
                <w:webHidden/>
                <w:sz w:val="18"/>
                <w:szCs w:val="18"/>
              </w:rPr>
              <w:fldChar w:fldCharType="separate"/>
            </w:r>
            <w:r w:rsidRPr="00267C86">
              <w:rPr>
                <w:noProof/>
                <w:webHidden/>
                <w:sz w:val="18"/>
                <w:szCs w:val="18"/>
              </w:rPr>
              <w:t>62</w:t>
            </w:r>
            <w:r w:rsidRPr="00267C86">
              <w:rPr>
                <w:noProof/>
                <w:webHidden/>
                <w:sz w:val="18"/>
                <w:szCs w:val="18"/>
              </w:rPr>
              <w:fldChar w:fldCharType="end"/>
            </w:r>
          </w:hyperlink>
        </w:p>
        <w:p w14:paraId="4D04C924" w14:textId="2D862DC5" w:rsidR="00D56991" w:rsidRPr="00267C86" w:rsidRDefault="00D56991">
          <w:pPr>
            <w:pStyle w:val="TDC2"/>
            <w:tabs>
              <w:tab w:val="right" w:leader="dot" w:pos="9350"/>
            </w:tabs>
            <w:rPr>
              <w:noProof/>
              <w:sz w:val="18"/>
              <w:szCs w:val="18"/>
            </w:rPr>
          </w:pPr>
          <w:hyperlink w:anchor="_Toc232659631" w:history="1">
            <w:r w:rsidRPr="00267C86">
              <w:rPr>
                <w:rStyle w:val="Hipervnculo"/>
                <w:noProof/>
                <w:sz w:val="18"/>
                <w:szCs w:val="18"/>
              </w:rPr>
              <w:t>9.3  Cómo el perfil de RADAR informa la selección del modo de entrada: reglas de correspondencia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_Toc232659631 \h </w:instrText>
            </w:r>
            <w:r w:rsidRPr="00267C86">
              <w:rPr>
                <w:noProof/>
                <w:webHidden/>
                <w:sz w:val="18"/>
                <w:szCs w:val="18"/>
              </w:rPr>
            </w:r>
            <w:r w:rsidRPr="00267C86">
              <w:rPr>
                <w:noProof/>
                <w:webHidden/>
                <w:sz w:val="18"/>
                <w:szCs w:val="18"/>
              </w:rPr>
              <w:fldChar w:fldCharType="separate"/>
            </w:r>
            <w:r w:rsidRPr="00267C86">
              <w:rPr>
                <w:noProof/>
                <w:webHidden/>
                <w:sz w:val="18"/>
                <w:szCs w:val="18"/>
              </w:rPr>
              <w:t>63</w:t>
            </w:r>
            <w:r w:rsidRPr="00267C86">
              <w:rPr>
                <w:noProof/>
                <w:webHidden/>
                <w:sz w:val="18"/>
                <w:szCs w:val="18"/>
              </w:rPr>
              <w:fldChar w:fldCharType="end"/>
            </w:r>
          </w:hyperlink>
        </w:p>
        <w:p w14:paraId="4BA551DA" w14:textId="1F64B68C" w:rsidR="00D56991" w:rsidRPr="00267C86" w:rsidRDefault="00D56991">
          <w:pPr>
            <w:pStyle w:val="TDC2"/>
            <w:tabs>
              <w:tab w:val="right" w:leader="dot" w:pos="9350"/>
            </w:tabs>
            <w:rPr>
              <w:noProof/>
              <w:sz w:val="18"/>
              <w:szCs w:val="18"/>
            </w:rPr>
          </w:pPr>
          <w:hyperlink w:anchor="_Toc232659632" w:history="1">
            <w:r w:rsidRPr="00267C86">
              <w:rPr>
                <w:rStyle w:val="Hipervnculo"/>
                <w:noProof/>
                <w:sz w:val="18"/>
                <w:szCs w:val="18"/>
              </w:rPr>
              <w:t>9.4  La secuencia de modos: de menor a mayor compromiso como estrategia de riesgo escalonado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_Toc232659632 \h </w:instrText>
            </w:r>
            <w:r w:rsidRPr="00267C86">
              <w:rPr>
                <w:noProof/>
                <w:webHidden/>
                <w:sz w:val="18"/>
                <w:szCs w:val="18"/>
              </w:rPr>
            </w:r>
            <w:r w:rsidRPr="00267C86">
              <w:rPr>
                <w:noProof/>
                <w:webHidden/>
                <w:sz w:val="18"/>
                <w:szCs w:val="18"/>
              </w:rPr>
              <w:fldChar w:fldCharType="separate"/>
            </w:r>
            <w:r w:rsidRPr="00267C86">
              <w:rPr>
                <w:noProof/>
                <w:webHidden/>
                <w:sz w:val="18"/>
                <w:szCs w:val="18"/>
              </w:rPr>
              <w:t>65</w:t>
            </w:r>
            <w:r w:rsidRPr="00267C86">
              <w:rPr>
                <w:noProof/>
                <w:webHidden/>
                <w:sz w:val="18"/>
                <w:szCs w:val="18"/>
              </w:rPr>
              <w:fldChar w:fldCharType="end"/>
            </w:r>
          </w:hyperlink>
        </w:p>
        <w:p w14:paraId="204207FE" w14:textId="44EA9F41" w:rsidR="00D56991" w:rsidRPr="00267C86" w:rsidRDefault="00D56991">
          <w:pPr>
            <w:pStyle w:val="TDC2"/>
            <w:tabs>
              <w:tab w:val="right" w:leader="dot" w:pos="9350"/>
            </w:tabs>
            <w:rPr>
              <w:noProof/>
              <w:sz w:val="18"/>
              <w:szCs w:val="18"/>
            </w:rPr>
          </w:pPr>
          <w:hyperlink w:anchor="_Toc232659633" w:history="1">
            <w:r w:rsidRPr="00267C86">
              <w:rPr>
                <w:rStyle w:val="Hipervnculo"/>
                <w:noProof/>
                <w:sz w:val="18"/>
                <w:szCs w:val="18"/>
              </w:rPr>
              <w:t>9.5  Entregables, participantes y tiempo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_Toc232659633 \h </w:instrText>
            </w:r>
            <w:r w:rsidRPr="00267C86">
              <w:rPr>
                <w:noProof/>
                <w:webHidden/>
                <w:sz w:val="18"/>
                <w:szCs w:val="18"/>
              </w:rPr>
            </w:r>
            <w:r w:rsidRPr="00267C86">
              <w:rPr>
                <w:noProof/>
                <w:webHidden/>
                <w:sz w:val="18"/>
                <w:szCs w:val="18"/>
              </w:rPr>
              <w:fldChar w:fldCharType="separate"/>
            </w:r>
            <w:r w:rsidRPr="00267C86">
              <w:rPr>
                <w:noProof/>
                <w:webHidden/>
                <w:sz w:val="18"/>
                <w:szCs w:val="18"/>
              </w:rPr>
              <w:t>66</w:t>
            </w:r>
            <w:r w:rsidRPr="00267C86">
              <w:rPr>
                <w:noProof/>
                <w:webHidden/>
                <w:sz w:val="18"/>
                <w:szCs w:val="18"/>
              </w:rPr>
              <w:fldChar w:fldCharType="end"/>
            </w:r>
          </w:hyperlink>
        </w:p>
        <w:p w14:paraId="20394F0D" w14:textId="3FDB76E2" w:rsidR="00D56991" w:rsidRPr="00267C86" w:rsidRDefault="00D56991">
          <w:pPr>
            <w:pStyle w:val="TDC1"/>
            <w:tabs>
              <w:tab w:val="right" w:leader="dot" w:pos="9350"/>
            </w:tabs>
            <w:rPr>
              <w:noProof/>
              <w:sz w:val="18"/>
              <w:szCs w:val="18"/>
            </w:rPr>
          </w:pPr>
          <w:hyperlink w:anchor="_Toc232659634" w:history="1">
            <w:r w:rsidRPr="00267C86">
              <w:rPr>
                <w:rStyle w:val="Hipervnculo"/>
                <w:noProof/>
                <w:sz w:val="18"/>
                <w:szCs w:val="18"/>
              </w:rPr>
              <w:t>Sección 10 — Fase 8: Due Diligence y Validación Final</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_Toc232659634 \h </w:instrText>
            </w:r>
            <w:r w:rsidRPr="00267C86">
              <w:rPr>
                <w:noProof/>
                <w:webHidden/>
                <w:sz w:val="18"/>
                <w:szCs w:val="18"/>
              </w:rPr>
            </w:r>
            <w:r w:rsidRPr="00267C86">
              <w:rPr>
                <w:noProof/>
                <w:webHidden/>
                <w:sz w:val="18"/>
                <w:szCs w:val="18"/>
              </w:rPr>
              <w:fldChar w:fldCharType="separate"/>
            </w:r>
            <w:r w:rsidRPr="00267C86">
              <w:rPr>
                <w:noProof/>
                <w:webHidden/>
                <w:sz w:val="18"/>
                <w:szCs w:val="18"/>
              </w:rPr>
              <w:t>67</w:t>
            </w:r>
            <w:r w:rsidRPr="00267C86">
              <w:rPr>
                <w:noProof/>
                <w:webHidden/>
                <w:sz w:val="18"/>
                <w:szCs w:val="18"/>
              </w:rPr>
              <w:fldChar w:fldCharType="end"/>
            </w:r>
          </w:hyperlink>
        </w:p>
        <w:p w14:paraId="519A6CE7" w14:textId="1EBE04D8" w:rsidR="00D56991" w:rsidRPr="00267C86" w:rsidRDefault="00D56991">
          <w:pPr>
            <w:pStyle w:val="TDC2"/>
            <w:tabs>
              <w:tab w:val="right" w:leader="dot" w:pos="9350"/>
            </w:tabs>
            <w:rPr>
              <w:noProof/>
              <w:sz w:val="18"/>
              <w:szCs w:val="18"/>
            </w:rPr>
          </w:pPr>
          <w:hyperlink w:anchor="_Toc232659635" w:history="1">
            <w:r w:rsidRPr="00267C86">
              <w:rPr>
                <w:rStyle w:val="Hipervnculo"/>
                <w:noProof/>
                <w:sz w:val="18"/>
                <w:szCs w:val="18"/>
              </w:rPr>
              <w:t>10.1  Due diligence regulatorio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_Toc232659635 \h </w:instrText>
            </w:r>
            <w:r w:rsidRPr="00267C86">
              <w:rPr>
                <w:noProof/>
                <w:webHidden/>
                <w:sz w:val="18"/>
                <w:szCs w:val="18"/>
              </w:rPr>
            </w:r>
            <w:r w:rsidRPr="00267C86">
              <w:rPr>
                <w:noProof/>
                <w:webHidden/>
                <w:sz w:val="18"/>
                <w:szCs w:val="18"/>
              </w:rPr>
              <w:fldChar w:fldCharType="separate"/>
            </w:r>
            <w:r w:rsidRPr="00267C86">
              <w:rPr>
                <w:noProof/>
                <w:webHidden/>
                <w:sz w:val="18"/>
                <w:szCs w:val="18"/>
              </w:rPr>
              <w:t>67</w:t>
            </w:r>
            <w:r w:rsidRPr="00267C86">
              <w:rPr>
                <w:noProof/>
                <w:webHidden/>
                <w:sz w:val="18"/>
                <w:szCs w:val="18"/>
              </w:rPr>
              <w:fldChar w:fldCharType="end"/>
            </w:r>
          </w:hyperlink>
        </w:p>
        <w:p w14:paraId="2C50C930" w14:textId="164F0327" w:rsidR="00D56991" w:rsidRPr="00267C86" w:rsidRDefault="00D56991">
          <w:pPr>
            <w:pStyle w:val="TDC2"/>
            <w:tabs>
              <w:tab w:val="right" w:leader="dot" w:pos="9350"/>
            </w:tabs>
            <w:rPr>
              <w:noProof/>
              <w:sz w:val="18"/>
              <w:szCs w:val="18"/>
            </w:rPr>
          </w:pPr>
          <w:hyperlink w:anchor="_Toc232659636" w:history="1">
            <w:r w:rsidRPr="00267C86">
              <w:rPr>
                <w:rStyle w:val="Hipervnculo"/>
                <w:noProof/>
                <w:sz w:val="18"/>
                <w:szCs w:val="18"/>
              </w:rPr>
              <w:t>10.2  Due diligence de mercado y cliente</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_Toc232659636 \h </w:instrText>
            </w:r>
            <w:r w:rsidRPr="00267C86">
              <w:rPr>
                <w:noProof/>
                <w:webHidden/>
                <w:sz w:val="18"/>
                <w:szCs w:val="18"/>
              </w:rPr>
            </w:r>
            <w:r w:rsidRPr="00267C86">
              <w:rPr>
                <w:noProof/>
                <w:webHidden/>
                <w:sz w:val="18"/>
                <w:szCs w:val="18"/>
              </w:rPr>
              <w:fldChar w:fldCharType="separate"/>
            </w:r>
            <w:r w:rsidRPr="00267C86">
              <w:rPr>
                <w:noProof/>
                <w:webHidden/>
                <w:sz w:val="18"/>
                <w:szCs w:val="18"/>
              </w:rPr>
              <w:t>68</w:t>
            </w:r>
            <w:r w:rsidRPr="00267C86">
              <w:rPr>
                <w:noProof/>
                <w:webHidden/>
                <w:sz w:val="18"/>
                <w:szCs w:val="18"/>
              </w:rPr>
              <w:fldChar w:fldCharType="end"/>
            </w:r>
          </w:hyperlink>
        </w:p>
        <w:p w14:paraId="3243062A" w14:textId="4AF4C0E2" w:rsidR="00D56991" w:rsidRPr="00267C86" w:rsidRDefault="00D56991">
          <w:pPr>
            <w:pStyle w:val="TDC2"/>
            <w:tabs>
              <w:tab w:val="right" w:leader="dot" w:pos="9350"/>
            </w:tabs>
            <w:rPr>
              <w:noProof/>
              <w:sz w:val="18"/>
              <w:szCs w:val="18"/>
            </w:rPr>
          </w:pPr>
          <w:hyperlink w:anchor="_Toc232659637" w:history="1">
            <w:r w:rsidRPr="00267C86">
              <w:rPr>
                <w:rStyle w:val="Hipervnculo"/>
                <w:noProof/>
                <w:sz w:val="18"/>
                <w:szCs w:val="18"/>
              </w:rPr>
              <w:t>10.3  Due diligence financiero y de riesgo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_Toc232659637 \h </w:instrText>
            </w:r>
            <w:r w:rsidRPr="00267C86">
              <w:rPr>
                <w:noProof/>
                <w:webHidden/>
                <w:sz w:val="18"/>
                <w:szCs w:val="18"/>
              </w:rPr>
            </w:r>
            <w:r w:rsidRPr="00267C86">
              <w:rPr>
                <w:noProof/>
                <w:webHidden/>
                <w:sz w:val="18"/>
                <w:szCs w:val="18"/>
              </w:rPr>
              <w:fldChar w:fldCharType="separate"/>
            </w:r>
            <w:r w:rsidRPr="00267C86">
              <w:rPr>
                <w:noProof/>
                <w:webHidden/>
                <w:sz w:val="18"/>
                <w:szCs w:val="18"/>
              </w:rPr>
              <w:t>69</w:t>
            </w:r>
            <w:r w:rsidRPr="00267C86">
              <w:rPr>
                <w:noProof/>
                <w:webHidden/>
                <w:sz w:val="18"/>
                <w:szCs w:val="18"/>
              </w:rPr>
              <w:fldChar w:fldCharType="end"/>
            </w:r>
          </w:hyperlink>
        </w:p>
        <w:p w14:paraId="505036EC" w14:textId="39070A27" w:rsidR="00D56991" w:rsidRPr="00267C86" w:rsidRDefault="00D56991">
          <w:pPr>
            <w:pStyle w:val="TDC2"/>
            <w:tabs>
              <w:tab w:val="right" w:leader="dot" w:pos="9350"/>
            </w:tabs>
            <w:rPr>
              <w:noProof/>
              <w:sz w:val="18"/>
              <w:szCs w:val="18"/>
            </w:rPr>
          </w:pPr>
          <w:hyperlink w:anchor="_Toc232659638" w:history="1">
            <w:r w:rsidRPr="00267C86">
              <w:rPr>
                <w:rStyle w:val="Hipervnculo"/>
                <w:noProof/>
                <w:sz w:val="18"/>
                <w:szCs w:val="18"/>
              </w:rPr>
              <w:t>10.4  Cómo RADAR Cibest genera el input del due diligence</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_Toc232659638 \h </w:instrText>
            </w:r>
            <w:r w:rsidRPr="00267C86">
              <w:rPr>
                <w:noProof/>
                <w:webHidden/>
                <w:sz w:val="18"/>
                <w:szCs w:val="18"/>
              </w:rPr>
            </w:r>
            <w:r w:rsidRPr="00267C86">
              <w:rPr>
                <w:noProof/>
                <w:webHidden/>
                <w:sz w:val="18"/>
                <w:szCs w:val="18"/>
              </w:rPr>
              <w:fldChar w:fldCharType="separate"/>
            </w:r>
            <w:r w:rsidRPr="00267C86">
              <w:rPr>
                <w:noProof/>
                <w:webHidden/>
                <w:sz w:val="18"/>
                <w:szCs w:val="18"/>
              </w:rPr>
              <w:t>69</w:t>
            </w:r>
            <w:r w:rsidRPr="00267C86">
              <w:rPr>
                <w:noProof/>
                <w:webHidden/>
                <w:sz w:val="18"/>
                <w:szCs w:val="18"/>
              </w:rPr>
              <w:fldChar w:fldCharType="end"/>
            </w:r>
          </w:hyperlink>
        </w:p>
        <w:p w14:paraId="3057E862" w14:textId="226C8D98" w:rsidR="00D56991" w:rsidRPr="00267C86" w:rsidRDefault="00D56991">
          <w:pPr>
            <w:pStyle w:val="TDC2"/>
            <w:tabs>
              <w:tab w:val="right" w:leader="dot" w:pos="9350"/>
            </w:tabs>
            <w:rPr>
              <w:noProof/>
              <w:sz w:val="18"/>
              <w:szCs w:val="18"/>
            </w:rPr>
          </w:pPr>
          <w:hyperlink w:anchor="_Toc232659639" w:history="1">
            <w:r w:rsidRPr="00267C86">
              <w:rPr>
                <w:rStyle w:val="Hipervnculo"/>
                <w:noProof/>
                <w:sz w:val="18"/>
                <w:szCs w:val="18"/>
              </w:rPr>
              <w:t>10.5  Entregables, participantes y tiempo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_Toc232659639 \h </w:instrText>
            </w:r>
            <w:r w:rsidRPr="00267C86">
              <w:rPr>
                <w:noProof/>
                <w:webHidden/>
                <w:sz w:val="18"/>
                <w:szCs w:val="18"/>
              </w:rPr>
            </w:r>
            <w:r w:rsidRPr="00267C86">
              <w:rPr>
                <w:noProof/>
                <w:webHidden/>
                <w:sz w:val="18"/>
                <w:szCs w:val="18"/>
              </w:rPr>
              <w:fldChar w:fldCharType="separate"/>
            </w:r>
            <w:r w:rsidRPr="00267C86">
              <w:rPr>
                <w:noProof/>
                <w:webHidden/>
                <w:sz w:val="18"/>
                <w:szCs w:val="18"/>
              </w:rPr>
              <w:t>70</w:t>
            </w:r>
            <w:r w:rsidRPr="00267C86">
              <w:rPr>
                <w:noProof/>
                <w:webHidden/>
                <w:sz w:val="18"/>
                <w:szCs w:val="18"/>
              </w:rPr>
              <w:fldChar w:fldCharType="end"/>
            </w:r>
          </w:hyperlink>
        </w:p>
        <w:p w14:paraId="377AB99D" w14:textId="1E76CBEB" w:rsidR="00D56991" w:rsidRPr="00267C86" w:rsidRDefault="00D56991">
          <w:pPr>
            <w:pStyle w:val="TDC1"/>
            <w:tabs>
              <w:tab w:val="right" w:leader="dot" w:pos="9350"/>
            </w:tabs>
            <w:rPr>
              <w:noProof/>
              <w:sz w:val="18"/>
              <w:szCs w:val="18"/>
            </w:rPr>
          </w:pPr>
          <w:hyperlink w:anchor="_Toc232659640" w:history="1">
            <w:r w:rsidRPr="00267C86">
              <w:rPr>
                <w:rStyle w:val="Hipervnculo"/>
                <w:noProof/>
                <w:sz w:val="18"/>
                <w:szCs w:val="18"/>
              </w:rPr>
              <w:t>Sección 11 — Sesgos en la Selección Internacional de Mercados y Cómo Evitarlos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_Toc232659640 \h </w:instrText>
            </w:r>
            <w:r w:rsidRPr="00267C86">
              <w:rPr>
                <w:noProof/>
                <w:webHidden/>
                <w:sz w:val="18"/>
                <w:szCs w:val="18"/>
              </w:rPr>
            </w:r>
            <w:r w:rsidRPr="00267C86">
              <w:rPr>
                <w:noProof/>
                <w:webHidden/>
                <w:sz w:val="18"/>
                <w:szCs w:val="18"/>
              </w:rPr>
              <w:fldChar w:fldCharType="separate"/>
            </w:r>
            <w:r w:rsidRPr="00267C86">
              <w:rPr>
                <w:noProof/>
                <w:webHidden/>
                <w:sz w:val="18"/>
                <w:szCs w:val="18"/>
              </w:rPr>
              <w:t>72</w:t>
            </w:r>
            <w:r w:rsidRPr="00267C86">
              <w:rPr>
                <w:noProof/>
                <w:webHidden/>
                <w:sz w:val="18"/>
                <w:szCs w:val="18"/>
              </w:rPr>
              <w:fldChar w:fldCharType="end"/>
            </w:r>
          </w:hyperlink>
        </w:p>
        <w:p w14:paraId="7A2F96D8" w14:textId="2E24E81B" w:rsidR="00D56991" w:rsidRPr="00267C86" w:rsidRDefault="00D56991">
          <w:pPr>
            <w:pStyle w:val="TDC2"/>
            <w:tabs>
              <w:tab w:val="right" w:leader="dot" w:pos="9350"/>
            </w:tabs>
            <w:rPr>
              <w:noProof/>
              <w:sz w:val="18"/>
              <w:szCs w:val="18"/>
            </w:rPr>
          </w:pPr>
          <w:hyperlink w:anchor="_Toc232659641" w:history="1">
            <w:r w:rsidRPr="00267C86">
              <w:rPr>
                <w:rStyle w:val="Hipervnculo"/>
                <w:noProof/>
                <w:sz w:val="18"/>
                <w:szCs w:val="18"/>
              </w:rPr>
              <w:t>11.1  Sesgo de familiaridad o del mercado conocido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_Toc232659641 \h </w:instrText>
            </w:r>
            <w:r w:rsidRPr="00267C86">
              <w:rPr>
                <w:noProof/>
                <w:webHidden/>
                <w:sz w:val="18"/>
                <w:szCs w:val="18"/>
              </w:rPr>
            </w:r>
            <w:r w:rsidRPr="00267C86">
              <w:rPr>
                <w:noProof/>
                <w:webHidden/>
                <w:sz w:val="18"/>
                <w:szCs w:val="18"/>
              </w:rPr>
              <w:fldChar w:fldCharType="separate"/>
            </w:r>
            <w:r w:rsidRPr="00267C86">
              <w:rPr>
                <w:noProof/>
                <w:webHidden/>
                <w:sz w:val="18"/>
                <w:szCs w:val="18"/>
              </w:rPr>
              <w:t>72</w:t>
            </w:r>
            <w:r w:rsidRPr="00267C86">
              <w:rPr>
                <w:noProof/>
                <w:webHidden/>
                <w:sz w:val="18"/>
                <w:szCs w:val="18"/>
              </w:rPr>
              <w:fldChar w:fldCharType="end"/>
            </w:r>
          </w:hyperlink>
        </w:p>
        <w:p w14:paraId="0EBAE25E" w14:textId="03D11342" w:rsidR="00D56991" w:rsidRPr="00267C86" w:rsidRDefault="00D56991">
          <w:pPr>
            <w:pStyle w:val="TDC2"/>
            <w:tabs>
              <w:tab w:val="right" w:leader="dot" w:pos="9350"/>
            </w:tabs>
            <w:rPr>
              <w:noProof/>
              <w:sz w:val="18"/>
              <w:szCs w:val="18"/>
            </w:rPr>
          </w:pPr>
          <w:hyperlink w:anchor="_Toc232659642" w:history="1">
            <w:r w:rsidRPr="00267C86">
              <w:rPr>
                <w:rStyle w:val="Hipervnculo"/>
                <w:noProof/>
                <w:sz w:val="18"/>
                <w:szCs w:val="18"/>
              </w:rPr>
              <w:t>11.2  Sesgo de confirmación</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_Toc232659642 \h </w:instrText>
            </w:r>
            <w:r w:rsidRPr="00267C86">
              <w:rPr>
                <w:noProof/>
                <w:webHidden/>
                <w:sz w:val="18"/>
                <w:szCs w:val="18"/>
              </w:rPr>
            </w:r>
            <w:r w:rsidRPr="00267C86">
              <w:rPr>
                <w:noProof/>
                <w:webHidden/>
                <w:sz w:val="18"/>
                <w:szCs w:val="18"/>
              </w:rPr>
              <w:fldChar w:fldCharType="separate"/>
            </w:r>
            <w:r w:rsidRPr="00267C86">
              <w:rPr>
                <w:noProof/>
                <w:webHidden/>
                <w:sz w:val="18"/>
                <w:szCs w:val="18"/>
              </w:rPr>
              <w:t>73</w:t>
            </w:r>
            <w:r w:rsidRPr="00267C86">
              <w:rPr>
                <w:noProof/>
                <w:webHidden/>
                <w:sz w:val="18"/>
                <w:szCs w:val="18"/>
              </w:rPr>
              <w:fldChar w:fldCharType="end"/>
            </w:r>
          </w:hyperlink>
        </w:p>
        <w:p w14:paraId="328AFA67" w14:textId="5322C2DD" w:rsidR="00D56991" w:rsidRPr="00267C86" w:rsidRDefault="00D56991">
          <w:pPr>
            <w:pStyle w:val="TDC2"/>
            <w:tabs>
              <w:tab w:val="right" w:leader="dot" w:pos="9350"/>
            </w:tabs>
            <w:rPr>
              <w:noProof/>
              <w:sz w:val="18"/>
              <w:szCs w:val="18"/>
            </w:rPr>
          </w:pPr>
          <w:hyperlink w:anchor="_Toc232659643" w:history="1">
            <w:r w:rsidRPr="00267C86">
              <w:rPr>
                <w:rStyle w:val="Hipervnculo"/>
                <w:noProof/>
                <w:sz w:val="18"/>
                <w:szCs w:val="18"/>
              </w:rPr>
              <w:t>11.3  Sesgo de anclaje en el ranking</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_Toc232659643 \h </w:instrText>
            </w:r>
            <w:r w:rsidRPr="00267C86">
              <w:rPr>
                <w:noProof/>
                <w:webHidden/>
                <w:sz w:val="18"/>
                <w:szCs w:val="18"/>
              </w:rPr>
            </w:r>
            <w:r w:rsidRPr="00267C86">
              <w:rPr>
                <w:noProof/>
                <w:webHidden/>
                <w:sz w:val="18"/>
                <w:szCs w:val="18"/>
              </w:rPr>
              <w:fldChar w:fldCharType="separate"/>
            </w:r>
            <w:r w:rsidRPr="00267C86">
              <w:rPr>
                <w:noProof/>
                <w:webHidden/>
                <w:sz w:val="18"/>
                <w:szCs w:val="18"/>
              </w:rPr>
              <w:t>74</w:t>
            </w:r>
            <w:r w:rsidRPr="00267C86">
              <w:rPr>
                <w:noProof/>
                <w:webHidden/>
                <w:sz w:val="18"/>
                <w:szCs w:val="18"/>
              </w:rPr>
              <w:fldChar w:fldCharType="end"/>
            </w:r>
          </w:hyperlink>
        </w:p>
        <w:p w14:paraId="18B51B7C" w14:textId="7E0465AB" w:rsidR="00D56991" w:rsidRPr="00267C86" w:rsidRDefault="00D56991">
          <w:pPr>
            <w:pStyle w:val="TDC2"/>
            <w:tabs>
              <w:tab w:val="right" w:leader="dot" w:pos="9350"/>
            </w:tabs>
            <w:rPr>
              <w:noProof/>
              <w:sz w:val="18"/>
              <w:szCs w:val="18"/>
            </w:rPr>
          </w:pPr>
          <w:hyperlink w:anchor="_Toc232659644" w:history="1">
            <w:r w:rsidRPr="00267C86">
              <w:rPr>
                <w:rStyle w:val="Hipervnculo"/>
                <w:noProof/>
                <w:sz w:val="18"/>
                <w:szCs w:val="18"/>
              </w:rPr>
              <w:t>11.4  Sesgo de exceso de confianza en el modelo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_Toc232659644 \h </w:instrText>
            </w:r>
            <w:r w:rsidRPr="00267C86">
              <w:rPr>
                <w:noProof/>
                <w:webHidden/>
                <w:sz w:val="18"/>
                <w:szCs w:val="18"/>
              </w:rPr>
            </w:r>
            <w:r w:rsidRPr="00267C86">
              <w:rPr>
                <w:noProof/>
                <w:webHidden/>
                <w:sz w:val="18"/>
                <w:szCs w:val="18"/>
              </w:rPr>
              <w:fldChar w:fldCharType="separate"/>
            </w:r>
            <w:r w:rsidRPr="00267C86">
              <w:rPr>
                <w:noProof/>
                <w:webHidden/>
                <w:sz w:val="18"/>
                <w:szCs w:val="18"/>
              </w:rPr>
              <w:t>74</w:t>
            </w:r>
            <w:r w:rsidRPr="00267C86">
              <w:rPr>
                <w:noProof/>
                <w:webHidden/>
                <w:sz w:val="18"/>
                <w:szCs w:val="18"/>
              </w:rPr>
              <w:fldChar w:fldCharType="end"/>
            </w:r>
          </w:hyperlink>
        </w:p>
        <w:p w14:paraId="76EC2442" w14:textId="3F41AAC3" w:rsidR="00D56991" w:rsidRPr="00267C86" w:rsidRDefault="00D56991">
          <w:pPr>
            <w:pStyle w:val="TDC2"/>
            <w:tabs>
              <w:tab w:val="right" w:leader="dot" w:pos="9350"/>
            </w:tabs>
            <w:rPr>
              <w:noProof/>
              <w:sz w:val="18"/>
              <w:szCs w:val="18"/>
            </w:rPr>
          </w:pPr>
          <w:hyperlink w:anchor="_Toc232659645" w:history="1">
            <w:r w:rsidRPr="00267C86">
              <w:rPr>
                <w:rStyle w:val="Hipervnculo"/>
                <w:noProof/>
                <w:sz w:val="18"/>
                <w:szCs w:val="18"/>
              </w:rPr>
              <w:t>11.5  Sesgo de disponibilidad de datos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_Toc232659645 \h </w:instrText>
            </w:r>
            <w:r w:rsidRPr="00267C86">
              <w:rPr>
                <w:noProof/>
                <w:webHidden/>
                <w:sz w:val="18"/>
                <w:szCs w:val="18"/>
              </w:rPr>
            </w:r>
            <w:r w:rsidRPr="00267C86">
              <w:rPr>
                <w:noProof/>
                <w:webHidden/>
                <w:sz w:val="18"/>
                <w:szCs w:val="18"/>
              </w:rPr>
              <w:fldChar w:fldCharType="separate"/>
            </w:r>
            <w:r w:rsidRPr="00267C86">
              <w:rPr>
                <w:noProof/>
                <w:webHidden/>
                <w:sz w:val="18"/>
                <w:szCs w:val="18"/>
              </w:rPr>
              <w:t>75</w:t>
            </w:r>
            <w:r w:rsidRPr="00267C86">
              <w:rPr>
                <w:noProof/>
                <w:webHidden/>
                <w:sz w:val="18"/>
                <w:szCs w:val="18"/>
              </w:rPr>
              <w:fldChar w:fldCharType="end"/>
            </w:r>
          </w:hyperlink>
        </w:p>
        <w:p w14:paraId="5C37EB5D" w14:textId="31A21A9A" w:rsidR="00D56991" w:rsidRPr="00267C86" w:rsidRDefault="00D56991">
          <w:pPr>
            <w:pStyle w:val="TDC2"/>
            <w:tabs>
              <w:tab w:val="right" w:leader="dot" w:pos="9350"/>
            </w:tabs>
            <w:rPr>
              <w:noProof/>
              <w:sz w:val="18"/>
              <w:szCs w:val="18"/>
            </w:rPr>
          </w:pPr>
          <w:hyperlink w:anchor="_Toc232659646" w:history="1">
            <w:r w:rsidRPr="00267C86">
              <w:rPr>
                <w:rStyle w:val="Hipervnculo"/>
                <w:noProof/>
                <w:sz w:val="18"/>
                <w:szCs w:val="18"/>
              </w:rPr>
              <w:t>11.6  Sesgo de presentismo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_Toc232659646 \h </w:instrText>
            </w:r>
            <w:r w:rsidRPr="00267C86">
              <w:rPr>
                <w:noProof/>
                <w:webHidden/>
                <w:sz w:val="18"/>
                <w:szCs w:val="18"/>
              </w:rPr>
            </w:r>
            <w:r w:rsidRPr="00267C86">
              <w:rPr>
                <w:noProof/>
                <w:webHidden/>
                <w:sz w:val="18"/>
                <w:szCs w:val="18"/>
              </w:rPr>
              <w:fldChar w:fldCharType="separate"/>
            </w:r>
            <w:r w:rsidRPr="00267C86">
              <w:rPr>
                <w:noProof/>
                <w:webHidden/>
                <w:sz w:val="18"/>
                <w:szCs w:val="18"/>
              </w:rPr>
              <w:t>76</w:t>
            </w:r>
            <w:r w:rsidRPr="00267C86">
              <w:rPr>
                <w:noProof/>
                <w:webHidden/>
                <w:sz w:val="18"/>
                <w:szCs w:val="18"/>
              </w:rPr>
              <w:fldChar w:fldCharType="end"/>
            </w:r>
          </w:hyperlink>
        </w:p>
        <w:p w14:paraId="684D447F" w14:textId="562C6738" w:rsidR="00D56991" w:rsidRPr="00267C86" w:rsidRDefault="00D56991">
          <w:pPr>
            <w:pStyle w:val="TDC2"/>
            <w:tabs>
              <w:tab w:val="right" w:leader="dot" w:pos="9350"/>
            </w:tabs>
            <w:rPr>
              <w:noProof/>
              <w:sz w:val="18"/>
              <w:szCs w:val="18"/>
            </w:rPr>
          </w:pPr>
          <w:hyperlink w:anchor="_Toc232659647" w:history="1">
            <w:r w:rsidRPr="00267C86">
              <w:rPr>
                <w:rStyle w:val="Hipervnculo"/>
                <w:noProof/>
                <w:sz w:val="18"/>
                <w:szCs w:val="18"/>
              </w:rPr>
              <w:t>11.7  Cómo balancear percepción directiva y evidencia cuantitativa: el protocolo de sesión</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_Toc232659647 \h </w:instrText>
            </w:r>
            <w:r w:rsidRPr="00267C86">
              <w:rPr>
                <w:noProof/>
                <w:webHidden/>
                <w:sz w:val="18"/>
                <w:szCs w:val="18"/>
              </w:rPr>
            </w:r>
            <w:r w:rsidRPr="00267C86">
              <w:rPr>
                <w:noProof/>
                <w:webHidden/>
                <w:sz w:val="18"/>
                <w:szCs w:val="18"/>
              </w:rPr>
              <w:fldChar w:fldCharType="separate"/>
            </w:r>
            <w:r w:rsidRPr="00267C86">
              <w:rPr>
                <w:noProof/>
                <w:webHidden/>
                <w:sz w:val="18"/>
                <w:szCs w:val="18"/>
              </w:rPr>
              <w:t>76</w:t>
            </w:r>
            <w:r w:rsidRPr="00267C86">
              <w:rPr>
                <w:noProof/>
                <w:webHidden/>
                <w:sz w:val="18"/>
                <w:szCs w:val="18"/>
              </w:rPr>
              <w:fldChar w:fldCharType="end"/>
            </w:r>
          </w:hyperlink>
        </w:p>
        <w:p w14:paraId="7749A3AF" w14:textId="641AD3E8" w:rsidR="00D56991" w:rsidRPr="00267C86" w:rsidRDefault="00D56991">
          <w:pPr>
            <w:pStyle w:val="TDC1"/>
            <w:tabs>
              <w:tab w:val="right" w:leader="dot" w:pos="9350"/>
            </w:tabs>
            <w:rPr>
              <w:noProof/>
              <w:sz w:val="18"/>
              <w:szCs w:val="18"/>
            </w:rPr>
          </w:pPr>
          <w:hyperlink w:anchor="_Toc232659648" w:history="1">
            <w:r w:rsidRPr="00267C86">
              <w:rPr>
                <w:rStyle w:val="Hipervnculo"/>
                <w:noProof/>
                <w:sz w:val="18"/>
                <w:szCs w:val="18"/>
              </w:rPr>
              <w:t>Sección 12 — Limitaciones del Modelo Cuantitativo y del Proceso SIM</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_Toc232659648 \h </w:instrText>
            </w:r>
            <w:r w:rsidRPr="00267C86">
              <w:rPr>
                <w:noProof/>
                <w:webHidden/>
                <w:sz w:val="18"/>
                <w:szCs w:val="18"/>
              </w:rPr>
            </w:r>
            <w:r w:rsidRPr="00267C86">
              <w:rPr>
                <w:noProof/>
                <w:webHidden/>
                <w:sz w:val="18"/>
                <w:szCs w:val="18"/>
              </w:rPr>
              <w:fldChar w:fldCharType="separate"/>
            </w:r>
            <w:r w:rsidRPr="00267C86">
              <w:rPr>
                <w:noProof/>
                <w:webHidden/>
                <w:sz w:val="18"/>
                <w:szCs w:val="18"/>
              </w:rPr>
              <w:t>78</w:t>
            </w:r>
            <w:r w:rsidRPr="00267C86">
              <w:rPr>
                <w:noProof/>
                <w:webHidden/>
                <w:sz w:val="18"/>
                <w:szCs w:val="18"/>
              </w:rPr>
              <w:fldChar w:fldCharType="end"/>
            </w:r>
          </w:hyperlink>
        </w:p>
        <w:p w14:paraId="5F1971D3" w14:textId="637FD2AD" w:rsidR="00D56991" w:rsidRPr="00267C86" w:rsidRDefault="00D56991">
          <w:pPr>
            <w:pStyle w:val="TDC2"/>
            <w:tabs>
              <w:tab w:val="right" w:leader="dot" w:pos="9350"/>
            </w:tabs>
            <w:rPr>
              <w:noProof/>
              <w:sz w:val="18"/>
              <w:szCs w:val="18"/>
            </w:rPr>
          </w:pPr>
          <w:hyperlink w:anchor="_Toc232659649" w:history="1">
            <w:r w:rsidRPr="00267C86">
              <w:rPr>
                <w:rStyle w:val="Hipervnculo"/>
                <w:noProof/>
                <w:sz w:val="18"/>
                <w:szCs w:val="18"/>
              </w:rPr>
              <w:t>12.1  Lo que RADAR Cibest no hace: las cinco limitaciones fundamentales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_Toc232659649 \h </w:instrText>
            </w:r>
            <w:r w:rsidRPr="00267C86">
              <w:rPr>
                <w:noProof/>
                <w:webHidden/>
                <w:sz w:val="18"/>
                <w:szCs w:val="18"/>
              </w:rPr>
            </w:r>
            <w:r w:rsidRPr="00267C86">
              <w:rPr>
                <w:noProof/>
                <w:webHidden/>
                <w:sz w:val="18"/>
                <w:szCs w:val="18"/>
              </w:rPr>
              <w:fldChar w:fldCharType="separate"/>
            </w:r>
            <w:r w:rsidRPr="00267C86">
              <w:rPr>
                <w:noProof/>
                <w:webHidden/>
                <w:sz w:val="18"/>
                <w:szCs w:val="18"/>
              </w:rPr>
              <w:t>78</w:t>
            </w:r>
            <w:r w:rsidRPr="00267C86">
              <w:rPr>
                <w:noProof/>
                <w:webHidden/>
                <w:sz w:val="18"/>
                <w:szCs w:val="18"/>
              </w:rPr>
              <w:fldChar w:fldCharType="end"/>
            </w:r>
          </w:hyperlink>
        </w:p>
        <w:p w14:paraId="6E30923A" w14:textId="687C59C6" w:rsidR="00D56991" w:rsidRPr="00267C86" w:rsidRDefault="00D56991">
          <w:pPr>
            <w:pStyle w:val="TDC2"/>
            <w:tabs>
              <w:tab w:val="right" w:leader="dot" w:pos="9350"/>
            </w:tabs>
            <w:rPr>
              <w:noProof/>
              <w:sz w:val="18"/>
              <w:szCs w:val="18"/>
            </w:rPr>
          </w:pPr>
          <w:hyperlink w:anchor="_Toc232659650" w:history="1">
            <w:r w:rsidRPr="00267C86">
              <w:rPr>
                <w:rStyle w:val="Hipervnculo"/>
                <w:noProof/>
                <w:sz w:val="18"/>
                <w:szCs w:val="18"/>
              </w:rPr>
              <w:t>12.2  Limitaciones técnicas del modelo cuantitativo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_Toc232659650 \h </w:instrText>
            </w:r>
            <w:r w:rsidRPr="00267C86">
              <w:rPr>
                <w:noProof/>
                <w:webHidden/>
                <w:sz w:val="18"/>
                <w:szCs w:val="18"/>
              </w:rPr>
            </w:r>
            <w:r w:rsidRPr="00267C86">
              <w:rPr>
                <w:noProof/>
                <w:webHidden/>
                <w:sz w:val="18"/>
                <w:szCs w:val="18"/>
              </w:rPr>
              <w:fldChar w:fldCharType="separate"/>
            </w:r>
            <w:r w:rsidRPr="00267C86">
              <w:rPr>
                <w:noProof/>
                <w:webHidden/>
                <w:sz w:val="18"/>
                <w:szCs w:val="18"/>
              </w:rPr>
              <w:t>79</w:t>
            </w:r>
            <w:r w:rsidRPr="00267C86">
              <w:rPr>
                <w:noProof/>
                <w:webHidden/>
                <w:sz w:val="18"/>
                <w:szCs w:val="18"/>
              </w:rPr>
              <w:fldChar w:fldCharType="end"/>
            </w:r>
          </w:hyperlink>
        </w:p>
        <w:p w14:paraId="5866AE75" w14:textId="0CE18D7E" w:rsidR="00D56991" w:rsidRPr="00267C86" w:rsidRDefault="00D56991">
          <w:pPr>
            <w:pStyle w:val="TDC2"/>
            <w:tabs>
              <w:tab w:val="right" w:leader="dot" w:pos="9350"/>
            </w:tabs>
            <w:rPr>
              <w:noProof/>
              <w:sz w:val="18"/>
              <w:szCs w:val="18"/>
            </w:rPr>
          </w:pPr>
          <w:hyperlink w:anchor="_Toc232659651" w:history="1">
            <w:r w:rsidRPr="00267C86">
              <w:rPr>
                <w:rStyle w:val="Hipervnculo"/>
                <w:noProof/>
                <w:sz w:val="18"/>
                <w:szCs w:val="18"/>
              </w:rPr>
              <w:t>12.3  Limitaciones del proceso SIM en su conjunto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_Toc232659651 \h </w:instrText>
            </w:r>
            <w:r w:rsidRPr="00267C86">
              <w:rPr>
                <w:noProof/>
                <w:webHidden/>
                <w:sz w:val="18"/>
                <w:szCs w:val="18"/>
              </w:rPr>
            </w:r>
            <w:r w:rsidRPr="00267C86">
              <w:rPr>
                <w:noProof/>
                <w:webHidden/>
                <w:sz w:val="18"/>
                <w:szCs w:val="18"/>
              </w:rPr>
              <w:fldChar w:fldCharType="separate"/>
            </w:r>
            <w:r w:rsidRPr="00267C86">
              <w:rPr>
                <w:noProof/>
                <w:webHidden/>
                <w:sz w:val="18"/>
                <w:szCs w:val="18"/>
              </w:rPr>
              <w:t>81</w:t>
            </w:r>
            <w:r w:rsidRPr="00267C86">
              <w:rPr>
                <w:noProof/>
                <w:webHidden/>
                <w:sz w:val="18"/>
                <w:szCs w:val="18"/>
              </w:rPr>
              <w:fldChar w:fldCharType="end"/>
            </w:r>
          </w:hyperlink>
        </w:p>
        <w:p w14:paraId="763FB437" w14:textId="7CEF271F" w:rsidR="00D56991" w:rsidRPr="00267C86" w:rsidRDefault="00D56991">
          <w:pPr>
            <w:pStyle w:val="TDC1"/>
            <w:tabs>
              <w:tab w:val="right" w:leader="dot" w:pos="9350"/>
            </w:tabs>
            <w:rPr>
              <w:noProof/>
              <w:sz w:val="18"/>
              <w:szCs w:val="18"/>
            </w:rPr>
          </w:pPr>
          <w:hyperlink w:anchor="_Toc232659652" w:history="1">
            <w:r w:rsidRPr="00267C86">
              <w:rPr>
                <w:rStyle w:val="Hipervnculo"/>
                <w:noProof/>
                <w:sz w:val="18"/>
                <w:szCs w:val="18"/>
              </w:rPr>
              <w:t>Sección 13 — Gobernanza del Proceso SIM: Roles, Cronograma y Recursos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_Toc232659652 \h </w:instrText>
            </w:r>
            <w:r w:rsidRPr="00267C86">
              <w:rPr>
                <w:noProof/>
                <w:webHidden/>
                <w:sz w:val="18"/>
                <w:szCs w:val="18"/>
              </w:rPr>
            </w:r>
            <w:r w:rsidRPr="00267C86">
              <w:rPr>
                <w:noProof/>
                <w:webHidden/>
                <w:sz w:val="18"/>
                <w:szCs w:val="18"/>
              </w:rPr>
              <w:fldChar w:fldCharType="separate"/>
            </w:r>
            <w:r w:rsidRPr="00267C86">
              <w:rPr>
                <w:noProof/>
                <w:webHidden/>
                <w:sz w:val="18"/>
                <w:szCs w:val="18"/>
              </w:rPr>
              <w:t>82</w:t>
            </w:r>
            <w:r w:rsidRPr="00267C86">
              <w:rPr>
                <w:noProof/>
                <w:webHidden/>
                <w:sz w:val="18"/>
                <w:szCs w:val="18"/>
              </w:rPr>
              <w:fldChar w:fldCharType="end"/>
            </w:r>
          </w:hyperlink>
        </w:p>
        <w:p w14:paraId="04F18989" w14:textId="50DDE83C" w:rsidR="00D56991" w:rsidRPr="00267C86" w:rsidRDefault="00D56991">
          <w:pPr>
            <w:pStyle w:val="TDC2"/>
            <w:tabs>
              <w:tab w:val="right" w:leader="dot" w:pos="9350"/>
            </w:tabs>
            <w:rPr>
              <w:noProof/>
              <w:sz w:val="18"/>
              <w:szCs w:val="18"/>
            </w:rPr>
          </w:pPr>
          <w:hyperlink w:anchor="_Toc232659653" w:history="1">
            <w:r w:rsidRPr="00267C86">
              <w:rPr>
                <w:rStyle w:val="Hipervnculo"/>
                <w:noProof/>
                <w:sz w:val="18"/>
                <w:szCs w:val="18"/>
              </w:rPr>
              <w:t>13.1  Tabla RACI del proceso SIM completo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_Toc232659653 \h </w:instrText>
            </w:r>
            <w:r w:rsidRPr="00267C86">
              <w:rPr>
                <w:noProof/>
                <w:webHidden/>
                <w:sz w:val="18"/>
                <w:szCs w:val="18"/>
              </w:rPr>
            </w:r>
            <w:r w:rsidRPr="00267C86">
              <w:rPr>
                <w:noProof/>
                <w:webHidden/>
                <w:sz w:val="18"/>
                <w:szCs w:val="18"/>
              </w:rPr>
              <w:fldChar w:fldCharType="separate"/>
            </w:r>
            <w:r w:rsidRPr="00267C86">
              <w:rPr>
                <w:noProof/>
                <w:webHidden/>
                <w:sz w:val="18"/>
                <w:szCs w:val="18"/>
              </w:rPr>
              <w:t>82</w:t>
            </w:r>
            <w:r w:rsidRPr="00267C86">
              <w:rPr>
                <w:noProof/>
                <w:webHidden/>
                <w:sz w:val="18"/>
                <w:szCs w:val="18"/>
              </w:rPr>
              <w:fldChar w:fldCharType="end"/>
            </w:r>
          </w:hyperlink>
        </w:p>
        <w:p w14:paraId="41360172" w14:textId="1A1446CE" w:rsidR="00D56991" w:rsidRPr="00267C86" w:rsidRDefault="00D56991">
          <w:pPr>
            <w:pStyle w:val="TDC2"/>
            <w:tabs>
              <w:tab w:val="right" w:leader="dot" w:pos="9350"/>
            </w:tabs>
            <w:rPr>
              <w:noProof/>
              <w:sz w:val="18"/>
              <w:szCs w:val="18"/>
            </w:rPr>
          </w:pPr>
          <w:hyperlink w:anchor="_Toc232659654" w:history="1">
            <w:r w:rsidRPr="00267C86">
              <w:rPr>
                <w:rStyle w:val="Hipervnculo"/>
                <w:noProof/>
                <w:sz w:val="18"/>
                <w:szCs w:val="18"/>
              </w:rPr>
              <w:t>13.2  Cronograma integrado del proceso SIM completo</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_Toc232659654 \h </w:instrText>
            </w:r>
            <w:r w:rsidRPr="00267C86">
              <w:rPr>
                <w:noProof/>
                <w:webHidden/>
                <w:sz w:val="18"/>
                <w:szCs w:val="18"/>
              </w:rPr>
            </w:r>
            <w:r w:rsidRPr="00267C86">
              <w:rPr>
                <w:noProof/>
                <w:webHidden/>
                <w:sz w:val="18"/>
                <w:szCs w:val="18"/>
              </w:rPr>
              <w:fldChar w:fldCharType="separate"/>
            </w:r>
            <w:r w:rsidRPr="00267C86">
              <w:rPr>
                <w:noProof/>
                <w:webHidden/>
                <w:sz w:val="18"/>
                <w:szCs w:val="18"/>
              </w:rPr>
              <w:t>82</w:t>
            </w:r>
            <w:r w:rsidRPr="00267C86">
              <w:rPr>
                <w:noProof/>
                <w:webHidden/>
                <w:sz w:val="18"/>
                <w:szCs w:val="18"/>
              </w:rPr>
              <w:fldChar w:fldCharType="end"/>
            </w:r>
          </w:hyperlink>
        </w:p>
        <w:p w14:paraId="4FE2407D" w14:textId="1D994A15" w:rsidR="00D56991" w:rsidRPr="00267C86" w:rsidRDefault="00D56991">
          <w:pPr>
            <w:pStyle w:val="TDC2"/>
            <w:tabs>
              <w:tab w:val="right" w:leader="dot" w:pos="9350"/>
            </w:tabs>
            <w:rPr>
              <w:noProof/>
              <w:sz w:val="18"/>
              <w:szCs w:val="18"/>
            </w:rPr>
          </w:pPr>
          <w:hyperlink w:anchor="_Toc232659655" w:history="1">
            <w:r w:rsidRPr="00267C86">
              <w:rPr>
                <w:rStyle w:val="Hipervnculo"/>
                <w:noProof/>
                <w:sz w:val="18"/>
                <w:szCs w:val="18"/>
              </w:rPr>
              <w:t>13.3  Recursos necesarios para el proceso SIM</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_Toc232659655 \h </w:instrText>
            </w:r>
            <w:r w:rsidRPr="00267C86">
              <w:rPr>
                <w:noProof/>
                <w:webHidden/>
                <w:sz w:val="18"/>
                <w:szCs w:val="18"/>
              </w:rPr>
            </w:r>
            <w:r w:rsidRPr="00267C86">
              <w:rPr>
                <w:noProof/>
                <w:webHidden/>
                <w:sz w:val="18"/>
                <w:szCs w:val="18"/>
              </w:rPr>
              <w:fldChar w:fldCharType="separate"/>
            </w:r>
            <w:r w:rsidRPr="00267C86">
              <w:rPr>
                <w:noProof/>
                <w:webHidden/>
                <w:sz w:val="18"/>
                <w:szCs w:val="18"/>
              </w:rPr>
              <w:t>84</w:t>
            </w:r>
            <w:r w:rsidRPr="00267C86">
              <w:rPr>
                <w:noProof/>
                <w:webHidden/>
                <w:sz w:val="18"/>
                <w:szCs w:val="18"/>
              </w:rPr>
              <w:fldChar w:fldCharType="end"/>
            </w:r>
          </w:hyperlink>
        </w:p>
        <w:p w14:paraId="35D0DF97" w14:textId="69B80476" w:rsidR="00D56991" w:rsidRPr="00267C86" w:rsidRDefault="00D56991">
          <w:pPr>
            <w:pStyle w:val="TDC1"/>
            <w:tabs>
              <w:tab w:val="right" w:leader="dot" w:pos="9350"/>
            </w:tabs>
            <w:rPr>
              <w:noProof/>
              <w:sz w:val="18"/>
              <w:szCs w:val="18"/>
            </w:rPr>
          </w:pPr>
          <w:hyperlink w:anchor="_Toc232659656" w:history="1">
            <w:r w:rsidRPr="00267C86">
              <w:rPr>
                <w:rStyle w:val="Hipervnculo"/>
                <w:noProof/>
                <w:sz w:val="18"/>
                <w:szCs w:val="18"/>
              </w:rPr>
              <w:t>Sección 14 — Actualización y Monitoreo Continuo del Proceso SIM</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_Toc232659656 \h </w:instrText>
            </w:r>
            <w:r w:rsidRPr="00267C86">
              <w:rPr>
                <w:noProof/>
                <w:webHidden/>
                <w:sz w:val="18"/>
                <w:szCs w:val="18"/>
              </w:rPr>
            </w:r>
            <w:r w:rsidRPr="00267C86">
              <w:rPr>
                <w:noProof/>
                <w:webHidden/>
                <w:sz w:val="18"/>
                <w:szCs w:val="18"/>
              </w:rPr>
              <w:fldChar w:fldCharType="separate"/>
            </w:r>
            <w:r w:rsidRPr="00267C86">
              <w:rPr>
                <w:noProof/>
                <w:webHidden/>
                <w:sz w:val="18"/>
                <w:szCs w:val="18"/>
              </w:rPr>
              <w:t>85</w:t>
            </w:r>
            <w:r w:rsidRPr="00267C86">
              <w:rPr>
                <w:noProof/>
                <w:webHidden/>
                <w:sz w:val="18"/>
                <w:szCs w:val="18"/>
              </w:rPr>
              <w:fldChar w:fldCharType="end"/>
            </w:r>
          </w:hyperlink>
        </w:p>
        <w:p w14:paraId="291E7814" w14:textId="57C167B3" w:rsidR="00D56991" w:rsidRPr="00267C86" w:rsidRDefault="00D56991">
          <w:pPr>
            <w:pStyle w:val="TDC1"/>
            <w:tabs>
              <w:tab w:val="right" w:leader="dot" w:pos="9350"/>
            </w:tabs>
            <w:rPr>
              <w:noProof/>
              <w:sz w:val="18"/>
              <w:szCs w:val="18"/>
            </w:rPr>
          </w:pPr>
          <w:hyperlink w:anchor="_Toc232659657" w:history="1">
            <w:r w:rsidRPr="00267C86">
              <w:rPr>
                <w:rStyle w:val="Hipervnculo"/>
                <w:noProof/>
                <w:sz w:val="18"/>
                <w:szCs w:val="18"/>
              </w:rPr>
              <w:t>Sección 15 — Glosario de Términos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_Toc232659657 \h </w:instrText>
            </w:r>
            <w:r w:rsidRPr="00267C86">
              <w:rPr>
                <w:noProof/>
                <w:webHidden/>
                <w:sz w:val="18"/>
                <w:szCs w:val="18"/>
              </w:rPr>
            </w:r>
            <w:r w:rsidRPr="00267C86">
              <w:rPr>
                <w:noProof/>
                <w:webHidden/>
                <w:sz w:val="18"/>
                <w:szCs w:val="18"/>
              </w:rPr>
              <w:fldChar w:fldCharType="separate"/>
            </w:r>
            <w:r w:rsidRPr="00267C86">
              <w:rPr>
                <w:noProof/>
                <w:webHidden/>
                <w:sz w:val="18"/>
                <w:szCs w:val="18"/>
              </w:rPr>
              <w:t>87</w:t>
            </w:r>
            <w:r w:rsidRPr="00267C86">
              <w:rPr>
                <w:noProof/>
                <w:webHidden/>
                <w:sz w:val="18"/>
                <w:szCs w:val="18"/>
              </w:rPr>
              <w:fldChar w:fldCharType="end"/>
            </w:r>
          </w:hyperlink>
        </w:p>
        <w:p w14:paraId="10F1510A" w14:textId="64AE3533" w:rsidR="00D56991" w:rsidRPr="00267C86" w:rsidRDefault="00D56991">
          <w:pPr>
            <w:pStyle w:val="TDC1"/>
            <w:tabs>
              <w:tab w:val="right" w:leader="dot" w:pos="9350"/>
            </w:tabs>
            <w:rPr>
              <w:noProof/>
              <w:sz w:val="18"/>
              <w:szCs w:val="18"/>
            </w:rPr>
          </w:pPr>
          <w:hyperlink w:anchor="_Toc232659658" w:history="1">
            <w:r w:rsidRPr="00267C86">
              <w:rPr>
                <w:rStyle w:val="Hipervnculo"/>
                <w:noProof/>
                <w:sz w:val="18"/>
                <w:szCs w:val="18"/>
              </w:rPr>
              <w:t>Sección 16 — Bibliografía y Recursos de Referencia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_Toc232659658 \h </w:instrText>
            </w:r>
            <w:r w:rsidRPr="00267C86">
              <w:rPr>
                <w:noProof/>
                <w:webHidden/>
                <w:sz w:val="18"/>
                <w:szCs w:val="18"/>
              </w:rPr>
            </w:r>
            <w:r w:rsidRPr="00267C86">
              <w:rPr>
                <w:noProof/>
                <w:webHidden/>
                <w:sz w:val="18"/>
                <w:szCs w:val="18"/>
              </w:rPr>
              <w:fldChar w:fldCharType="separate"/>
            </w:r>
            <w:r w:rsidRPr="00267C86">
              <w:rPr>
                <w:noProof/>
                <w:webHidden/>
                <w:sz w:val="18"/>
                <w:szCs w:val="18"/>
              </w:rPr>
              <w:t>91</w:t>
            </w:r>
            <w:r w:rsidRPr="00267C86">
              <w:rPr>
                <w:noProof/>
                <w:webHidden/>
                <w:sz w:val="18"/>
                <w:szCs w:val="18"/>
              </w:rPr>
              <w:fldChar w:fldCharType="end"/>
            </w:r>
          </w:hyperlink>
        </w:p>
        <w:p w14:paraId="14BEA1D6" w14:textId="325FBCDB" w:rsidR="00D56991" w:rsidRPr="00267C86" w:rsidRDefault="00D56991">
          <w:pPr>
            <w:pStyle w:val="TDC2"/>
            <w:tabs>
              <w:tab w:val="right" w:leader="dot" w:pos="9350"/>
            </w:tabs>
            <w:rPr>
              <w:noProof/>
              <w:sz w:val="18"/>
              <w:szCs w:val="18"/>
            </w:rPr>
          </w:pPr>
          <w:hyperlink w:anchor="_Toc232659659" w:history="1">
            <w:r w:rsidRPr="00267C86">
              <w:rPr>
                <w:rStyle w:val="Hipervnculo"/>
                <w:noProof/>
                <w:sz w:val="18"/>
                <w:szCs w:val="18"/>
              </w:rPr>
              <w:t>I — Marcos teóricos de internacionalización empresarial</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_Toc232659659 \h </w:instrText>
            </w:r>
            <w:r w:rsidRPr="00267C86">
              <w:rPr>
                <w:noProof/>
                <w:webHidden/>
                <w:sz w:val="18"/>
                <w:szCs w:val="18"/>
              </w:rPr>
            </w:r>
            <w:r w:rsidRPr="00267C86">
              <w:rPr>
                <w:noProof/>
                <w:webHidden/>
                <w:sz w:val="18"/>
                <w:szCs w:val="18"/>
              </w:rPr>
              <w:fldChar w:fldCharType="separate"/>
            </w:r>
            <w:r w:rsidRPr="00267C86">
              <w:rPr>
                <w:noProof/>
                <w:webHidden/>
                <w:sz w:val="18"/>
                <w:szCs w:val="18"/>
              </w:rPr>
              <w:t>91</w:t>
            </w:r>
            <w:r w:rsidRPr="00267C86">
              <w:rPr>
                <w:noProof/>
                <w:webHidden/>
                <w:sz w:val="18"/>
                <w:szCs w:val="18"/>
              </w:rPr>
              <w:fldChar w:fldCharType="end"/>
            </w:r>
          </w:hyperlink>
        </w:p>
        <w:p w14:paraId="705340DE" w14:textId="3D853E56" w:rsidR="00D56991" w:rsidRPr="00267C86" w:rsidRDefault="00D56991">
          <w:pPr>
            <w:pStyle w:val="TDC2"/>
            <w:tabs>
              <w:tab w:val="right" w:leader="dot" w:pos="9350"/>
            </w:tabs>
            <w:rPr>
              <w:noProof/>
              <w:sz w:val="18"/>
              <w:szCs w:val="18"/>
            </w:rPr>
          </w:pPr>
          <w:hyperlink w:anchor="_Toc232659660" w:history="1">
            <w:r w:rsidRPr="00267C86">
              <w:rPr>
                <w:rStyle w:val="Hipervnculo"/>
                <w:noProof/>
                <w:sz w:val="18"/>
                <w:szCs w:val="18"/>
              </w:rPr>
              <w:t>II — Modelos de selección de mercados y métodos MCDM</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_Toc232659660 \h </w:instrText>
            </w:r>
            <w:r w:rsidRPr="00267C86">
              <w:rPr>
                <w:noProof/>
                <w:webHidden/>
                <w:sz w:val="18"/>
                <w:szCs w:val="18"/>
              </w:rPr>
            </w:r>
            <w:r w:rsidRPr="00267C86">
              <w:rPr>
                <w:noProof/>
                <w:webHidden/>
                <w:sz w:val="18"/>
                <w:szCs w:val="18"/>
              </w:rPr>
              <w:fldChar w:fldCharType="separate"/>
            </w:r>
            <w:r w:rsidRPr="00267C86">
              <w:rPr>
                <w:noProof/>
                <w:webHidden/>
                <w:sz w:val="18"/>
                <w:szCs w:val="18"/>
              </w:rPr>
              <w:t>92</w:t>
            </w:r>
            <w:r w:rsidRPr="00267C86">
              <w:rPr>
                <w:noProof/>
                <w:webHidden/>
                <w:sz w:val="18"/>
                <w:szCs w:val="18"/>
              </w:rPr>
              <w:fldChar w:fldCharType="end"/>
            </w:r>
          </w:hyperlink>
        </w:p>
        <w:p w14:paraId="44EC7258" w14:textId="323D60ED" w:rsidR="00D56991" w:rsidRPr="00267C86" w:rsidRDefault="00D56991">
          <w:pPr>
            <w:pStyle w:val="TDC2"/>
            <w:tabs>
              <w:tab w:val="right" w:leader="dot" w:pos="9350"/>
            </w:tabs>
            <w:rPr>
              <w:noProof/>
              <w:sz w:val="18"/>
              <w:szCs w:val="18"/>
            </w:rPr>
          </w:pPr>
          <w:hyperlink w:anchor="_Toc232659661" w:history="1">
            <w:r w:rsidRPr="00267C86">
              <w:rPr>
                <w:rStyle w:val="Hipervnculo"/>
                <w:noProof/>
                <w:sz w:val="18"/>
                <w:szCs w:val="18"/>
              </w:rPr>
              <w:t>III — Internacionalización bancaria y de servicios financieros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_Toc232659661 \h </w:instrText>
            </w:r>
            <w:r w:rsidRPr="00267C86">
              <w:rPr>
                <w:noProof/>
                <w:webHidden/>
                <w:sz w:val="18"/>
                <w:szCs w:val="18"/>
              </w:rPr>
            </w:r>
            <w:r w:rsidRPr="00267C86">
              <w:rPr>
                <w:noProof/>
                <w:webHidden/>
                <w:sz w:val="18"/>
                <w:szCs w:val="18"/>
              </w:rPr>
              <w:fldChar w:fldCharType="separate"/>
            </w:r>
            <w:r w:rsidRPr="00267C86">
              <w:rPr>
                <w:noProof/>
                <w:webHidden/>
                <w:sz w:val="18"/>
                <w:szCs w:val="18"/>
              </w:rPr>
              <w:t>92</w:t>
            </w:r>
            <w:r w:rsidRPr="00267C86">
              <w:rPr>
                <w:noProof/>
                <w:webHidden/>
                <w:sz w:val="18"/>
                <w:szCs w:val="18"/>
              </w:rPr>
              <w:fldChar w:fldCharType="end"/>
            </w:r>
          </w:hyperlink>
        </w:p>
        <w:p w14:paraId="3DEB70D0" w14:textId="0881D5D1" w:rsidR="00D56991" w:rsidRPr="00267C86" w:rsidRDefault="00D56991">
          <w:pPr>
            <w:pStyle w:val="TDC2"/>
            <w:tabs>
              <w:tab w:val="right" w:leader="dot" w:pos="9350"/>
            </w:tabs>
            <w:rPr>
              <w:noProof/>
              <w:sz w:val="18"/>
              <w:szCs w:val="18"/>
            </w:rPr>
          </w:pPr>
          <w:hyperlink w:anchor="_Toc232659662" w:history="1">
            <w:r w:rsidRPr="00267C86">
              <w:rPr>
                <w:rStyle w:val="Hipervnculo"/>
                <w:noProof/>
                <w:sz w:val="18"/>
                <w:szCs w:val="18"/>
              </w:rPr>
              <w:t>IV — Organismos multilaterales: informes y bases de datos</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_Toc232659662 \h </w:instrText>
            </w:r>
            <w:r w:rsidRPr="00267C86">
              <w:rPr>
                <w:noProof/>
                <w:webHidden/>
                <w:sz w:val="18"/>
                <w:szCs w:val="18"/>
              </w:rPr>
            </w:r>
            <w:r w:rsidRPr="00267C86">
              <w:rPr>
                <w:noProof/>
                <w:webHidden/>
                <w:sz w:val="18"/>
                <w:szCs w:val="18"/>
              </w:rPr>
              <w:fldChar w:fldCharType="separate"/>
            </w:r>
            <w:r w:rsidRPr="00267C86">
              <w:rPr>
                <w:noProof/>
                <w:webHidden/>
                <w:sz w:val="18"/>
                <w:szCs w:val="18"/>
              </w:rPr>
              <w:t>92</w:t>
            </w:r>
            <w:r w:rsidRPr="00267C86">
              <w:rPr>
                <w:noProof/>
                <w:webHidden/>
                <w:sz w:val="18"/>
                <w:szCs w:val="18"/>
              </w:rPr>
              <w:fldChar w:fldCharType="end"/>
            </w:r>
          </w:hyperlink>
        </w:p>
        <w:p w14:paraId="0C53A30C" w14:textId="752ED8EA" w:rsidR="00D56991" w:rsidRPr="00267C86" w:rsidRDefault="00D56991">
          <w:pPr>
            <w:pStyle w:val="TDC2"/>
            <w:tabs>
              <w:tab w:val="right" w:leader="dot" w:pos="9350"/>
            </w:tabs>
            <w:rPr>
              <w:noProof/>
              <w:sz w:val="18"/>
              <w:szCs w:val="18"/>
            </w:rPr>
          </w:pPr>
          <w:hyperlink w:anchor="_Toc232659663" w:history="1">
            <w:r w:rsidRPr="00267C86">
              <w:rPr>
                <w:rStyle w:val="Hipervnculo"/>
                <w:noProof/>
                <w:sz w:val="18"/>
                <w:szCs w:val="18"/>
              </w:rPr>
              <w:t>V — Publicaciones de consultoras e industria financiera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_Toc232659663 \h </w:instrText>
            </w:r>
            <w:r w:rsidRPr="00267C86">
              <w:rPr>
                <w:noProof/>
                <w:webHidden/>
                <w:sz w:val="18"/>
                <w:szCs w:val="18"/>
              </w:rPr>
            </w:r>
            <w:r w:rsidRPr="00267C86">
              <w:rPr>
                <w:noProof/>
                <w:webHidden/>
                <w:sz w:val="18"/>
                <w:szCs w:val="18"/>
              </w:rPr>
              <w:fldChar w:fldCharType="separate"/>
            </w:r>
            <w:r w:rsidRPr="00267C86">
              <w:rPr>
                <w:noProof/>
                <w:webHidden/>
                <w:sz w:val="18"/>
                <w:szCs w:val="18"/>
              </w:rPr>
              <w:t>93</w:t>
            </w:r>
            <w:r w:rsidRPr="00267C86">
              <w:rPr>
                <w:noProof/>
                <w:webHidden/>
                <w:sz w:val="18"/>
                <w:szCs w:val="18"/>
              </w:rPr>
              <w:fldChar w:fldCharType="end"/>
            </w:r>
          </w:hyperlink>
        </w:p>
        <w:p w14:paraId="7FA2C1C5" w14:textId="5E36A404" w:rsidR="00D56991" w:rsidRPr="00267C86" w:rsidRDefault="00D56991">
          <w:pPr>
            <w:pStyle w:val="TDC2"/>
            <w:tabs>
              <w:tab w:val="right" w:leader="dot" w:pos="9350"/>
            </w:tabs>
            <w:rPr>
              <w:noProof/>
              <w:sz w:val="18"/>
              <w:szCs w:val="18"/>
            </w:rPr>
          </w:pPr>
          <w:hyperlink w:anchor="_Toc232659664" w:history="1">
            <w:r w:rsidRPr="00267C86">
              <w:rPr>
                <w:rStyle w:val="Hipervnculo"/>
                <w:noProof/>
                <w:sz w:val="18"/>
                <w:szCs w:val="18"/>
              </w:rPr>
              <w:t>VI — Ciencias del comportamiento y sesgos en decisión estratégica</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_Toc232659664 \h </w:instrText>
            </w:r>
            <w:r w:rsidRPr="00267C86">
              <w:rPr>
                <w:noProof/>
                <w:webHidden/>
                <w:sz w:val="18"/>
                <w:szCs w:val="18"/>
              </w:rPr>
            </w:r>
            <w:r w:rsidRPr="00267C86">
              <w:rPr>
                <w:noProof/>
                <w:webHidden/>
                <w:sz w:val="18"/>
                <w:szCs w:val="18"/>
              </w:rPr>
              <w:fldChar w:fldCharType="separate"/>
            </w:r>
            <w:r w:rsidRPr="00267C86">
              <w:rPr>
                <w:noProof/>
                <w:webHidden/>
                <w:sz w:val="18"/>
                <w:szCs w:val="18"/>
              </w:rPr>
              <w:t>93</w:t>
            </w:r>
            <w:r w:rsidRPr="00267C86">
              <w:rPr>
                <w:noProof/>
                <w:webHidden/>
                <w:sz w:val="18"/>
                <w:szCs w:val="18"/>
              </w:rPr>
              <w:fldChar w:fldCharType="end"/>
            </w:r>
          </w:hyperlink>
        </w:p>
        <w:p w14:paraId="21F0AE89" w14:textId="1D5793C5" w:rsidR="00D56991" w:rsidRPr="00267C86" w:rsidRDefault="00D56991">
          <w:pPr>
            <w:pStyle w:val="TDC2"/>
            <w:tabs>
              <w:tab w:val="right" w:leader="dot" w:pos="9350"/>
            </w:tabs>
            <w:rPr>
              <w:noProof/>
              <w:sz w:val="18"/>
              <w:szCs w:val="18"/>
            </w:rPr>
          </w:pPr>
          <w:hyperlink w:anchor="_Toc232659665" w:history="1">
            <w:r w:rsidRPr="00267C86">
              <w:rPr>
                <w:rStyle w:val="Hipervnculo"/>
                <w:noProof/>
                <w:sz w:val="18"/>
                <w:szCs w:val="18"/>
              </w:rPr>
              <w:t>VII — Fuentes de datos no-wbgapi utilizadas en RADAR Cibest</w:t>
            </w:r>
            <w:r w:rsidRPr="00267C86">
              <w:rPr>
                <w:noProof/>
                <w:webHidden/>
                <w:sz w:val="18"/>
                <w:szCs w:val="18"/>
              </w:rPr>
              <w:tab/>
            </w:r>
            <w:r w:rsidRPr="00267C86">
              <w:rPr>
                <w:noProof/>
                <w:webHidden/>
                <w:sz w:val="18"/>
                <w:szCs w:val="18"/>
              </w:rPr>
              <w:fldChar w:fldCharType="begin"/>
            </w:r>
            <w:r w:rsidRPr="00267C86">
              <w:rPr>
                <w:noProof/>
                <w:webHidden/>
                <w:sz w:val="18"/>
                <w:szCs w:val="18"/>
              </w:rPr>
              <w:instrText xml:space="preserve"> PAGEREF _Toc232659665 \h </w:instrText>
            </w:r>
            <w:r w:rsidRPr="00267C86">
              <w:rPr>
                <w:noProof/>
                <w:webHidden/>
                <w:sz w:val="18"/>
                <w:szCs w:val="18"/>
              </w:rPr>
            </w:r>
            <w:r w:rsidRPr="00267C86">
              <w:rPr>
                <w:noProof/>
                <w:webHidden/>
                <w:sz w:val="18"/>
                <w:szCs w:val="18"/>
              </w:rPr>
              <w:fldChar w:fldCharType="separate"/>
            </w:r>
            <w:r w:rsidRPr="00267C86">
              <w:rPr>
                <w:noProof/>
                <w:webHidden/>
                <w:sz w:val="18"/>
                <w:szCs w:val="18"/>
              </w:rPr>
              <w:t>94</w:t>
            </w:r>
            <w:r w:rsidRPr="00267C86">
              <w:rPr>
                <w:noProof/>
                <w:webHidden/>
                <w:sz w:val="18"/>
                <w:szCs w:val="18"/>
              </w:rPr>
              <w:fldChar w:fldCharType="end"/>
            </w:r>
          </w:hyperlink>
        </w:p>
        <w:p w14:paraId="54132424" w14:textId="43CCAB95" w:rsidR="00D56991" w:rsidRDefault="00D56991">
          <w:r w:rsidRPr="00267C86">
            <w:rPr>
              <w:b/>
              <w:bCs/>
              <w:sz w:val="18"/>
              <w:szCs w:val="18"/>
              <w:lang w:val="es-ES"/>
            </w:rPr>
            <w:fldChar w:fldCharType="end"/>
          </w:r>
        </w:p>
      </w:sdtContent>
    </w:sdt>
    <w:p w14:paraId="631D9BAA" w14:textId="77777777" w:rsidR="004845BC" w:rsidRDefault="00000000">
      <w:r>
        <w:br w:type="page"/>
      </w:r>
    </w:p>
    <w:p w14:paraId="631D9BAB" w14:textId="77777777" w:rsidR="004845BC" w:rsidRPr="009B0854" w:rsidRDefault="00000000" w:rsidP="009B0854">
      <w:pPr>
        <w:pStyle w:val="Ttulo1"/>
        <w:ind w:left="200" w:right="200"/>
        <w:rPr>
          <w:color w:val="auto"/>
        </w:rPr>
      </w:pPr>
      <w:bookmarkStart w:id="0" w:name="_Toc232659549"/>
      <w:r w:rsidRPr="009B0854">
        <w:rPr>
          <w:color w:val="auto"/>
        </w:rPr>
        <w:lastRenderedPageBreak/>
        <w:t>Sección 1 — Introducción y Propósito del Documento</w:t>
      </w:r>
      <w:bookmarkEnd w:id="0"/>
    </w:p>
    <w:p w14:paraId="631D9BAC" w14:textId="77777777" w:rsidR="004845BC" w:rsidRDefault="004845BC">
      <w:pPr>
        <w:spacing w:after="120"/>
      </w:pPr>
    </w:p>
    <w:p w14:paraId="631D9BAD" w14:textId="77777777" w:rsidR="004845BC" w:rsidRDefault="00000000">
      <w:pPr>
        <w:pStyle w:val="Ttulo2"/>
        <w:pBdr>
          <w:bottom w:val="single" w:sz="4" w:space="4" w:color="E8B931"/>
        </w:pBdr>
      </w:pPr>
      <w:bookmarkStart w:id="1" w:name="_Toc232659550"/>
      <w:proofErr w:type="gramStart"/>
      <w:r>
        <w:t>1.1  Contexto</w:t>
      </w:r>
      <w:proofErr w:type="gramEnd"/>
      <w:r>
        <w:t xml:space="preserve"> estratégico: por qué la selección de mercados es una decisión crítica</w:t>
      </w:r>
      <w:bookmarkEnd w:id="1"/>
    </w:p>
    <w:p w14:paraId="631D9BAE" w14:textId="6054FA28" w:rsidR="004845BC" w:rsidRDefault="00000000">
      <w:pPr>
        <w:spacing w:before="140" w:after="140" w:line="320" w:lineRule="auto"/>
        <w:jc w:val="both"/>
      </w:pPr>
      <w:r>
        <w:rPr>
          <w:color w:val="000000"/>
        </w:rPr>
        <w:t xml:space="preserve">La decisión de internacionalización es, para cualquier holding financiera, una de las apuestas estratégicas de mayor complejidad y de más largo aliento que puede emprender su alta dirección. A diferencia de las decisiones de expansión dentro de un mercado doméstico conocido, la entrada a un mercado extranjero exige simultáneamente una comprensión profunda del entorno macroeconómico y regulatorio del país destino, la capacidad de transferir ventajas competitivas a contextos institucionales distintos, y la voluntad de comprometer capital y talento durante períodos de maduración que típicamente superan los tres a cinco años antes de generar retornos sostenibles. La literatura académica más influyente sobre internacionalización —desde el seminal Modelo Uppsala (Johanson &amp; </w:t>
      </w:r>
      <w:proofErr w:type="spellStart"/>
      <w:r>
        <w:rPr>
          <w:color w:val="000000"/>
        </w:rPr>
        <w:t>Vahlne</w:t>
      </w:r>
      <w:proofErr w:type="spellEnd"/>
      <w:r>
        <w:rPr>
          <w:color w:val="000000"/>
        </w:rPr>
        <w:t>, 1977) hasta el Paradigma Ecléctico OLI de Dunning (1977, 1988)— coincide en un hallazgo fundamental: las empresas que definen rigurosamente su objetivo de internacionalización y seleccionan sus mercados con metodología sistemática tienen probabilidades sustancialmente mayores de éxito que aquellas que operan por impulso directivo, por imitación de competidores, o por disponibilidad de oportunidades reactivas.</w:t>
      </w:r>
    </w:p>
    <w:p w14:paraId="631D9BAF" w14:textId="77777777" w:rsidR="004845BC" w:rsidRDefault="00000000">
      <w:pPr>
        <w:spacing w:before="140" w:after="140" w:line="320" w:lineRule="auto"/>
        <w:jc w:val="both"/>
      </w:pPr>
      <w:r>
        <w:rPr>
          <w:color w:val="000000"/>
        </w:rPr>
        <w:t xml:space="preserve">En el caso específico de las </w:t>
      </w:r>
      <w:proofErr w:type="gramStart"/>
      <w:r>
        <w:rPr>
          <w:color w:val="000000"/>
        </w:rPr>
        <w:t>holdings financieras</w:t>
      </w:r>
      <w:proofErr w:type="gramEnd"/>
      <w:r>
        <w:rPr>
          <w:color w:val="000000"/>
        </w:rPr>
        <w:t>, la selección de mercados adquiere una dimensión adicional de complejidad que la distingue radicalmente de la internacionalización de empresas manufactureras o de servicios no regulados. La banca y los servicios financieros operan en industrias que son simultáneamente intensivas en capital, altamente reguladas por autoridades nacionales con criterios propios, dependientes de la confianza institucional acumulada con clientes y reguladores, y expuestas a riesgos sistémicos que se propagan más rápidamente que en otros sectores. Un banco que entra al mercado equivocado, con el modelo de negocio equivocado, o en el momento equivocado del ciclo económico o regulatorio, no solo pierde la inversión comprometida: puede comprometer su reputación en su mercado de origen y enfrentar exigencias de capital regulatorio que afectan toda la organización. La solidez metodológica del proceso de selección de mercados no es, por tanto, un ejercicio académico: es un componente central de la gestión prudente del riesgo estratégico.</w:t>
      </w:r>
    </w:p>
    <w:p w14:paraId="631D9BB0" w14:textId="1C50CAE8" w:rsidR="004845BC" w:rsidRDefault="00000000">
      <w:pPr>
        <w:spacing w:before="140" w:after="140" w:line="320" w:lineRule="auto"/>
        <w:jc w:val="both"/>
      </w:pPr>
      <w:r>
        <w:rPr>
          <w:color w:val="000000"/>
        </w:rPr>
        <w:t xml:space="preserve">Grupo </w:t>
      </w:r>
      <w:proofErr w:type="spellStart"/>
      <w:r>
        <w:rPr>
          <w:color w:val="000000"/>
        </w:rPr>
        <w:t>Cibest</w:t>
      </w:r>
      <w:proofErr w:type="spellEnd"/>
      <w:r>
        <w:rPr>
          <w:color w:val="000000"/>
        </w:rPr>
        <w:t xml:space="preserve"> ha declarado la internacionalización como vector estratégico de crecimiento. Esta declaración ubica ante el Comité Ejecutivo y la Junta Directiva una responsabilidad metodológica clara: ¿cómo se toma esa decisión con rigor, transparencia y trazabilidad? El presente </w:t>
      </w:r>
      <w:r w:rsidR="00AA01B4">
        <w:rPr>
          <w:color w:val="000000"/>
        </w:rPr>
        <w:t>documento</w:t>
      </w:r>
      <w:r>
        <w:rPr>
          <w:color w:val="000000"/>
        </w:rPr>
        <w:t xml:space="preserve"> es la respuesta del equipo de Estrategia Corporativa a esa pregunta. No define qué </w:t>
      </w:r>
      <w:r>
        <w:rPr>
          <w:color w:val="000000"/>
        </w:rPr>
        <w:lastRenderedPageBreak/>
        <w:t xml:space="preserve">mercados debe seleccionar </w:t>
      </w:r>
      <w:proofErr w:type="spellStart"/>
      <w:r>
        <w:rPr>
          <w:color w:val="000000"/>
        </w:rPr>
        <w:t>Cibest</w:t>
      </w:r>
      <w:proofErr w:type="spellEnd"/>
      <w:r>
        <w:rPr>
          <w:color w:val="000000"/>
        </w:rPr>
        <w:t xml:space="preserve"> —esa es una decisión que le corresponde al Comité Ejecutivo—, sino que establece el proceso mediante el cual esa decisión puede tomarse de manera sistemática, basada en evidencia y coherente con los objetivos de la organización.</w:t>
      </w:r>
    </w:p>
    <w:p w14:paraId="631D9BB1" w14:textId="77777777" w:rsidR="004845BC" w:rsidRDefault="004845BC">
      <w:pPr>
        <w:spacing w:after="120"/>
      </w:pPr>
    </w:p>
    <w:p w14:paraId="631D9BB2" w14:textId="71BA3870" w:rsidR="004845BC" w:rsidRDefault="00000000">
      <w:pPr>
        <w:pStyle w:val="Ttulo2"/>
        <w:pBdr>
          <w:bottom w:val="single" w:sz="4" w:space="4" w:color="E8B931"/>
        </w:pBdr>
      </w:pPr>
      <w:bookmarkStart w:id="2" w:name="_Toc232659551"/>
      <w:proofErr w:type="gramStart"/>
      <w:r>
        <w:t>1.2  Qué</w:t>
      </w:r>
      <w:proofErr w:type="gramEnd"/>
      <w:r>
        <w:t xml:space="preserve"> es este </w:t>
      </w:r>
      <w:r w:rsidR="00AA01B4">
        <w:t>documento</w:t>
      </w:r>
      <w:r>
        <w:t xml:space="preserve"> y para qué sirve</w:t>
      </w:r>
      <w:bookmarkEnd w:id="2"/>
    </w:p>
    <w:p w14:paraId="631D9BB3" w14:textId="6E50073B" w:rsidR="004845BC" w:rsidRDefault="00000000">
      <w:pPr>
        <w:spacing w:before="140" w:after="140" w:line="320" w:lineRule="auto"/>
        <w:jc w:val="both"/>
      </w:pPr>
      <w:r>
        <w:rPr>
          <w:color w:val="000000"/>
        </w:rPr>
        <w:t xml:space="preserve">Este documento es un marco metodológico operacional: describe, paso a paso, el proceso completo de Selección Internacional de Mercados (SIM) que el equipo de Estrategia Corporativa propone para orientar las decisiones de expansión geográfica de Grupo </w:t>
      </w:r>
      <w:proofErr w:type="spellStart"/>
      <w:r>
        <w:rPr>
          <w:color w:val="000000"/>
        </w:rPr>
        <w:t>Cibest</w:t>
      </w:r>
      <w:proofErr w:type="spellEnd"/>
      <w:r>
        <w:rPr>
          <w:color w:val="000000"/>
        </w:rPr>
        <w:t xml:space="preserve">. A diferencia de un plan de negocios o un estudio de factibilidad —que responden a la pregunta '¿es viable entrar al mercado X?'—, este </w:t>
      </w:r>
      <w:r w:rsidR="00AA01B4">
        <w:rPr>
          <w:color w:val="000000"/>
        </w:rPr>
        <w:t>documento</w:t>
      </w:r>
      <w:r>
        <w:rPr>
          <w:color w:val="000000"/>
        </w:rPr>
        <w:t xml:space="preserve"> responde a una pregunta anterior y más fundamental: '¿cómo determinamos cuáles son los mercados a los que tiene sentido que </w:t>
      </w:r>
      <w:proofErr w:type="spellStart"/>
      <w:r>
        <w:rPr>
          <w:color w:val="000000"/>
        </w:rPr>
        <w:t>Cibest</w:t>
      </w:r>
      <w:proofErr w:type="spellEnd"/>
      <w:r>
        <w:rPr>
          <w:color w:val="000000"/>
        </w:rPr>
        <w:t xml:space="preserve"> evalúe entrar?'. El proceso tiene siete fases que van desde la definición del objetivo estratégico de internacionalización hasta el </w:t>
      </w:r>
      <w:proofErr w:type="spellStart"/>
      <w:r>
        <w:rPr>
          <w:color w:val="000000"/>
        </w:rPr>
        <w:t>due</w:t>
      </w:r>
      <w:proofErr w:type="spellEnd"/>
      <w:r>
        <w:rPr>
          <w:color w:val="000000"/>
        </w:rPr>
        <w:t xml:space="preserve"> </w:t>
      </w:r>
      <w:proofErr w:type="spellStart"/>
      <w:r>
        <w:rPr>
          <w:color w:val="000000"/>
        </w:rPr>
        <w:t>diligence</w:t>
      </w:r>
      <w:proofErr w:type="spellEnd"/>
      <w:r>
        <w:rPr>
          <w:color w:val="000000"/>
        </w:rPr>
        <w:t xml:space="preserve"> de los mercados candidatos finales, pasando por el análisis cuantitativo del modelo RADAR </w:t>
      </w:r>
      <w:proofErr w:type="spellStart"/>
      <w:r>
        <w:rPr>
          <w:color w:val="000000"/>
        </w:rPr>
        <w:t>Cibest</w:t>
      </w:r>
      <w:proofErr w:type="spellEnd"/>
      <w:r>
        <w:rPr>
          <w:color w:val="000000"/>
        </w:rPr>
        <w:t>, la inteligencia estratégica cualitativa, la evaluación de capacidades internas y la definición del modo de entrada.</w:t>
      </w:r>
    </w:p>
    <w:p w14:paraId="631D9BB4" w14:textId="1997FB6E" w:rsidR="004845BC" w:rsidRDefault="00000000">
      <w:pPr>
        <w:spacing w:before="140" w:after="140" w:line="320" w:lineRule="auto"/>
        <w:jc w:val="both"/>
      </w:pPr>
      <w:r>
        <w:rPr>
          <w:color w:val="000000"/>
        </w:rPr>
        <w:t xml:space="preserve">El rigor metodológico de este documento se apoya en tres cuerpos de conocimiento: (1) la literatura académica sobre internacionalización empresarial y bancaria, en particular los modelos de selección de mercados y las teorías de distancia cultural e institucional; (2) las mejores prácticas de firmas globales de consultoría estratégica (McKinsey, BCG, Oliver Wyman) y organismos multilaterales (BID, CAF, Banco Mundial, FMI, BIS) sobre evaluación de mercados financieros en economías emergentes; y (3) los modelos de decisión </w:t>
      </w:r>
      <w:r w:rsidR="00FC3843">
        <w:rPr>
          <w:color w:val="000000"/>
        </w:rPr>
        <w:t>multicriterio</w:t>
      </w:r>
      <w:r>
        <w:rPr>
          <w:color w:val="000000"/>
        </w:rPr>
        <w:t xml:space="preserve"> (MCDM) que constituyen el núcleo analítico del sistema RADAR </w:t>
      </w:r>
      <w:proofErr w:type="spellStart"/>
      <w:r>
        <w:rPr>
          <w:color w:val="000000"/>
        </w:rPr>
        <w:t>Cibest</w:t>
      </w:r>
      <w:proofErr w:type="spellEnd"/>
      <w:r>
        <w:rPr>
          <w:color w:val="000000"/>
        </w:rPr>
        <w:t>. Cada sección del documento indica sus fuentes, distingue entre afirmaciones sustentadas en evidencia y aquellas que reflejan juicios metodológicos del equipo, y señala explícitamente las limitaciones de los instrumentos que propone.</w:t>
      </w:r>
    </w:p>
    <w:p w14:paraId="631D9BB5" w14:textId="77777777" w:rsidR="004845BC" w:rsidRDefault="004845BC">
      <w:pPr>
        <w:spacing w:after="120"/>
      </w:pPr>
    </w:p>
    <w:p w14:paraId="631D9BB6" w14:textId="77777777" w:rsidR="004845BC" w:rsidRDefault="00000000">
      <w:pPr>
        <w:pStyle w:val="Ttulo2"/>
        <w:pBdr>
          <w:bottom w:val="single" w:sz="4" w:space="4" w:color="E8B931"/>
        </w:pBdr>
      </w:pPr>
      <w:bookmarkStart w:id="3" w:name="_Toc232659552"/>
      <w:proofErr w:type="gramStart"/>
      <w:r>
        <w:t>1.3  Audiencia</w:t>
      </w:r>
      <w:proofErr w:type="gramEnd"/>
      <w:r>
        <w:t xml:space="preserve"> y modo de uso</w:t>
      </w:r>
      <w:bookmarkEnd w:id="3"/>
    </w:p>
    <w:p w14:paraId="631D9BB7" w14:textId="1A71FF60" w:rsidR="004845BC" w:rsidRDefault="00000000">
      <w:pPr>
        <w:spacing w:before="140" w:after="140" w:line="320" w:lineRule="auto"/>
        <w:jc w:val="both"/>
      </w:pPr>
      <w:r>
        <w:rPr>
          <w:color w:val="000000"/>
        </w:rPr>
        <w:t xml:space="preserve">Este documento tiene una audiencia dual. Para el Comité Ejecutivo y la Junta Directiva, el </w:t>
      </w:r>
      <w:r w:rsidR="00AA01B4">
        <w:rPr>
          <w:color w:val="000000"/>
        </w:rPr>
        <w:t>documento</w:t>
      </w:r>
      <w:r>
        <w:rPr>
          <w:color w:val="000000"/>
        </w:rPr>
        <w:t xml:space="preserve"> ofrece una vista completa de la lógica del proceso de selección de mercados —qué se hace, por qué se hace así, y qué decisiones requieren su </w:t>
      </w:r>
      <w:proofErr w:type="gramStart"/>
      <w:r>
        <w:rPr>
          <w:color w:val="000000"/>
        </w:rPr>
        <w:t>participación activa</w:t>
      </w:r>
      <w:proofErr w:type="gramEnd"/>
      <w:r>
        <w:rPr>
          <w:color w:val="000000"/>
        </w:rPr>
        <w:t xml:space="preserve">— sin requerir formación técnica especializada. Las secciones de fundamentos teóricos (Sección 2) y las fases de diagnóstico cualitativo (Secciones 6 y 7) están especialmente orientadas a esta audiencia. Para el equipo de Estrategia Corporativa, el documento es una guía operacional: detalla qué herramientas usar en cada fase, quiénes participan, qué se produce como entregable y cuánto </w:t>
      </w:r>
      <w:r>
        <w:rPr>
          <w:color w:val="000000"/>
        </w:rPr>
        <w:lastRenderedPageBreak/>
        <w:t>tiempo toma cada etapa. Las secciones de arquitectura del modelo cuantitativo (Sección 5) y validación técnica están orientadas a esta segunda audiencia.</w:t>
      </w:r>
    </w:p>
    <w:p w14:paraId="631D9BB8" w14:textId="7ECF987D" w:rsidR="004845BC" w:rsidRDefault="00000000">
      <w:pPr>
        <w:spacing w:before="140" w:after="140" w:line="320" w:lineRule="auto"/>
        <w:jc w:val="both"/>
      </w:pPr>
      <w:r>
        <w:rPr>
          <w:color w:val="000000"/>
        </w:rPr>
        <w:t xml:space="preserve">El documento se lee en su totalidad en una primera lectura para obtener una comprensión de la arquitectura general del proceso. En lecturas posteriores, cada sección puede consultarse de manera independiente, como referencia para la fase específica del proceso en que se encuentre el equipo. Se recomienda que antes de cualquier sesión del Comité Ejecutivo relacionada con el proceso SIM, el </w:t>
      </w:r>
      <w:proofErr w:type="gramStart"/>
      <w:r>
        <w:rPr>
          <w:color w:val="000000"/>
        </w:rPr>
        <w:t>Director</w:t>
      </w:r>
      <w:proofErr w:type="gramEnd"/>
      <w:r>
        <w:rPr>
          <w:color w:val="000000"/>
        </w:rPr>
        <w:t xml:space="preserve"> de Estrategia Corporativa y los líderes del proyecto identifiquen las secciones relevantes del </w:t>
      </w:r>
      <w:r w:rsidR="00AA01B4">
        <w:rPr>
          <w:color w:val="000000"/>
        </w:rPr>
        <w:t>documento</w:t>
      </w:r>
      <w:r>
        <w:rPr>
          <w:color w:val="000000"/>
        </w:rPr>
        <w:t xml:space="preserve"> y las circule con anticipación, de modo que las discusiones partan de un marco conceptual compartido.</w:t>
      </w:r>
    </w:p>
    <w:p w14:paraId="631D9BB9" w14:textId="77777777" w:rsidR="004845BC" w:rsidRDefault="004845BC">
      <w:pPr>
        <w:spacing w:after="120"/>
      </w:pPr>
    </w:p>
    <w:p w14:paraId="631D9BBA" w14:textId="77777777" w:rsidR="004845BC" w:rsidRDefault="00000000">
      <w:pPr>
        <w:pStyle w:val="Ttulo2"/>
        <w:pBdr>
          <w:bottom w:val="single" w:sz="4" w:space="4" w:color="E8B931"/>
        </w:pBdr>
      </w:pPr>
      <w:bookmarkStart w:id="4" w:name="_Toc232659553"/>
      <w:proofErr w:type="gramStart"/>
      <w:r>
        <w:t>1.4  RADAR</w:t>
      </w:r>
      <w:proofErr w:type="gramEnd"/>
      <w:r>
        <w:t xml:space="preserve"> </w:t>
      </w:r>
      <w:proofErr w:type="spellStart"/>
      <w:r>
        <w:t>Cibest</w:t>
      </w:r>
      <w:proofErr w:type="spellEnd"/>
      <w:r>
        <w:t xml:space="preserve"> en el proceso más amplio</w:t>
      </w:r>
      <w:bookmarkEnd w:id="4"/>
    </w:p>
    <w:p w14:paraId="631D9BBB" w14:textId="77777777" w:rsidR="004845BC" w:rsidRDefault="00000000">
      <w:pPr>
        <w:spacing w:before="140" w:after="140" w:line="320" w:lineRule="auto"/>
        <w:jc w:val="both"/>
      </w:pPr>
      <w:r>
        <w:rPr>
          <w:color w:val="000000"/>
        </w:rPr>
        <w:t xml:space="preserve">El sistema RADAR </w:t>
      </w:r>
      <w:proofErr w:type="spellStart"/>
      <w:r>
        <w:rPr>
          <w:color w:val="000000"/>
        </w:rPr>
        <w:t>Cibest</w:t>
      </w:r>
      <w:proofErr w:type="spellEnd"/>
      <w:r>
        <w:rPr>
          <w:color w:val="000000"/>
        </w:rPr>
        <w:t xml:space="preserve"> (Ranking de Atractivo y Diagnóstico Analítico Regional) es el componente de inteligencia cuantitativa del proceso SIM, no el proceso en su totalidad. RADAR produce, de forma sistemática y reproducible, un ordenamiento de los mercados del universo definido según su atractivo para Grupo </w:t>
      </w:r>
      <w:proofErr w:type="spellStart"/>
      <w:r>
        <w:rPr>
          <w:color w:val="000000"/>
        </w:rPr>
        <w:t>Cibest</w:t>
      </w:r>
      <w:proofErr w:type="spellEnd"/>
      <w:r>
        <w:rPr>
          <w:color w:val="000000"/>
        </w:rPr>
        <w:t xml:space="preserve">, junto con perfiles de fortalezas y debilidades por dimensión y señales diferenciadas para las cinco líneas de negocio. Sin embargo, RADAR opera dentro de un proceso más amplio que incluye fases que preceden al análisis cuantitativo —la definición del objetivo estratégico y el screening primario de exclusiones— y fases que lo suceden: la inteligencia cualitativa, la evaluación de capacidades internas de </w:t>
      </w:r>
      <w:proofErr w:type="spellStart"/>
      <w:r>
        <w:rPr>
          <w:color w:val="000000"/>
        </w:rPr>
        <w:t>Cibest</w:t>
      </w:r>
      <w:proofErr w:type="spellEnd"/>
      <w:r>
        <w:rPr>
          <w:color w:val="000000"/>
        </w:rPr>
        <w:t xml:space="preserve">, la definición del modo de entrada y el </w:t>
      </w:r>
      <w:proofErr w:type="spellStart"/>
      <w:r>
        <w:rPr>
          <w:color w:val="000000"/>
        </w:rPr>
        <w:t>due</w:t>
      </w:r>
      <w:proofErr w:type="spellEnd"/>
      <w:r>
        <w:rPr>
          <w:color w:val="000000"/>
        </w:rPr>
        <w:t xml:space="preserve"> </w:t>
      </w:r>
      <w:proofErr w:type="spellStart"/>
      <w:r>
        <w:rPr>
          <w:color w:val="000000"/>
        </w:rPr>
        <w:t>diligence</w:t>
      </w:r>
      <w:proofErr w:type="spellEnd"/>
      <w:r>
        <w:rPr>
          <w:color w:val="000000"/>
        </w:rPr>
        <w:t xml:space="preserve"> formal. Ninguna de esas fases puede ser reemplazada por el modelo cuantitativo, y la solidez de los resultados de RADAR depende críticamente de la calidad de los insumos que recibe de las fases previas, en particular de la claridad del objetivo estratégico definido por el Comité Ejecutivo.</w:t>
      </w:r>
    </w:p>
    <w:p w14:paraId="631D9BBC" w14:textId="77777777" w:rsidR="004845BC" w:rsidRDefault="00000000">
      <w:pPr>
        <w:spacing w:before="140" w:after="140" w:line="320" w:lineRule="auto"/>
        <w:jc w:val="both"/>
      </w:pPr>
      <w:r>
        <w:rPr>
          <w:color w:val="000000"/>
        </w:rPr>
        <w:t>A lo largo de este documento, cada sección que describe una fase del proceso SIM especifica explícitamente: qué input recibe RADAR de esa fase, qué output entrega RADAR a esa fase, y cómo las limitaciones del modelo cuantitativo deben ser compensadas por los elementos cualitativos y deliberativos del proceso. Esta articulación explícita es deliberada: uno de los riesgos más frecuentes en el uso de modelos cuantitativos para apoyar decisiones estratégicas es que el modelo termina siendo el decisor en lugar del instrumento de información. Este documento está diseñado para prevenir esa confusión desde su estructura.</w:t>
      </w:r>
    </w:p>
    <w:p w14:paraId="631D9BBD" w14:textId="77777777" w:rsidR="004845BC" w:rsidRDefault="004845BC">
      <w:pPr>
        <w:spacing w:after="120"/>
      </w:pPr>
    </w:p>
    <w:p w14:paraId="3236006F" w14:textId="77777777" w:rsidR="00E16C81" w:rsidRDefault="00E16C81">
      <w:pPr>
        <w:spacing w:after="120"/>
      </w:pPr>
    </w:p>
    <w:p w14:paraId="1C472F15" w14:textId="77777777" w:rsidR="00E16C81" w:rsidRDefault="00E16C81">
      <w:pPr>
        <w:spacing w:after="120"/>
      </w:pPr>
    </w:p>
    <w:p w14:paraId="0CCE87D9" w14:textId="77777777" w:rsidR="00E16C81" w:rsidRDefault="00E16C81">
      <w:pPr>
        <w:spacing w:after="120"/>
      </w:pPr>
    </w:p>
    <w:p w14:paraId="631D9BBE" w14:textId="77777777" w:rsidR="004845BC" w:rsidRDefault="00000000">
      <w:pPr>
        <w:pStyle w:val="Ttulo2"/>
        <w:pBdr>
          <w:bottom w:val="single" w:sz="4" w:space="4" w:color="E8B931"/>
        </w:pBdr>
      </w:pPr>
      <w:bookmarkStart w:id="5" w:name="_Toc232659554"/>
      <w:proofErr w:type="gramStart"/>
      <w:r>
        <w:lastRenderedPageBreak/>
        <w:t>1.5  Lo</w:t>
      </w:r>
      <w:proofErr w:type="gramEnd"/>
      <w:r>
        <w:t xml:space="preserve"> que este documento NO hace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5BC" w14:paraId="631D9BC1" w14:textId="77777777">
        <w:tc>
          <w:tcPr>
            <w:tcW w:w="9360" w:type="dxa"/>
            <w:tcBorders>
              <w:top w:val="single" w:sz="1" w:space="0" w:color="D0D5DB"/>
              <w:left w:val="single" w:sz="1" w:space="0" w:color="D0D5DB"/>
              <w:bottom w:val="single" w:sz="1" w:space="0" w:color="D0D5DB"/>
              <w:right w:val="single" w:sz="1" w:space="0" w:color="D0D5DB"/>
            </w:tcBorders>
            <w:shd w:val="clear" w:color="auto" w:fill="FFF8E7"/>
            <w:tcMar>
              <w:top w:w="140" w:type="dxa"/>
              <w:left w:w="200" w:type="dxa"/>
              <w:bottom w:w="140" w:type="dxa"/>
              <w:right w:w="200" w:type="dxa"/>
            </w:tcMar>
          </w:tcPr>
          <w:p w14:paraId="631D9BBF" w14:textId="6BDCD0F0" w:rsidR="004845BC" w:rsidRDefault="00000000">
            <w:pPr>
              <w:spacing w:after="80"/>
            </w:pPr>
            <w:r>
              <w:rPr>
                <w:b/>
                <w:bCs/>
                <w:caps/>
                <w:color w:val="7D4800"/>
                <w:sz w:val="21"/>
                <w:szCs w:val="21"/>
              </w:rPr>
              <w:t>⚠ Limitación</w:t>
            </w:r>
          </w:p>
          <w:p w14:paraId="631D9BC0" w14:textId="0EE9DA3C" w:rsidR="004845BC" w:rsidRDefault="00000000">
            <w:pPr>
              <w:jc w:val="both"/>
            </w:pPr>
            <w:r>
              <w:rPr>
                <w:color w:val="1A1A1A"/>
                <w:sz w:val="21"/>
                <w:szCs w:val="21"/>
              </w:rPr>
              <w:t xml:space="preserve">Este </w:t>
            </w:r>
            <w:r w:rsidR="00AA01B4">
              <w:rPr>
                <w:color w:val="1A1A1A"/>
                <w:sz w:val="21"/>
                <w:szCs w:val="21"/>
              </w:rPr>
              <w:t>documento</w:t>
            </w:r>
            <w:r>
              <w:rPr>
                <w:color w:val="1A1A1A"/>
                <w:sz w:val="21"/>
                <w:szCs w:val="21"/>
              </w:rPr>
              <w:t xml:space="preserve"> NO es un plan de negocios para ningún mercado específico. NO define la estructura legal o corporativa de entrada a ningún país. NO constituye un estudio de factibilidad financiera de ninguna operación. NO sustituye el </w:t>
            </w:r>
            <w:proofErr w:type="spellStart"/>
            <w:r>
              <w:rPr>
                <w:color w:val="1A1A1A"/>
                <w:sz w:val="21"/>
                <w:szCs w:val="21"/>
              </w:rPr>
              <w:t>due</w:t>
            </w:r>
            <w:proofErr w:type="spellEnd"/>
            <w:r>
              <w:rPr>
                <w:color w:val="1A1A1A"/>
                <w:sz w:val="21"/>
                <w:szCs w:val="21"/>
              </w:rPr>
              <w:t xml:space="preserve"> </w:t>
            </w:r>
            <w:proofErr w:type="spellStart"/>
            <w:r>
              <w:rPr>
                <w:color w:val="1A1A1A"/>
                <w:sz w:val="21"/>
                <w:szCs w:val="21"/>
              </w:rPr>
              <w:t>diligence</w:t>
            </w:r>
            <w:proofErr w:type="spellEnd"/>
            <w:r>
              <w:rPr>
                <w:color w:val="1A1A1A"/>
                <w:sz w:val="21"/>
                <w:szCs w:val="21"/>
              </w:rPr>
              <w:t xml:space="preserve"> regulatorio, financiero y legal que debe preceder a cualquier decisión de entrada a un mercado. NO define cuáles líneas de negocio de </w:t>
            </w:r>
            <w:proofErr w:type="spellStart"/>
            <w:r>
              <w:rPr>
                <w:color w:val="1A1A1A"/>
                <w:sz w:val="21"/>
                <w:szCs w:val="21"/>
              </w:rPr>
              <w:t>Cibest</w:t>
            </w:r>
            <w:proofErr w:type="spellEnd"/>
            <w:r>
              <w:rPr>
                <w:color w:val="1A1A1A"/>
                <w:sz w:val="21"/>
                <w:szCs w:val="21"/>
              </w:rPr>
              <w:t xml:space="preserve"> deben internacionalizarse ni en qué secuencia: esa es una decisión estratégica de la alta dirección que este proceso </w:t>
            </w:r>
            <w:proofErr w:type="gramStart"/>
            <w:r>
              <w:rPr>
                <w:color w:val="1A1A1A"/>
                <w:sz w:val="21"/>
                <w:szCs w:val="21"/>
              </w:rPr>
              <w:t>alimenta</w:t>
            </w:r>
            <w:proofErr w:type="gramEnd"/>
            <w:r>
              <w:rPr>
                <w:color w:val="1A1A1A"/>
                <w:sz w:val="21"/>
                <w:szCs w:val="21"/>
              </w:rPr>
              <w:t xml:space="preserve"> pero no reemplaza. Tampoco constituye una recomendación de mercados: el proceso que describe puede producir recomendaciones, pero esas recomendaciones serán el resultado del proceso completo, no de ninguno de sus componentes individuales.</w:t>
            </w:r>
          </w:p>
        </w:tc>
      </w:tr>
    </w:tbl>
    <w:p w14:paraId="631D9BC2" w14:textId="77777777" w:rsidR="004845BC" w:rsidRDefault="004845BC">
      <w:pPr>
        <w:spacing w:after="120"/>
      </w:pPr>
    </w:p>
    <w:p w14:paraId="16FAB996" w14:textId="77777777" w:rsidR="009A41FE" w:rsidRDefault="00000000">
      <w:pPr>
        <w:spacing w:before="140" w:after="140" w:line="320" w:lineRule="auto"/>
        <w:jc w:val="both"/>
        <w:rPr>
          <w:color w:val="000000"/>
        </w:rPr>
      </w:pPr>
      <w:r>
        <w:rPr>
          <w:color w:val="000000"/>
        </w:rPr>
        <w:t xml:space="preserve">Las referencias centrales que sustentan el diseño de este proceso incluyen: </w:t>
      </w:r>
    </w:p>
    <w:p w14:paraId="47989BE9" w14:textId="77777777" w:rsidR="003103B8" w:rsidRDefault="00000000">
      <w:pPr>
        <w:spacing w:before="140" w:after="140" w:line="320" w:lineRule="auto"/>
        <w:jc w:val="both"/>
        <w:rPr>
          <w:color w:val="000000"/>
        </w:rPr>
      </w:pPr>
      <w:r>
        <w:rPr>
          <w:color w:val="000000"/>
        </w:rPr>
        <w:t xml:space="preserve">Johanson, J. &amp; </w:t>
      </w:r>
      <w:proofErr w:type="spellStart"/>
      <w:r>
        <w:rPr>
          <w:color w:val="000000"/>
        </w:rPr>
        <w:t>Vahlne</w:t>
      </w:r>
      <w:proofErr w:type="spellEnd"/>
      <w:r>
        <w:rPr>
          <w:color w:val="000000"/>
        </w:rPr>
        <w:t xml:space="preserve">, J.E. (1977). The </w:t>
      </w:r>
      <w:proofErr w:type="spellStart"/>
      <w:r>
        <w:rPr>
          <w:color w:val="000000"/>
        </w:rPr>
        <w:t>Internationalization</w:t>
      </w:r>
      <w:proofErr w:type="spellEnd"/>
      <w:r>
        <w:rPr>
          <w:color w:val="000000"/>
        </w:rPr>
        <w:t xml:space="preserve"> Process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Firm. </w:t>
      </w:r>
      <w:proofErr w:type="spellStart"/>
      <w:r>
        <w:rPr>
          <w:color w:val="000000"/>
        </w:rPr>
        <w:t>Journal</w:t>
      </w:r>
      <w:proofErr w:type="spellEnd"/>
      <w:r>
        <w:rPr>
          <w:color w:val="000000"/>
        </w:rPr>
        <w:t xml:space="preserve"> </w:t>
      </w:r>
      <w:proofErr w:type="spellStart"/>
      <w:r>
        <w:rPr>
          <w:color w:val="000000"/>
        </w:rPr>
        <w:t>of</w:t>
      </w:r>
      <w:proofErr w:type="spellEnd"/>
      <w:r>
        <w:rPr>
          <w:color w:val="000000"/>
        </w:rPr>
        <w:t xml:space="preserve"> International Business </w:t>
      </w:r>
      <w:proofErr w:type="spellStart"/>
      <w:r>
        <w:rPr>
          <w:color w:val="000000"/>
        </w:rPr>
        <w:t>Studies</w:t>
      </w:r>
      <w:proofErr w:type="spellEnd"/>
      <w:r>
        <w:rPr>
          <w:color w:val="000000"/>
        </w:rPr>
        <w:t xml:space="preserve">, 8(1), 23-32; revisado en Johanson, J. &amp; </w:t>
      </w:r>
      <w:proofErr w:type="spellStart"/>
      <w:r>
        <w:rPr>
          <w:color w:val="000000"/>
        </w:rPr>
        <w:t>Vahlne</w:t>
      </w:r>
      <w:proofErr w:type="spellEnd"/>
      <w:r>
        <w:rPr>
          <w:color w:val="000000"/>
        </w:rPr>
        <w:t xml:space="preserve">, J.E. (2009). </w:t>
      </w:r>
    </w:p>
    <w:p w14:paraId="179BDBB0" w14:textId="77777777" w:rsidR="003103B8" w:rsidRDefault="00000000">
      <w:pPr>
        <w:spacing w:before="140" w:after="140" w:line="320" w:lineRule="auto"/>
        <w:jc w:val="both"/>
        <w:rPr>
          <w:color w:val="000000"/>
        </w:rPr>
      </w:pPr>
      <w:r>
        <w:rPr>
          <w:color w:val="000000"/>
        </w:rPr>
        <w:t xml:space="preserve">The Uppsala </w:t>
      </w:r>
      <w:proofErr w:type="spellStart"/>
      <w:r>
        <w:rPr>
          <w:color w:val="000000"/>
        </w:rPr>
        <w:t>Internationalization</w:t>
      </w:r>
      <w:proofErr w:type="spellEnd"/>
      <w:r>
        <w:rPr>
          <w:color w:val="000000"/>
        </w:rPr>
        <w:t xml:space="preserve"> Process Model </w:t>
      </w:r>
      <w:proofErr w:type="spellStart"/>
      <w:r>
        <w:rPr>
          <w:color w:val="000000"/>
        </w:rPr>
        <w:t>Revisited</w:t>
      </w:r>
      <w:proofErr w:type="spellEnd"/>
      <w:r>
        <w:rPr>
          <w:color w:val="000000"/>
        </w:rPr>
        <w:t xml:space="preserve">. </w:t>
      </w:r>
      <w:proofErr w:type="spellStart"/>
      <w:r>
        <w:rPr>
          <w:color w:val="000000"/>
        </w:rPr>
        <w:t>Journal</w:t>
      </w:r>
      <w:proofErr w:type="spellEnd"/>
      <w:r>
        <w:rPr>
          <w:color w:val="000000"/>
        </w:rPr>
        <w:t xml:space="preserve"> </w:t>
      </w:r>
      <w:proofErr w:type="spellStart"/>
      <w:r>
        <w:rPr>
          <w:color w:val="000000"/>
        </w:rPr>
        <w:t>of</w:t>
      </w:r>
      <w:proofErr w:type="spellEnd"/>
      <w:r>
        <w:rPr>
          <w:color w:val="000000"/>
        </w:rPr>
        <w:t xml:space="preserve"> International Business </w:t>
      </w:r>
      <w:proofErr w:type="spellStart"/>
      <w:r>
        <w:rPr>
          <w:color w:val="000000"/>
        </w:rPr>
        <w:t>Studies</w:t>
      </w:r>
      <w:proofErr w:type="spellEnd"/>
      <w:r>
        <w:rPr>
          <w:color w:val="000000"/>
        </w:rPr>
        <w:t xml:space="preserve">, 40, 1411-1431 [https://doi.org/10.1057/jibs.2009.24]; </w:t>
      </w:r>
    </w:p>
    <w:p w14:paraId="1CDAD4E9" w14:textId="77777777" w:rsidR="003103B8" w:rsidRDefault="00000000">
      <w:pPr>
        <w:spacing w:before="140" w:after="140" w:line="320" w:lineRule="auto"/>
        <w:jc w:val="both"/>
        <w:rPr>
          <w:color w:val="000000"/>
        </w:rPr>
      </w:pPr>
      <w:r>
        <w:rPr>
          <w:color w:val="000000"/>
        </w:rPr>
        <w:t xml:space="preserve">Dunning, J.H. (1977). </w:t>
      </w:r>
      <w:proofErr w:type="spellStart"/>
      <w:r>
        <w:rPr>
          <w:color w:val="000000"/>
        </w:rPr>
        <w:t>Trade</w:t>
      </w:r>
      <w:proofErr w:type="spellEnd"/>
      <w:r>
        <w:rPr>
          <w:color w:val="000000"/>
        </w:rPr>
        <w:t xml:space="preserve">, </w:t>
      </w:r>
      <w:proofErr w:type="spellStart"/>
      <w:r>
        <w:rPr>
          <w:color w:val="000000"/>
        </w:rPr>
        <w:t>Location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Economic</w:t>
      </w:r>
      <w:proofErr w:type="spellEnd"/>
      <w:r>
        <w:rPr>
          <w:color w:val="000000"/>
        </w:rPr>
        <w:t xml:space="preserve"> </w:t>
      </w:r>
      <w:proofErr w:type="spellStart"/>
      <w:r>
        <w:rPr>
          <w:color w:val="000000"/>
        </w:rPr>
        <w:t>Activity</w:t>
      </w:r>
      <w:proofErr w:type="spellEnd"/>
      <w:r>
        <w:rPr>
          <w:color w:val="000000"/>
        </w:rPr>
        <w:t xml:space="preserve"> and </w:t>
      </w:r>
      <w:proofErr w:type="spellStart"/>
      <w:r>
        <w:rPr>
          <w:color w:val="000000"/>
        </w:rPr>
        <w:t>the</w:t>
      </w:r>
      <w:proofErr w:type="spellEnd"/>
      <w:r>
        <w:rPr>
          <w:color w:val="000000"/>
        </w:rPr>
        <w:t xml:space="preserve"> MNE: A Search </w:t>
      </w:r>
      <w:proofErr w:type="spellStart"/>
      <w:r>
        <w:rPr>
          <w:color w:val="000000"/>
        </w:rPr>
        <w:t>for</w:t>
      </w:r>
      <w:proofErr w:type="spellEnd"/>
      <w:r>
        <w:rPr>
          <w:color w:val="000000"/>
        </w:rPr>
        <w:t xml:space="preserve"> </w:t>
      </w:r>
      <w:proofErr w:type="spellStart"/>
      <w:r>
        <w:rPr>
          <w:color w:val="000000"/>
        </w:rPr>
        <w:t>an</w:t>
      </w:r>
      <w:proofErr w:type="spellEnd"/>
      <w:r>
        <w:rPr>
          <w:color w:val="000000"/>
        </w:rPr>
        <w:t xml:space="preserve"> </w:t>
      </w:r>
      <w:proofErr w:type="spellStart"/>
      <w:r>
        <w:rPr>
          <w:color w:val="000000"/>
        </w:rPr>
        <w:t>Eclectic</w:t>
      </w:r>
      <w:proofErr w:type="spellEnd"/>
      <w:r>
        <w:rPr>
          <w:color w:val="000000"/>
        </w:rPr>
        <w:t xml:space="preserve"> </w:t>
      </w:r>
      <w:proofErr w:type="spellStart"/>
      <w:r>
        <w:rPr>
          <w:color w:val="000000"/>
        </w:rPr>
        <w:t>Approach</w:t>
      </w:r>
      <w:proofErr w:type="spellEnd"/>
      <w:r>
        <w:rPr>
          <w:color w:val="000000"/>
        </w:rPr>
        <w:t>. En Ohlin, B. et al. (</w:t>
      </w:r>
      <w:proofErr w:type="spellStart"/>
      <w:r>
        <w:rPr>
          <w:color w:val="000000"/>
        </w:rPr>
        <w:t>eds</w:t>
      </w:r>
      <w:proofErr w:type="spellEnd"/>
      <w:r>
        <w:rPr>
          <w:color w:val="000000"/>
        </w:rPr>
        <w:t xml:space="preserve">), The International </w:t>
      </w:r>
      <w:proofErr w:type="spellStart"/>
      <w:r>
        <w:rPr>
          <w:color w:val="000000"/>
        </w:rPr>
        <w:t>Allocation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Economic</w:t>
      </w:r>
      <w:proofErr w:type="spellEnd"/>
      <w:r>
        <w:rPr>
          <w:color w:val="000000"/>
        </w:rPr>
        <w:t xml:space="preserve"> </w:t>
      </w:r>
      <w:proofErr w:type="spellStart"/>
      <w:r>
        <w:rPr>
          <w:color w:val="000000"/>
        </w:rPr>
        <w:t>Activity</w:t>
      </w:r>
      <w:proofErr w:type="spellEnd"/>
      <w:r>
        <w:rPr>
          <w:color w:val="000000"/>
        </w:rPr>
        <w:t>. Macmillan;</w:t>
      </w:r>
    </w:p>
    <w:p w14:paraId="4792A720" w14:textId="12269EAD" w:rsidR="003103B8" w:rsidRDefault="00000000">
      <w:pPr>
        <w:spacing w:before="140" w:after="140" w:line="320" w:lineRule="auto"/>
        <w:jc w:val="both"/>
        <w:rPr>
          <w:color w:val="000000"/>
        </w:rPr>
      </w:pPr>
      <w:r>
        <w:rPr>
          <w:color w:val="000000"/>
        </w:rPr>
        <w:t xml:space="preserve">Dunning, J.H. (1988). The </w:t>
      </w:r>
      <w:proofErr w:type="spellStart"/>
      <w:r>
        <w:rPr>
          <w:color w:val="000000"/>
        </w:rPr>
        <w:t>Eclectic</w:t>
      </w:r>
      <w:proofErr w:type="spellEnd"/>
      <w:r>
        <w:rPr>
          <w:color w:val="000000"/>
        </w:rPr>
        <w:t xml:space="preserve"> </w:t>
      </w:r>
      <w:proofErr w:type="spellStart"/>
      <w:r>
        <w:rPr>
          <w:color w:val="000000"/>
        </w:rPr>
        <w:t>Paradigm</w:t>
      </w:r>
      <w:proofErr w:type="spellEnd"/>
      <w:r>
        <w:rPr>
          <w:color w:val="000000"/>
        </w:rPr>
        <w:t xml:space="preserve"> </w:t>
      </w:r>
      <w:proofErr w:type="spellStart"/>
      <w:r>
        <w:rPr>
          <w:color w:val="000000"/>
        </w:rPr>
        <w:t>of</w:t>
      </w:r>
      <w:proofErr w:type="spellEnd"/>
      <w:r>
        <w:rPr>
          <w:color w:val="000000"/>
        </w:rPr>
        <w:t xml:space="preserve"> International </w:t>
      </w:r>
      <w:proofErr w:type="spellStart"/>
      <w:r>
        <w:rPr>
          <w:color w:val="000000"/>
        </w:rPr>
        <w:t>Production</w:t>
      </w:r>
      <w:proofErr w:type="spellEnd"/>
      <w:r>
        <w:rPr>
          <w:color w:val="000000"/>
        </w:rPr>
        <w:t xml:space="preserve">. </w:t>
      </w:r>
      <w:proofErr w:type="spellStart"/>
      <w:r>
        <w:rPr>
          <w:color w:val="000000"/>
        </w:rPr>
        <w:t>Journal</w:t>
      </w:r>
      <w:proofErr w:type="spellEnd"/>
      <w:r>
        <w:rPr>
          <w:color w:val="000000"/>
        </w:rPr>
        <w:t xml:space="preserve"> </w:t>
      </w:r>
      <w:proofErr w:type="spellStart"/>
      <w:r>
        <w:rPr>
          <w:color w:val="000000"/>
        </w:rPr>
        <w:t>of</w:t>
      </w:r>
      <w:proofErr w:type="spellEnd"/>
      <w:r>
        <w:rPr>
          <w:color w:val="000000"/>
        </w:rPr>
        <w:t xml:space="preserve"> International Business </w:t>
      </w:r>
      <w:proofErr w:type="spellStart"/>
      <w:r>
        <w:rPr>
          <w:color w:val="000000"/>
        </w:rPr>
        <w:t>Studies</w:t>
      </w:r>
      <w:proofErr w:type="spellEnd"/>
      <w:r>
        <w:rPr>
          <w:color w:val="000000"/>
        </w:rPr>
        <w:t xml:space="preserve">, 19(1), 1-31; </w:t>
      </w:r>
    </w:p>
    <w:p w14:paraId="631D9BC3" w14:textId="5147B90A" w:rsidR="004845BC" w:rsidRDefault="00000000">
      <w:pPr>
        <w:spacing w:before="140" w:after="140" w:line="320" w:lineRule="auto"/>
        <w:jc w:val="both"/>
      </w:pPr>
      <w:r>
        <w:rPr>
          <w:color w:val="000000"/>
        </w:rPr>
        <w:t xml:space="preserve">Buckley, P.J. &amp; Casson, M. (1976). The Future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Multinational</w:t>
      </w:r>
      <w:proofErr w:type="spellEnd"/>
      <w:r>
        <w:rPr>
          <w:color w:val="000000"/>
        </w:rPr>
        <w:t xml:space="preserve"> Enterprise. Macmillan.</w:t>
      </w:r>
    </w:p>
    <w:p w14:paraId="631D9BC4" w14:textId="77777777" w:rsidR="004845BC" w:rsidRDefault="00000000">
      <w:r>
        <w:br w:type="page"/>
      </w:r>
    </w:p>
    <w:p w14:paraId="631D9BC5" w14:textId="77777777" w:rsidR="004845BC" w:rsidRPr="009B0854" w:rsidRDefault="00000000" w:rsidP="009B0854">
      <w:pPr>
        <w:pStyle w:val="Ttulo1"/>
        <w:ind w:left="200" w:right="200"/>
        <w:rPr>
          <w:color w:val="auto"/>
        </w:rPr>
      </w:pPr>
      <w:bookmarkStart w:id="6" w:name="_Toc232659555"/>
      <w:r w:rsidRPr="009B0854">
        <w:rPr>
          <w:color w:val="auto"/>
        </w:rPr>
        <w:lastRenderedPageBreak/>
        <w:t>Sección 2 — Fundamentos Teóricos del Proceso de Internacionalización Financiera</w:t>
      </w:r>
      <w:bookmarkEnd w:id="6"/>
    </w:p>
    <w:p w14:paraId="631D9BC6" w14:textId="77777777" w:rsidR="004845BC" w:rsidRDefault="004845BC">
      <w:pPr>
        <w:spacing w:after="120"/>
      </w:pPr>
    </w:p>
    <w:p w14:paraId="631D9BC7" w14:textId="77777777" w:rsidR="004845BC" w:rsidRDefault="00000000">
      <w:pPr>
        <w:spacing w:before="140" w:after="140" w:line="320" w:lineRule="auto"/>
        <w:jc w:val="both"/>
      </w:pPr>
      <w:r>
        <w:rPr>
          <w:color w:val="000000"/>
        </w:rPr>
        <w:t xml:space="preserve">Esta sección establece el sustento académico del proceso de selección de mercados propuesto. Su propósito no es presentar una revisión exhaustiva de la literatura —la revisión sistemática de literatura del proyecto RADAR </w:t>
      </w:r>
      <w:proofErr w:type="spellStart"/>
      <w:r>
        <w:rPr>
          <w:color w:val="000000"/>
        </w:rPr>
        <w:t>Cibest</w:t>
      </w:r>
      <w:proofErr w:type="spellEnd"/>
      <w:r>
        <w:rPr>
          <w:color w:val="000000"/>
        </w:rPr>
        <w:t xml:space="preserve"> cumple esa función con mayor profundidad—, sino seleccionar los marcos teóricos que tienen mayor poder explicativo y prescriptivo para el caso específico de Grupo </w:t>
      </w:r>
      <w:proofErr w:type="spellStart"/>
      <w:r>
        <w:rPr>
          <w:color w:val="000000"/>
        </w:rPr>
        <w:t>Cibest</w:t>
      </w:r>
      <w:proofErr w:type="spellEnd"/>
      <w:r>
        <w:rPr>
          <w:color w:val="000000"/>
        </w:rPr>
        <w:t xml:space="preserve">: una </w:t>
      </w:r>
      <w:proofErr w:type="gramStart"/>
      <w:r>
        <w:rPr>
          <w:color w:val="000000"/>
        </w:rPr>
        <w:t>holding financiera</w:t>
      </w:r>
      <w:proofErr w:type="gramEnd"/>
      <w:r>
        <w:rPr>
          <w:color w:val="000000"/>
        </w:rPr>
        <w:t xml:space="preserve"> colombiana, con cinco líneas de negocio de naturaleza heterogénea, que evalúa la entrada a mercados de América y España. Comprender estos marcos no es un ejercicio académico: es la base para entender por qué el proceso de selección de mercados está diseñado como está, y por qué ciertas decisiones metodológicas —como la ponderación directiva de criterios o el tratamiento de la distancia institucional— son las más apropiadas para este contexto.</w:t>
      </w:r>
    </w:p>
    <w:p w14:paraId="631D9BC8" w14:textId="77777777" w:rsidR="004845BC" w:rsidRDefault="004845BC">
      <w:pPr>
        <w:spacing w:after="120"/>
      </w:pPr>
    </w:p>
    <w:p w14:paraId="631D9BC9" w14:textId="77777777" w:rsidR="004845BC" w:rsidRDefault="00000000">
      <w:pPr>
        <w:pStyle w:val="Ttulo2"/>
        <w:pBdr>
          <w:bottom w:val="single" w:sz="4" w:space="4" w:color="E8B931"/>
        </w:pBdr>
      </w:pPr>
      <w:bookmarkStart w:id="7" w:name="_Toc232659556"/>
      <w:proofErr w:type="gramStart"/>
      <w:r>
        <w:t>2.1  Modelos</w:t>
      </w:r>
      <w:proofErr w:type="gramEnd"/>
      <w:r>
        <w:t xml:space="preserve"> de internacionalización aplicables a holdings financieras</w:t>
      </w:r>
      <w:bookmarkEnd w:id="7"/>
    </w:p>
    <w:p w14:paraId="631D9BCA" w14:textId="77777777" w:rsidR="004845BC" w:rsidRDefault="00000000">
      <w:pPr>
        <w:pStyle w:val="Ttulo3"/>
      </w:pPr>
      <w:bookmarkStart w:id="8" w:name="_Toc232659557"/>
      <w:r>
        <w:t>El Modelo Uppsala: internacionalización gradual y aprendizaje organizacional</w:t>
      </w:r>
      <w:bookmarkEnd w:id="8"/>
    </w:p>
    <w:p w14:paraId="631D9BCB" w14:textId="77777777" w:rsidR="004845BC" w:rsidRDefault="00000000">
      <w:pPr>
        <w:spacing w:before="140" w:after="140" w:line="320" w:lineRule="auto"/>
        <w:jc w:val="both"/>
      </w:pPr>
      <w:r>
        <w:rPr>
          <w:color w:val="000000"/>
        </w:rPr>
        <w:t xml:space="preserve">El Modelo Uppsala, formulado originalmente por Johanson y </w:t>
      </w:r>
      <w:proofErr w:type="spellStart"/>
      <w:r>
        <w:rPr>
          <w:color w:val="000000"/>
        </w:rPr>
        <w:t>Vahlne</w:t>
      </w:r>
      <w:proofErr w:type="spellEnd"/>
      <w:r>
        <w:rPr>
          <w:color w:val="000000"/>
        </w:rPr>
        <w:t xml:space="preserve"> (1977) a partir del estudio de la expansión internacional de empresas manufactureras suecas, propone que la internacionalización es un proceso incremental guiado por el aprendizaje organizacional. Las empresas reducen progresivamente su 'distancia psíquica' con los mercados extranjeros —definida como la suma de los factores que dificultan el flujo de información entre el país de origen y el destino, incluyendo diferencias en idioma, cultura, sistemas políticos y nivel de desarrollo económico— a medida que acumulan experiencia internacional. La implicación central es que las empresas tienden a internacionalizarse primero hacia mercados psíquicamente próximos, y solo después, conforme ganan experiencia, hacia mercados más distantes. La revisión de 2009 del modelo amplió esta concepción para incluir la dimensión relacional: las redes de relaciones institucionales y comerciales facilitan u obstaculizan la internacionalización tanto como las capacidades internas de la empresa.</w:t>
      </w:r>
    </w:p>
    <w:p w14:paraId="631D9BCC" w14:textId="2A2ED8BA" w:rsidR="004845BC" w:rsidRDefault="00000000">
      <w:pPr>
        <w:spacing w:before="140" w:after="140" w:line="320" w:lineRule="auto"/>
        <w:jc w:val="both"/>
      </w:pPr>
      <w:r>
        <w:rPr>
          <w:b/>
          <w:bCs/>
          <w:color w:val="000000"/>
        </w:rPr>
        <w:t xml:space="preserve">Aplicación al caso de Grupo </w:t>
      </w:r>
      <w:proofErr w:type="spellStart"/>
      <w:r>
        <w:rPr>
          <w:b/>
          <w:bCs/>
          <w:color w:val="000000"/>
        </w:rPr>
        <w:t>Cibest</w:t>
      </w:r>
      <w:proofErr w:type="spellEnd"/>
      <w:r>
        <w:rPr>
          <w:b/>
          <w:bCs/>
          <w:color w:val="000000"/>
        </w:rPr>
        <w:t xml:space="preserve">: </w:t>
      </w:r>
      <w:r>
        <w:rPr>
          <w:color w:val="000000"/>
        </w:rPr>
        <w:t xml:space="preserve">El modelo Uppsala tiene implicaciones directas para el diseño del proceso SIM. En primer lugar, sugiere que los mercados con mayor afinidad cultural, lingüística e institucional con Colombia —Ecuador, Perú, Panamá, República Dominicana, Costa Rica y España— deben ser candidatos naturales de entrada temprana para las líneas de negocio que requieren presencia física y acumulación de confianza institucional (Intermediación Bancaria y </w:t>
      </w:r>
      <w:proofErr w:type="spellStart"/>
      <w:r>
        <w:rPr>
          <w:color w:val="000000"/>
        </w:rPr>
        <w:t>Corporate</w:t>
      </w:r>
      <w:proofErr w:type="spellEnd"/>
      <w:r>
        <w:rPr>
          <w:color w:val="000000"/>
        </w:rPr>
        <w:t xml:space="preserve"> &amp; </w:t>
      </w:r>
      <w:proofErr w:type="spellStart"/>
      <w:r>
        <w:rPr>
          <w:color w:val="000000"/>
        </w:rPr>
        <w:t>Investment</w:t>
      </w:r>
      <w:proofErr w:type="spellEnd"/>
      <w:r>
        <w:rPr>
          <w:color w:val="000000"/>
        </w:rPr>
        <w:t xml:space="preserve"> </w:t>
      </w:r>
      <w:proofErr w:type="spellStart"/>
      <w:r>
        <w:rPr>
          <w:color w:val="000000"/>
        </w:rPr>
        <w:t>Banking</w:t>
      </w:r>
      <w:proofErr w:type="spellEnd"/>
      <w:r>
        <w:rPr>
          <w:color w:val="000000"/>
        </w:rPr>
        <w:t xml:space="preserve">). En segundo lugar, implica que la secuencia de entrada </w:t>
      </w:r>
      <w:r>
        <w:rPr>
          <w:color w:val="000000"/>
        </w:rPr>
        <w:lastRenderedPageBreak/>
        <w:t xml:space="preserve">importa: el aprendizaje acumulado en un primer mercado reduce el costo y el riesgo de la entrada a mercados subsiguientes. En tercer lugar, advierte que el exceso de ambición geográfica al inicio —intentar entrar simultáneamente a múltiples mercados muy distintos entre sí— sobrecarga la capacidad organizacional de aprendizaje y tiende a producir resultados mediocres en todos los frentes. El proceso SIM que propone este </w:t>
      </w:r>
      <w:r w:rsidR="00AA01B4">
        <w:rPr>
          <w:color w:val="000000"/>
        </w:rPr>
        <w:t>documento</w:t>
      </w:r>
      <w:r>
        <w:rPr>
          <w:color w:val="000000"/>
        </w:rPr>
        <w:t xml:space="preserve"> incorpora esta lógica al incluir una evaluación explícita de la 'distancia de proximidad' con Colombia como dimensión del modelo RADAR </w:t>
      </w:r>
      <w:proofErr w:type="spellStart"/>
      <w:r>
        <w:rPr>
          <w:color w:val="000000"/>
        </w:rPr>
        <w:t>Cibest</w:t>
      </w:r>
      <w:proofErr w:type="spellEnd"/>
      <w:r>
        <w:rPr>
          <w:color w:val="000000"/>
        </w:rPr>
        <w:t>.</w:t>
      </w:r>
    </w:p>
    <w:p w14:paraId="631D9BCD" w14:textId="77777777" w:rsidR="004845BC" w:rsidRDefault="004845BC">
      <w:pPr>
        <w:spacing w:after="120"/>
      </w:pPr>
    </w:p>
    <w:p w14:paraId="631D9BCE" w14:textId="77777777" w:rsidR="004845BC" w:rsidRDefault="00000000">
      <w:pPr>
        <w:pStyle w:val="Ttulo3"/>
      </w:pPr>
      <w:bookmarkStart w:id="9" w:name="_Toc232659558"/>
      <w:r>
        <w:t>El Paradigma Ecléctico OLI: ventajas de propiedad, localización e internalización</w:t>
      </w:r>
      <w:bookmarkEnd w:id="9"/>
    </w:p>
    <w:p w14:paraId="631D9BCF" w14:textId="77777777" w:rsidR="004845BC" w:rsidRDefault="00000000">
      <w:pPr>
        <w:spacing w:before="140" w:after="140" w:line="320" w:lineRule="auto"/>
        <w:jc w:val="both"/>
      </w:pPr>
      <w:r>
        <w:rPr>
          <w:color w:val="000000"/>
        </w:rPr>
        <w:t>El Paradigma Ecléctico OLI de Dunning (1977, 1988) propone que una empresa se internacionaliza a través de inversión extranjera directa cuando se cumplen simultáneamente tres condiciones. La empresa debe poseer ventajas de Propiedad (</w:t>
      </w:r>
      <w:proofErr w:type="spellStart"/>
      <w:r>
        <w:rPr>
          <w:color w:val="000000"/>
        </w:rPr>
        <w:t>Ownership</w:t>
      </w:r>
      <w:proofErr w:type="spellEnd"/>
      <w:r>
        <w:rPr>
          <w:color w:val="000000"/>
        </w:rPr>
        <w:t>) — activos específicos que le otorgan superioridad competitiva sobre los rivales locales en el mercado destino: tecnología, marca, know-how de gestión, capacidades de procesamiento de datos, acceso a capital. Debe existir una ventaja de Localización (</w:t>
      </w:r>
      <w:proofErr w:type="spellStart"/>
      <w:r>
        <w:rPr>
          <w:color w:val="000000"/>
        </w:rPr>
        <w:t>Location</w:t>
      </w:r>
      <w:proofErr w:type="spellEnd"/>
      <w:r>
        <w:rPr>
          <w:color w:val="000000"/>
        </w:rPr>
        <w:t>) — características del mercado destino que hacen que producir o prestar el servicio allí sea más rentable que hacerlo desde el país de origen: tamaño del mercado, costos de factores, infraestructura regulatoria favorable, acceso a recursos estratégicos. Y debe ser ventajoso para la empresa internalizar esas capacidades (</w:t>
      </w:r>
      <w:proofErr w:type="spellStart"/>
      <w:r>
        <w:rPr>
          <w:color w:val="000000"/>
        </w:rPr>
        <w:t>Internalization</w:t>
      </w:r>
      <w:proofErr w:type="spellEnd"/>
      <w:r>
        <w:rPr>
          <w:color w:val="000000"/>
        </w:rPr>
        <w:t>) — es decir, operar directamente en el mercado destino en lugar de licenciar su tecnología o asociarse con un operador local: cuando los activos son difíciles de valorar en el mercado, cuando la reputación requiere control directo de la operación, o cuando la información asimétrica hace que los contratos con terceros sean costosos de monitorear.</w:t>
      </w:r>
    </w:p>
    <w:p w14:paraId="631D9BD0" w14:textId="179741B5" w:rsidR="004845BC" w:rsidRDefault="00000000">
      <w:pPr>
        <w:spacing w:before="140" w:after="140" w:line="320" w:lineRule="auto"/>
        <w:jc w:val="both"/>
      </w:pPr>
      <w:r>
        <w:rPr>
          <w:b/>
          <w:bCs/>
          <w:color w:val="000000"/>
        </w:rPr>
        <w:t xml:space="preserve">Aplicación al caso de Grupo </w:t>
      </w:r>
      <w:proofErr w:type="spellStart"/>
      <w:r>
        <w:rPr>
          <w:b/>
          <w:bCs/>
          <w:color w:val="000000"/>
        </w:rPr>
        <w:t>Cibest</w:t>
      </w:r>
      <w:proofErr w:type="spellEnd"/>
      <w:r>
        <w:rPr>
          <w:b/>
          <w:bCs/>
          <w:color w:val="000000"/>
        </w:rPr>
        <w:t xml:space="preserve">: </w:t>
      </w:r>
      <w:r>
        <w:rPr>
          <w:color w:val="000000"/>
        </w:rPr>
        <w:t xml:space="preserve">El marco OLI es una herramienta de diagnóstico fundamental que el equipo de Estrategia Corporativa debe aplicar línea de negocio por </w:t>
      </w:r>
      <w:proofErr w:type="gramStart"/>
      <w:r>
        <w:rPr>
          <w:color w:val="000000"/>
        </w:rPr>
        <w:t>línea</w:t>
      </w:r>
      <w:proofErr w:type="gramEnd"/>
      <w:r>
        <w:rPr>
          <w:color w:val="000000"/>
        </w:rPr>
        <w:t xml:space="preserve"> de negocio, no a </w:t>
      </w:r>
      <w:proofErr w:type="spellStart"/>
      <w:r>
        <w:rPr>
          <w:color w:val="000000"/>
        </w:rPr>
        <w:t>Cibest</w:t>
      </w:r>
      <w:proofErr w:type="spellEnd"/>
      <w:r>
        <w:rPr>
          <w:color w:val="000000"/>
        </w:rPr>
        <w:t xml:space="preserve"> como holding en su conjunto. Las ventajas de propiedad de </w:t>
      </w:r>
      <w:proofErr w:type="spellStart"/>
      <w:r>
        <w:rPr>
          <w:color w:val="000000"/>
        </w:rPr>
        <w:t>Cibest</w:t>
      </w:r>
      <w:proofErr w:type="spellEnd"/>
      <w:r>
        <w:rPr>
          <w:color w:val="000000"/>
        </w:rPr>
        <w:t xml:space="preserve"> en Intermediación Bancaria (escala de balance, tecnología de </w:t>
      </w:r>
      <w:proofErr w:type="spellStart"/>
      <w:r>
        <w:rPr>
          <w:color w:val="000000"/>
        </w:rPr>
        <w:t>scoring</w:t>
      </w:r>
      <w:proofErr w:type="spellEnd"/>
      <w:r>
        <w:rPr>
          <w:color w:val="000000"/>
        </w:rPr>
        <w:t xml:space="preserve"> crediticio, red de distribución) son distintas de las de su línea de Activos Digitales (capacidades tecnológicas en custodia y trading de </w:t>
      </w:r>
      <w:proofErr w:type="spellStart"/>
      <w:r>
        <w:rPr>
          <w:color w:val="000000"/>
        </w:rPr>
        <w:t>criptoactivos</w:t>
      </w:r>
      <w:proofErr w:type="spellEnd"/>
      <w:r>
        <w:rPr>
          <w:color w:val="000000"/>
        </w:rPr>
        <w:t xml:space="preserve">) o de su línea CIB (red de relaciones corporativas, capacidades de estructuración). La ventaja de localización varía igualmente: un mercado puede ofrecer ventajas de localización para </w:t>
      </w:r>
      <w:r w:rsidR="00907918">
        <w:rPr>
          <w:color w:val="000000"/>
        </w:rPr>
        <w:t>Pagos y Flujos</w:t>
      </w:r>
      <w:r>
        <w:rPr>
          <w:color w:val="000000"/>
        </w:rPr>
        <w:t xml:space="preserve"> por el volumen de la diáspora colombiana y las remesas, pero ofrecer ventajas débiles para CIB por la falta de mercado de capitales desarrollado. La ventaja de internalización frente a la alternativa de licenciar o hacer </w:t>
      </w:r>
      <w:proofErr w:type="spellStart"/>
      <w:proofErr w:type="gramStart"/>
      <w:r>
        <w:rPr>
          <w:color w:val="000000"/>
        </w:rPr>
        <w:t>joint</w:t>
      </w:r>
      <w:proofErr w:type="spellEnd"/>
      <w:r>
        <w:rPr>
          <w:color w:val="000000"/>
        </w:rPr>
        <w:t xml:space="preserve"> venture</w:t>
      </w:r>
      <w:proofErr w:type="gramEnd"/>
      <w:r>
        <w:rPr>
          <w:color w:val="000000"/>
        </w:rPr>
        <w:t xml:space="preserve"> depende del grado de protección que las capacidades de </w:t>
      </w:r>
      <w:proofErr w:type="spellStart"/>
      <w:r>
        <w:rPr>
          <w:color w:val="000000"/>
        </w:rPr>
        <w:t>Cibest</w:t>
      </w:r>
      <w:proofErr w:type="spellEnd"/>
      <w:r>
        <w:rPr>
          <w:color w:val="000000"/>
        </w:rPr>
        <w:t xml:space="preserve"> requieren y de la disponibilidad de socios locales confiables. El proceso SIM que este documento describe incorpora el diagnóstico OLI en la Fase 5, donde se evalúan las capacidades internas de </w:t>
      </w:r>
      <w:proofErr w:type="spellStart"/>
      <w:r>
        <w:rPr>
          <w:color w:val="000000"/>
        </w:rPr>
        <w:t>Cibest</w:t>
      </w:r>
      <w:proofErr w:type="spellEnd"/>
      <w:r>
        <w:rPr>
          <w:color w:val="000000"/>
        </w:rPr>
        <w:t xml:space="preserve"> para cada línea de negocio y mercado candidato.</w:t>
      </w:r>
    </w:p>
    <w:p w14:paraId="631D9BD1" w14:textId="77777777" w:rsidR="004845BC" w:rsidRDefault="004845BC">
      <w:pPr>
        <w:spacing w:after="120"/>
      </w:pPr>
    </w:p>
    <w:p w14:paraId="631D9BD2" w14:textId="77777777" w:rsidR="004845BC" w:rsidRDefault="00000000">
      <w:pPr>
        <w:pStyle w:val="Ttulo3"/>
      </w:pPr>
      <w:bookmarkStart w:id="10" w:name="_Toc232659559"/>
      <w:r>
        <w:t xml:space="preserve">Born Global y </w:t>
      </w:r>
      <w:proofErr w:type="spellStart"/>
      <w:r>
        <w:t>Leapfrogging</w:t>
      </w:r>
      <w:proofErr w:type="spellEnd"/>
      <w:r>
        <w:t xml:space="preserve"> Digital: la excepción a la gradualidad</w:t>
      </w:r>
      <w:bookmarkEnd w:id="10"/>
    </w:p>
    <w:p w14:paraId="631D9BD3" w14:textId="77777777" w:rsidR="004845BC" w:rsidRDefault="00000000">
      <w:pPr>
        <w:spacing w:before="140" w:after="140" w:line="320" w:lineRule="auto"/>
        <w:jc w:val="both"/>
      </w:pPr>
      <w:r>
        <w:rPr>
          <w:color w:val="000000"/>
        </w:rPr>
        <w:t xml:space="preserve">El paradigma Uppsala asume que la internacionalización es un proceso gradual que requiere tiempo para acumular conocimiento del mercado. Sin embargo, la irrupción de las tecnologías digitales ha generado una clase de empresas — denominadas 'Born Global' por Oviatt y McDougall (1994) — que se internacionalizan desde sus primeras etapas de vida, simultáneamente hacia múltiples mercados, sin seguir la secuencia gradual que el modelo Uppsala describe. La característica definitoria de estas empresas no es su tamaño ni su antigüedad, sino su capacidad para movilizar recursos y capacidades a través de fronteras desde el inicio de sus operaciones, frecuentemente apoyándose en plataformas tecnológicas que no tienen fricción geográfica. En el sector financiero, los </w:t>
      </w:r>
      <w:proofErr w:type="spellStart"/>
      <w:r>
        <w:rPr>
          <w:color w:val="000000"/>
        </w:rPr>
        <w:t>neobancos</w:t>
      </w:r>
      <w:proofErr w:type="spellEnd"/>
      <w:r>
        <w:rPr>
          <w:color w:val="000000"/>
        </w:rPr>
        <w:t xml:space="preserve">, las plataformas de pago digitales y los operadores de activos digitales que se han expandido globalmente en pocos años — </w:t>
      </w:r>
      <w:proofErr w:type="spellStart"/>
      <w:r>
        <w:rPr>
          <w:color w:val="000000"/>
        </w:rPr>
        <w:t>Revolut</w:t>
      </w:r>
      <w:proofErr w:type="spellEnd"/>
      <w:r>
        <w:rPr>
          <w:color w:val="000000"/>
        </w:rPr>
        <w:t xml:space="preserve">, </w:t>
      </w:r>
      <w:proofErr w:type="spellStart"/>
      <w:r>
        <w:rPr>
          <w:color w:val="000000"/>
        </w:rPr>
        <w:t>Nubank</w:t>
      </w:r>
      <w:proofErr w:type="spellEnd"/>
      <w:r>
        <w:rPr>
          <w:color w:val="000000"/>
        </w:rPr>
        <w:t xml:space="preserve">, </w:t>
      </w:r>
      <w:proofErr w:type="spellStart"/>
      <w:r>
        <w:rPr>
          <w:color w:val="000000"/>
        </w:rPr>
        <w:t>Bitso</w:t>
      </w:r>
      <w:proofErr w:type="spellEnd"/>
      <w:r>
        <w:rPr>
          <w:color w:val="000000"/>
        </w:rPr>
        <w:t xml:space="preserve"> — son ejemplos de esta lógica. La referencia fundamental es: Oviatt, B.M. &amp; McDougall, P.P. (1994). Toward a Theory </w:t>
      </w:r>
      <w:proofErr w:type="spellStart"/>
      <w:r>
        <w:rPr>
          <w:color w:val="000000"/>
        </w:rPr>
        <w:t>of</w:t>
      </w:r>
      <w:proofErr w:type="spellEnd"/>
      <w:r>
        <w:rPr>
          <w:color w:val="000000"/>
        </w:rPr>
        <w:t xml:space="preserve"> International New Ventures. </w:t>
      </w:r>
      <w:proofErr w:type="spellStart"/>
      <w:r>
        <w:rPr>
          <w:color w:val="000000"/>
        </w:rPr>
        <w:t>Journal</w:t>
      </w:r>
      <w:proofErr w:type="spellEnd"/>
      <w:r>
        <w:rPr>
          <w:color w:val="000000"/>
        </w:rPr>
        <w:t xml:space="preserve"> </w:t>
      </w:r>
      <w:proofErr w:type="spellStart"/>
      <w:r>
        <w:rPr>
          <w:color w:val="000000"/>
        </w:rPr>
        <w:t>of</w:t>
      </w:r>
      <w:proofErr w:type="spellEnd"/>
      <w:r>
        <w:rPr>
          <w:color w:val="000000"/>
        </w:rPr>
        <w:t xml:space="preserve"> International Business </w:t>
      </w:r>
      <w:proofErr w:type="spellStart"/>
      <w:r>
        <w:rPr>
          <w:color w:val="000000"/>
        </w:rPr>
        <w:t>Studies</w:t>
      </w:r>
      <w:proofErr w:type="spellEnd"/>
      <w:r>
        <w:rPr>
          <w:color w:val="000000"/>
        </w:rPr>
        <w:t>, 25(1), 45-64 [https://doi.org/10.1057/palgrave.jibs.8490193].</w:t>
      </w:r>
    </w:p>
    <w:p w14:paraId="631D9BD4" w14:textId="102673CC" w:rsidR="004845BC" w:rsidRDefault="00000000">
      <w:pPr>
        <w:spacing w:before="140" w:after="140" w:line="320" w:lineRule="auto"/>
        <w:jc w:val="both"/>
      </w:pPr>
      <w:r>
        <w:rPr>
          <w:b/>
          <w:bCs/>
          <w:color w:val="000000"/>
        </w:rPr>
        <w:t xml:space="preserve">Aplicación al caso de Grupo </w:t>
      </w:r>
      <w:proofErr w:type="spellStart"/>
      <w:r>
        <w:rPr>
          <w:b/>
          <w:bCs/>
          <w:color w:val="000000"/>
        </w:rPr>
        <w:t>Cibest</w:t>
      </w:r>
      <w:proofErr w:type="spellEnd"/>
      <w:r>
        <w:rPr>
          <w:b/>
          <w:bCs/>
          <w:color w:val="000000"/>
        </w:rPr>
        <w:t xml:space="preserve">: </w:t>
      </w:r>
      <w:r>
        <w:rPr>
          <w:color w:val="000000"/>
        </w:rPr>
        <w:t xml:space="preserve">Esta distinción tiene implicaciones críticas para el diseño del proceso SIM de </w:t>
      </w:r>
      <w:proofErr w:type="spellStart"/>
      <w:r>
        <w:rPr>
          <w:color w:val="000000"/>
        </w:rPr>
        <w:t>Cibest</w:t>
      </w:r>
      <w:proofErr w:type="spellEnd"/>
      <w:r>
        <w:rPr>
          <w:color w:val="000000"/>
        </w:rPr>
        <w:t xml:space="preserve"> porque sus cinco líneas de negocio no se internacionalizan de la misma manera. La línea de Intermediación Bancaria sigue la lógica Uppsala: requiere licencia bancaria local, presencia física, acumulación de confianza institucional y capital significativo — procesos que se desarrollan necesariamente de forma gradual y secuencial. La línea de Bancos Digitales y la de Activos Digitales, en cambio, pueden operar bajo la lógica Born Global: una plataforma digital puede desplegarse en múltiples mercados simultáneamente con inversión física mínima, siempre que el marco regulatorio lo permita. La línea de </w:t>
      </w:r>
      <w:r w:rsidR="00907918">
        <w:rPr>
          <w:color w:val="000000"/>
        </w:rPr>
        <w:t>Pagos y Flujos</w:t>
      </w:r>
      <w:r>
        <w:rPr>
          <w:color w:val="000000"/>
        </w:rPr>
        <w:t xml:space="preserve"> es híbrida: el corredor de remesas Colombia-destino puede activarse sin presencia física mediante acuerdos con operadores locales, pero la operación de redes transaccionales amplias requiere infraestructura local. El modelo RADAR </w:t>
      </w:r>
      <w:proofErr w:type="spellStart"/>
      <w:r>
        <w:rPr>
          <w:color w:val="000000"/>
        </w:rPr>
        <w:t>Cibest</w:t>
      </w:r>
      <w:proofErr w:type="spellEnd"/>
      <w:r>
        <w:rPr>
          <w:color w:val="000000"/>
        </w:rPr>
        <w:t xml:space="preserve"> refleja esta heterogeneidad al producir señales diferenciadas por </w:t>
      </w:r>
      <w:proofErr w:type="gramStart"/>
      <w:r>
        <w:rPr>
          <w:color w:val="000000"/>
        </w:rPr>
        <w:t>línea</w:t>
      </w:r>
      <w:proofErr w:type="gramEnd"/>
      <w:r>
        <w:rPr>
          <w:color w:val="000000"/>
        </w:rPr>
        <w:t xml:space="preserve"> de negocio para cada mercado: un país puede ser prioritario para Banca Digital y solo de seguimiento para Intermediación Bancaria.</w:t>
      </w:r>
    </w:p>
    <w:p w14:paraId="631D9BD5" w14:textId="77777777" w:rsidR="004845BC" w:rsidRDefault="004845BC">
      <w:pPr>
        <w:spacing w:after="120"/>
      </w:pPr>
    </w:p>
    <w:p w14:paraId="631D9BD6" w14:textId="77777777" w:rsidR="004845BC" w:rsidRDefault="00000000">
      <w:pPr>
        <w:pStyle w:val="Ttulo3"/>
      </w:pPr>
      <w:bookmarkStart w:id="11" w:name="_Toc232659560"/>
      <w:r>
        <w:t>Teoría de la Distancia Institucional: el predictor más subestimado del fracaso en internacionalización</w:t>
      </w:r>
      <w:bookmarkEnd w:id="11"/>
    </w:p>
    <w:p w14:paraId="631D9BD7" w14:textId="77777777" w:rsidR="004845BC" w:rsidRDefault="00000000">
      <w:pPr>
        <w:spacing w:before="140" w:after="140" w:line="320" w:lineRule="auto"/>
        <w:jc w:val="both"/>
      </w:pPr>
      <w:r>
        <w:rPr>
          <w:color w:val="000000"/>
        </w:rPr>
        <w:t xml:space="preserve">La distancia geográfica y la distancia cultural — ampliamente estudiadas en la literatura de internacionalización — capturan dimensiones importantes del costo de entrada a un mercado extranjero. Sin embargo, la investigación más reciente sobre fracasos en internacionalización financiera sugiere que la distancia institucional es el predictor más poderoso y más frecuentemente subestimado. Desarrollada formalmente por Kostova (1999) a partir de los </w:t>
      </w:r>
      <w:r>
        <w:rPr>
          <w:color w:val="000000"/>
        </w:rPr>
        <w:lastRenderedPageBreak/>
        <w:t xml:space="preserve">fundamentos de North (1990) sobre el papel de las instituciones en los sistemas económicos, la teoría de la distancia institucional propone que las diferencias en instituciones formales — marcos regulatorios, sistemas legales, protección de derechos de propiedad, mecanismos de </w:t>
      </w:r>
      <w:proofErr w:type="spellStart"/>
      <w:r>
        <w:rPr>
          <w:color w:val="000000"/>
        </w:rPr>
        <w:t>enforcement</w:t>
      </w:r>
      <w:proofErr w:type="spellEnd"/>
      <w:r>
        <w:rPr>
          <w:color w:val="000000"/>
        </w:rPr>
        <w:t xml:space="preserve"> contractual — y en instituciones informales — normas culturales, prácticas de negocio, grado de confianza interpersonal e institucional — entre el país de origen y el destino crean barreras que elevan los costos de transacción, dificultan la transferencia de prácticas organizacionales y aumentan la probabilidad de malentendidos con reguladores y clientes. La referencia fundamental para la aplicación sectorial es: </w:t>
      </w:r>
      <w:proofErr w:type="spellStart"/>
      <w:r>
        <w:rPr>
          <w:color w:val="000000"/>
        </w:rPr>
        <w:t>Xu</w:t>
      </w:r>
      <w:proofErr w:type="spellEnd"/>
      <w:r>
        <w:rPr>
          <w:color w:val="000000"/>
        </w:rPr>
        <w:t xml:space="preserve">, D. &amp; </w:t>
      </w:r>
      <w:proofErr w:type="spellStart"/>
      <w:r>
        <w:rPr>
          <w:color w:val="000000"/>
        </w:rPr>
        <w:t>Shenkar</w:t>
      </w:r>
      <w:proofErr w:type="spellEnd"/>
      <w:r>
        <w:rPr>
          <w:color w:val="000000"/>
        </w:rPr>
        <w:t xml:space="preserve">, O. (2002). </w:t>
      </w:r>
      <w:proofErr w:type="spellStart"/>
      <w:r>
        <w:rPr>
          <w:color w:val="000000"/>
        </w:rPr>
        <w:t>Institutional</w:t>
      </w:r>
      <w:proofErr w:type="spellEnd"/>
      <w:r>
        <w:rPr>
          <w:color w:val="000000"/>
        </w:rPr>
        <w:t xml:space="preserve"> Distance and </w:t>
      </w:r>
      <w:proofErr w:type="spellStart"/>
      <w:r>
        <w:rPr>
          <w:color w:val="000000"/>
        </w:rPr>
        <w:t>the</w:t>
      </w:r>
      <w:proofErr w:type="spellEnd"/>
      <w:r>
        <w:rPr>
          <w:color w:val="000000"/>
        </w:rPr>
        <w:t xml:space="preserve"> </w:t>
      </w:r>
      <w:proofErr w:type="spellStart"/>
      <w:r>
        <w:rPr>
          <w:color w:val="000000"/>
        </w:rPr>
        <w:t>Multinational</w:t>
      </w:r>
      <w:proofErr w:type="spellEnd"/>
      <w:r>
        <w:rPr>
          <w:color w:val="000000"/>
        </w:rPr>
        <w:t xml:space="preserve"> Enterprise. </w:t>
      </w:r>
      <w:proofErr w:type="spellStart"/>
      <w:r>
        <w:rPr>
          <w:color w:val="000000"/>
        </w:rPr>
        <w:t>Academy</w:t>
      </w:r>
      <w:proofErr w:type="spellEnd"/>
      <w:r>
        <w:rPr>
          <w:color w:val="000000"/>
        </w:rPr>
        <w:t xml:space="preserve"> </w:t>
      </w:r>
      <w:proofErr w:type="spellStart"/>
      <w:r>
        <w:rPr>
          <w:color w:val="000000"/>
        </w:rPr>
        <w:t>of</w:t>
      </w:r>
      <w:proofErr w:type="spellEnd"/>
      <w:r>
        <w:rPr>
          <w:color w:val="000000"/>
        </w:rPr>
        <w:t xml:space="preserve"> Management </w:t>
      </w:r>
      <w:proofErr w:type="spellStart"/>
      <w:r>
        <w:rPr>
          <w:color w:val="000000"/>
        </w:rPr>
        <w:t>Review</w:t>
      </w:r>
      <w:proofErr w:type="spellEnd"/>
      <w:r>
        <w:rPr>
          <w:color w:val="000000"/>
        </w:rPr>
        <w:t xml:space="preserve">, 27(4), 608-618 [https://doi.org/10.2307/4134406]; North, D.C. (1990). </w:t>
      </w:r>
      <w:proofErr w:type="spellStart"/>
      <w:r>
        <w:rPr>
          <w:color w:val="000000"/>
        </w:rPr>
        <w:t>Institutions</w:t>
      </w:r>
      <w:proofErr w:type="spellEnd"/>
      <w:r>
        <w:rPr>
          <w:color w:val="000000"/>
        </w:rPr>
        <w:t xml:space="preserve">, </w:t>
      </w:r>
      <w:proofErr w:type="spellStart"/>
      <w:r>
        <w:rPr>
          <w:color w:val="000000"/>
        </w:rPr>
        <w:t>Institutional</w:t>
      </w:r>
      <w:proofErr w:type="spellEnd"/>
      <w:r>
        <w:rPr>
          <w:color w:val="000000"/>
        </w:rPr>
        <w:t xml:space="preserve"> Change and </w:t>
      </w:r>
      <w:proofErr w:type="spellStart"/>
      <w:r>
        <w:rPr>
          <w:color w:val="000000"/>
        </w:rPr>
        <w:t>Economic</w:t>
      </w:r>
      <w:proofErr w:type="spellEnd"/>
      <w:r>
        <w:rPr>
          <w:color w:val="000000"/>
        </w:rPr>
        <w:t xml:space="preserve"> Performance. Cambridge </w:t>
      </w:r>
      <w:proofErr w:type="spellStart"/>
      <w:r>
        <w:rPr>
          <w:color w:val="000000"/>
        </w:rPr>
        <w:t>University</w:t>
      </w:r>
      <w:proofErr w:type="spellEnd"/>
      <w:r>
        <w:rPr>
          <w:color w:val="000000"/>
        </w:rPr>
        <w:t xml:space="preserve"> Press.</w:t>
      </w:r>
    </w:p>
    <w:p w14:paraId="631D9BD8" w14:textId="77777777" w:rsidR="004845BC" w:rsidRDefault="00000000">
      <w:pPr>
        <w:spacing w:before="140" w:after="140" w:line="320" w:lineRule="auto"/>
        <w:jc w:val="both"/>
      </w:pPr>
      <w:r>
        <w:rPr>
          <w:b/>
          <w:bCs/>
          <w:color w:val="000000"/>
        </w:rPr>
        <w:t xml:space="preserve">Aplicación al caso de Grupo </w:t>
      </w:r>
      <w:proofErr w:type="spellStart"/>
      <w:r>
        <w:rPr>
          <w:b/>
          <w:bCs/>
          <w:color w:val="000000"/>
        </w:rPr>
        <w:t>Cibest</w:t>
      </w:r>
      <w:proofErr w:type="spellEnd"/>
      <w:r>
        <w:rPr>
          <w:b/>
          <w:bCs/>
          <w:color w:val="000000"/>
        </w:rPr>
        <w:t xml:space="preserve">: </w:t>
      </w:r>
      <w:r>
        <w:rPr>
          <w:color w:val="000000"/>
        </w:rPr>
        <w:t xml:space="preserve">El Modelo RADAR </w:t>
      </w:r>
      <w:proofErr w:type="spellStart"/>
      <w:r>
        <w:rPr>
          <w:color w:val="000000"/>
        </w:rPr>
        <w:t>Cibest</w:t>
      </w:r>
      <w:proofErr w:type="spellEnd"/>
      <w:r>
        <w:rPr>
          <w:color w:val="000000"/>
        </w:rPr>
        <w:t xml:space="preserve"> operacionaliza la distancia institucional a través de su Dimensión Institucional (D3), que incluye los seis indicadores de Gobernanza del Banco Mundial (WGI: Voice &amp; </w:t>
      </w:r>
      <w:proofErr w:type="spellStart"/>
      <w:r>
        <w:rPr>
          <w:color w:val="000000"/>
        </w:rPr>
        <w:t>Accountability</w:t>
      </w:r>
      <w:proofErr w:type="spellEnd"/>
      <w:r>
        <w:rPr>
          <w:color w:val="000000"/>
        </w:rPr>
        <w:t xml:space="preserve">, </w:t>
      </w:r>
      <w:proofErr w:type="spellStart"/>
      <w:r>
        <w:rPr>
          <w:color w:val="000000"/>
        </w:rPr>
        <w:t>Political</w:t>
      </w:r>
      <w:proofErr w:type="spellEnd"/>
      <w:r>
        <w:rPr>
          <w:color w:val="000000"/>
        </w:rPr>
        <w:t xml:space="preserve"> </w:t>
      </w:r>
      <w:proofErr w:type="spellStart"/>
      <w:r>
        <w:rPr>
          <w:color w:val="000000"/>
        </w:rPr>
        <w:t>Stability</w:t>
      </w:r>
      <w:proofErr w:type="spellEnd"/>
      <w:r>
        <w:rPr>
          <w:color w:val="000000"/>
        </w:rPr>
        <w:t xml:space="preserve">, </w:t>
      </w:r>
      <w:proofErr w:type="spellStart"/>
      <w:r>
        <w:rPr>
          <w:color w:val="000000"/>
        </w:rPr>
        <w:t>Government</w:t>
      </w:r>
      <w:proofErr w:type="spellEnd"/>
      <w:r>
        <w:rPr>
          <w:color w:val="000000"/>
        </w:rPr>
        <w:t xml:space="preserve"> </w:t>
      </w:r>
      <w:proofErr w:type="spellStart"/>
      <w:r>
        <w:rPr>
          <w:color w:val="000000"/>
        </w:rPr>
        <w:t>Effectiveness</w:t>
      </w:r>
      <w:proofErr w:type="spellEnd"/>
      <w:r>
        <w:rPr>
          <w:color w:val="000000"/>
        </w:rPr>
        <w:t xml:space="preserve">, </w:t>
      </w:r>
      <w:proofErr w:type="spellStart"/>
      <w:r>
        <w:rPr>
          <w:color w:val="000000"/>
        </w:rPr>
        <w:t>Regulatory</w:t>
      </w:r>
      <w:proofErr w:type="spellEnd"/>
      <w:r>
        <w:rPr>
          <w:color w:val="000000"/>
        </w:rPr>
        <w:t xml:space="preserve"> </w:t>
      </w:r>
      <w:proofErr w:type="spellStart"/>
      <w:r>
        <w:rPr>
          <w:color w:val="000000"/>
        </w:rPr>
        <w:t>Quality</w:t>
      </w:r>
      <w:proofErr w:type="spellEnd"/>
      <w:r>
        <w:rPr>
          <w:color w:val="000000"/>
        </w:rPr>
        <w:t xml:space="preserve">, Rule </w:t>
      </w:r>
      <w:proofErr w:type="spellStart"/>
      <w:r>
        <w:rPr>
          <w:color w:val="000000"/>
        </w:rPr>
        <w:t>of</w:t>
      </w:r>
      <w:proofErr w:type="spellEnd"/>
      <w:r>
        <w:rPr>
          <w:color w:val="000000"/>
        </w:rPr>
        <w:t xml:space="preserve"> Law, Control </w:t>
      </w:r>
      <w:proofErr w:type="spellStart"/>
      <w:r>
        <w:rPr>
          <w:color w:val="000000"/>
        </w:rPr>
        <w:t>of</w:t>
      </w:r>
      <w:proofErr w:type="spellEnd"/>
      <w:r>
        <w:rPr>
          <w:color w:val="000000"/>
        </w:rPr>
        <w:t xml:space="preserve"> </w:t>
      </w:r>
      <w:proofErr w:type="spellStart"/>
      <w:r>
        <w:rPr>
          <w:color w:val="000000"/>
        </w:rPr>
        <w:t>Corruption</w:t>
      </w:r>
      <w:proofErr w:type="spellEnd"/>
      <w:r>
        <w:rPr>
          <w:color w:val="000000"/>
        </w:rPr>
        <w:t xml:space="preserve">) y el índice de prima de riesgo país de Damodaran como proxy del riesgo institucional que los mercados financieros perciben sobre cada destino. A estos se suma el Índice de Libertad Económica de Heritage </w:t>
      </w:r>
      <w:proofErr w:type="spellStart"/>
      <w:r>
        <w:rPr>
          <w:color w:val="000000"/>
        </w:rPr>
        <w:t>Foundation</w:t>
      </w:r>
      <w:proofErr w:type="spellEnd"/>
      <w:r>
        <w:rPr>
          <w:color w:val="000000"/>
        </w:rPr>
        <w:t xml:space="preserve"> como medida de apertura y calidad del entorno institucional para los negocios. La inclusión de las dimensiones de Hofstede como variables independientes en la Dimensión de Proximidad (D5) — distancia en las dimensiones de individualismo, distancia al poder, evasión de la incertidumbre, orientación a largo plazo, masculinidad e indulgencia — complementa la medición institucional formal con las instituciones informales que determinan cómo los clientes y reguladores de cada mercado entienden y valoran los servicios financieros. Un mercado con alto score en variables institucionales </w:t>
      </w:r>
      <w:proofErr w:type="gramStart"/>
      <w:r>
        <w:rPr>
          <w:color w:val="000000"/>
        </w:rPr>
        <w:t>formales</w:t>
      </w:r>
      <w:proofErr w:type="gramEnd"/>
      <w:r>
        <w:rPr>
          <w:color w:val="000000"/>
        </w:rPr>
        <w:t xml:space="preserve"> pero con alta distancia cultural informal puede seguir presentando desafíos significativos de penetración para los productos de </w:t>
      </w:r>
      <w:proofErr w:type="spellStart"/>
      <w:r>
        <w:rPr>
          <w:color w:val="000000"/>
        </w:rPr>
        <w:t>Cibest</w:t>
      </w:r>
      <w:proofErr w:type="spellEnd"/>
      <w:r>
        <w:rPr>
          <w:color w:val="000000"/>
        </w:rPr>
        <w:t>.</w:t>
      </w:r>
    </w:p>
    <w:p w14:paraId="631D9BD9" w14:textId="77777777" w:rsidR="004845BC" w:rsidRDefault="004845BC">
      <w:pPr>
        <w:spacing w:after="120"/>
      </w:pPr>
    </w:p>
    <w:p w14:paraId="631D9BDA" w14:textId="77777777" w:rsidR="004845BC" w:rsidRDefault="00000000">
      <w:pPr>
        <w:pStyle w:val="Ttulo2"/>
        <w:pBdr>
          <w:bottom w:val="single" w:sz="4" w:space="4" w:color="E8B931"/>
        </w:pBdr>
      </w:pPr>
      <w:bookmarkStart w:id="12" w:name="_Toc232659561"/>
      <w:proofErr w:type="gramStart"/>
      <w:r>
        <w:t>2.2  Especificidades</w:t>
      </w:r>
      <w:proofErr w:type="gramEnd"/>
      <w:r>
        <w:t xml:space="preserve"> de la internacionalización bancaria y de servicios financieros</w:t>
      </w:r>
      <w:bookmarkEnd w:id="12"/>
    </w:p>
    <w:p w14:paraId="631D9BDB" w14:textId="77777777" w:rsidR="004845BC" w:rsidRDefault="00000000">
      <w:pPr>
        <w:spacing w:before="140" w:after="140" w:line="320" w:lineRule="auto"/>
        <w:jc w:val="both"/>
      </w:pPr>
      <w:r>
        <w:rPr>
          <w:color w:val="000000"/>
        </w:rPr>
        <w:t xml:space="preserve">La internacionalización de una </w:t>
      </w:r>
      <w:proofErr w:type="gramStart"/>
      <w:r>
        <w:rPr>
          <w:color w:val="000000"/>
        </w:rPr>
        <w:t>holding financiera</w:t>
      </w:r>
      <w:proofErr w:type="gramEnd"/>
      <w:r>
        <w:rPr>
          <w:color w:val="000000"/>
        </w:rPr>
        <w:t xml:space="preserve"> como Grupo </w:t>
      </w:r>
      <w:proofErr w:type="spellStart"/>
      <w:r>
        <w:rPr>
          <w:color w:val="000000"/>
        </w:rPr>
        <w:t>Cibest</w:t>
      </w:r>
      <w:proofErr w:type="spellEnd"/>
      <w:r>
        <w:rPr>
          <w:color w:val="000000"/>
        </w:rPr>
        <w:t xml:space="preserve"> difiere fundamentalmente de la internacionalización de una empresa manufacturera o de servicios no regulados, y estas diferencias justifican el diseño especializado del proceso SIM que este documento propone. Identificar estas especificidades con precisión no es solo un ejercicio académico: es la base para entender por qué ciertos mercados que parecen atractivos en un análisis general pueden ser inaccesibles en la práctica, y por qué el proceso de selección debe incorporar dimensiones que los marcos genéricos de internacionalización no contemplan.</w:t>
      </w:r>
    </w:p>
    <w:p w14:paraId="631D9BDC" w14:textId="77777777" w:rsidR="004845BC" w:rsidRDefault="00000000">
      <w:pPr>
        <w:spacing w:before="140" w:after="140" w:line="320" w:lineRule="auto"/>
        <w:jc w:val="both"/>
      </w:pPr>
      <w:r>
        <w:rPr>
          <w:b/>
          <w:bCs/>
          <w:color w:val="000000"/>
        </w:rPr>
        <w:lastRenderedPageBreak/>
        <w:t xml:space="preserve">Intensidad de capital y barreras regulatorias de entrada: </w:t>
      </w:r>
      <w:r>
        <w:rPr>
          <w:color w:val="000000"/>
        </w:rPr>
        <w:t xml:space="preserve">A diferencia de las empresas de manufactura o servicios no financieros, los bancos y entidades financieras no pueden operar en un nuevo mercado mediante la simple apertura de una oficina o el lanzamiento de un sitio web. La mayoría de los sistemas financieros exigen licencias específicas — bancaria, de pagos, de valores, de emisor de dinero electrónico — cuya obtención requiere demostrar capital mínimo, gobierno corporativo adecuado, capacidades de gestión de riesgo, y la ausencia de antecedentes que generen dudas sobre la idoneidad de los accionistas. Los tiempos de licenciamiento bancario varían entre 18 meses y 4 años en la mayoría de los mercados de América Latina, y el capital inmovilizado durante ese período genera un costo de oportunidad significativo. El BIS ha documentado sistemáticamente estos requisitos y sus variaciones internacionales: Bank </w:t>
      </w:r>
      <w:proofErr w:type="spellStart"/>
      <w:r>
        <w:rPr>
          <w:color w:val="000000"/>
        </w:rPr>
        <w:t>for</w:t>
      </w:r>
      <w:proofErr w:type="spellEnd"/>
      <w:r>
        <w:rPr>
          <w:color w:val="000000"/>
        </w:rPr>
        <w:t xml:space="preserve"> International </w:t>
      </w:r>
      <w:proofErr w:type="spellStart"/>
      <w:r>
        <w:rPr>
          <w:color w:val="000000"/>
        </w:rPr>
        <w:t>Settlements</w:t>
      </w:r>
      <w:proofErr w:type="spellEnd"/>
      <w:r>
        <w:rPr>
          <w:color w:val="000000"/>
        </w:rPr>
        <w:t xml:space="preserve"> (2021). </w:t>
      </w:r>
      <w:proofErr w:type="spellStart"/>
      <w:r>
        <w:rPr>
          <w:color w:val="000000"/>
        </w:rPr>
        <w:t>Annual</w:t>
      </w:r>
      <w:proofErr w:type="spellEnd"/>
      <w:r>
        <w:rPr>
          <w:color w:val="000000"/>
        </w:rPr>
        <w:t xml:space="preserve"> </w:t>
      </w:r>
      <w:proofErr w:type="spellStart"/>
      <w:r>
        <w:rPr>
          <w:color w:val="000000"/>
        </w:rPr>
        <w:t>Economic</w:t>
      </w:r>
      <w:proofErr w:type="spellEnd"/>
      <w:r>
        <w:rPr>
          <w:color w:val="000000"/>
        </w:rPr>
        <w:t xml:space="preserve"> </w:t>
      </w:r>
      <w:proofErr w:type="spellStart"/>
      <w:r>
        <w:rPr>
          <w:color w:val="000000"/>
        </w:rPr>
        <w:t>Report</w:t>
      </w:r>
      <w:proofErr w:type="spellEnd"/>
      <w:r>
        <w:rPr>
          <w:color w:val="000000"/>
        </w:rPr>
        <w:t>. Disponible en https://www.bis.org/publ/arpdf/ar2021e.htm.</w:t>
      </w:r>
    </w:p>
    <w:p w14:paraId="631D9BDD" w14:textId="77777777" w:rsidR="004845BC" w:rsidRDefault="00000000">
      <w:pPr>
        <w:spacing w:before="140" w:after="140" w:line="320" w:lineRule="auto"/>
        <w:jc w:val="both"/>
      </w:pPr>
      <w:r>
        <w:rPr>
          <w:b/>
          <w:bCs/>
          <w:color w:val="000000"/>
        </w:rPr>
        <w:t xml:space="preserve">El rol de la confianza y la reputación institucional: </w:t>
      </w:r>
      <w:r>
        <w:rPr>
          <w:color w:val="000000"/>
        </w:rPr>
        <w:t xml:space="preserve">Los servicios financieros son productos de experiencia —el cliente solo puede evaluar su calidad después de consumirlos— y en muchos </w:t>
      </w:r>
      <w:proofErr w:type="gramStart"/>
      <w:r>
        <w:rPr>
          <w:color w:val="000000"/>
        </w:rPr>
        <w:t>casos productos</w:t>
      </w:r>
      <w:proofErr w:type="gramEnd"/>
      <w:r>
        <w:rPr>
          <w:color w:val="000000"/>
        </w:rPr>
        <w:t xml:space="preserve"> de credencia, cuya calidad el cliente nunca puede evaluar completamente por sí mismo. Esta característica hace que la confianza sea el activo más importante de cualquier entidad financiera, y que la reputación acumulada en el mercado de origen no se transfiera automáticamente al mercado destino. Un banco desconocido en un mercado extranjero enfrenta una desventaja de incumbencia que los incumbentes locales no tienen, independientemente de la calidad real de sus productos y servicios. Para Grupo </w:t>
      </w:r>
      <w:proofErr w:type="spellStart"/>
      <w:r>
        <w:rPr>
          <w:color w:val="000000"/>
        </w:rPr>
        <w:t>Cibest</w:t>
      </w:r>
      <w:proofErr w:type="spellEnd"/>
      <w:r>
        <w:rPr>
          <w:color w:val="000000"/>
        </w:rPr>
        <w:t>, esto implica que la estrategia de entrada en los mercados seleccionados debe considerar explícitamente cómo construirá credibilidad y confianza con los clientes locales: ¿a través de una marca propia reconvertida para el mercado local? ¿Mediante la adquisición de un banco local con reputación establecida? ¿A través de una alianza con una marca local que ya tiene esa confianza?</w:t>
      </w:r>
    </w:p>
    <w:p w14:paraId="631D9BDE" w14:textId="77777777" w:rsidR="004845BC" w:rsidRDefault="00000000">
      <w:pPr>
        <w:spacing w:before="140" w:after="140" w:line="320" w:lineRule="auto"/>
        <w:jc w:val="both"/>
      </w:pPr>
      <w:r>
        <w:rPr>
          <w:b/>
          <w:bCs/>
          <w:color w:val="000000"/>
        </w:rPr>
        <w:t xml:space="preserve">La asimetría de información en mercados financieros extranjeros: </w:t>
      </w:r>
      <w:r>
        <w:rPr>
          <w:color w:val="000000"/>
        </w:rPr>
        <w:t xml:space="preserve">Claessens y Van Horen (2014) documentaron, a partir del análisis de más de 5,000 bancos en 137 países, que los bancos extranjeros tienden a ser menos eficientes que los bancos locales en sus primeros años de operación en un nuevo mercado, pero que esta brecha se cierra gradualmente a medida que acumulan conocimiento local. La causa principal es la </w:t>
      </w:r>
      <w:r w:rsidRPr="00AF1175">
        <w:rPr>
          <w:color w:val="000000"/>
          <w:highlight w:val="yellow"/>
        </w:rPr>
        <w:t>asimetría de información: los bancos locales tienen décadas de datos sobre el comportamiento crediticio de sus clientes, la idiosincrasia de los ciclos económicos locales y las relaciones con los reguladores; los bancos extranjeros deben construir esos activos desde cero</w:t>
      </w:r>
      <w:r>
        <w:rPr>
          <w:color w:val="000000"/>
        </w:rPr>
        <w:t xml:space="preserve">. La implicación para </w:t>
      </w:r>
      <w:proofErr w:type="spellStart"/>
      <w:r>
        <w:rPr>
          <w:color w:val="000000"/>
        </w:rPr>
        <w:t>Cibest</w:t>
      </w:r>
      <w:proofErr w:type="spellEnd"/>
      <w:r>
        <w:rPr>
          <w:color w:val="000000"/>
        </w:rPr>
        <w:t xml:space="preserve"> es que </w:t>
      </w:r>
      <w:r w:rsidRPr="00FD25A9">
        <w:rPr>
          <w:color w:val="000000"/>
          <w:highlight w:val="yellow"/>
        </w:rPr>
        <w:t>la proyección financiera de los primeros años de operación en cualquier mercado nuevo debe incluir esta curva de aprendizaje explícitamente, y que el proceso SIM debe evaluar la disponibilidad de mecanismos para acortarla — como la adquisición de una cartera de crédito local o la asociación con un originador local con experiencia en el mercado</w:t>
      </w:r>
      <w:r>
        <w:rPr>
          <w:color w:val="000000"/>
        </w:rPr>
        <w:t xml:space="preserve">. Referencia: Claessens, S. &amp; Van Horen, </w:t>
      </w:r>
      <w:r>
        <w:rPr>
          <w:color w:val="000000"/>
        </w:rPr>
        <w:lastRenderedPageBreak/>
        <w:t xml:space="preserve">N. (2014). Foreign Banks: </w:t>
      </w:r>
      <w:proofErr w:type="spellStart"/>
      <w:r>
        <w:rPr>
          <w:color w:val="000000"/>
        </w:rPr>
        <w:t>Trends</w:t>
      </w:r>
      <w:proofErr w:type="spellEnd"/>
      <w:r>
        <w:rPr>
          <w:color w:val="000000"/>
        </w:rPr>
        <w:t xml:space="preserve"> and </w:t>
      </w:r>
      <w:proofErr w:type="spellStart"/>
      <w:r>
        <w:rPr>
          <w:color w:val="000000"/>
        </w:rPr>
        <w:t>Impact</w:t>
      </w:r>
      <w:proofErr w:type="spellEnd"/>
      <w:r>
        <w:rPr>
          <w:color w:val="000000"/>
        </w:rPr>
        <w:t xml:space="preserve">. </w:t>
      </w:r>
      <w:proofErr w:type="spellStart"/>
      <w:r>
        <w:rPr>
          <w:color w:val="000000"/>
        </w:rPr>
        <w:t>Journal</w:t>
      </w:r>
      <w:proofErr w:type="spellEnd"/>
      <w:r>
        <w:rPr>
          <w:color w:val="000000"/>
        </w:rPr>
        <w:t xml:space="preserve"> </w:t>
      </w:r>
      <w:proofErr w:type="spellStart"/>
      <w:r>
        <w:rPr>
          <w:color w:val="000000"/>
        </w:rPr>
        <w:t>of</w:t>
      </w:r>
      <w:proofErr w:type="spellEnd"/>
      <w:r>
        <w:rPr>
          <w:color w:val="000000"/>
        </w:rPr>
        <w:t xml:space="preserve"> Money, Credit and </w:t>
      </w:r>
      <w:proofErr w:type="spellStart"/>
      <w:r>
        <w:rPr>
          <w:color w:val="000000"/>
        </w:rPr>
        <w:t>Banking</w:t>
      </w:r>
      <w:proofErr w:type="spellEnd"/>
      <w:r>
        <w:rPr>
          <w:color w:val="000000"/>
        </w:rPr>
        <w:t>, 46(s1), 295-326.</w:t>
      </w:r>
    </w:p>
    <w:p w14:paraId="631D9BDF" w14:textId="77777777" w:rsidR="004845BC" w:rsidRDefault="00000000">
      <w:pPr>
        <w:spacing w:before="140" w:after="140" w:line="320" w:lineRule="auto"/>
        <w:jc w:val="both"/>
      </w:pPr>
      <w:r>
        <w:rPr>
          <w:b/>
          <w:bCs/>
          <w:color w:val="000000"/>
        </w:rPr>
        <w:t xml:space="preserve">Diferencia entre regulación bancaria y regulación </w:t>
      </w:r>
      <w:proofErr w:type="spellStart"/>
      <w:r>
        <w:rPr>
          <w:b/>
          <w:bCs/>
          <w:color w:val="000000"/>
        </w:rPr>
        <w:t>fintech</w:t>
      </w:r>
      <w:proofErr w:type="spellEnd"/>
      <w:r>
        <w:rPr>
          <w:b/>
          <w:bCs/>
          <w:color w:val="000000"/>
        </w:rPr>
        <w:t xml:space="preserve">: </w:t>
      </w:r>
      <w:r>
        <w:rPr>
          <w:color w:val="000000"/>
        </w:rPr>
        <w:t xml:space="preserve">Una de las características más relevantes del entorno regulatorio actual para Grupo </w:t>
      </w:r>
      <w:proofErr w:type="spellStart"/>
      <w:r>
        <w:rPr>
          <w:color w:val="000000"/>
        </w:rPr>
        <w:t>Cibest</w:t>
      </w:r>
      <w:proofErr w:type="spellEnd"/>
      <w:r>
        <w:rPr>
          <w:color w:val="000000"/>
        </w:rPr>
        <w:t xml:space="preserve"> es la </w:t>
      </w:r>
      <w:r w:rsidRPr="00941994">
        <w:rPr>
          <w:color w:val="000000"/>
          <w:highlight w:val="yellow"/>
        </w:rPr>
        <w:t>asimetría entre la regulación de la banca tradicional —relativamente homogénea y convergente a estándares de Basilea en la mayoría de los mercados de América Latina— y</w:t>
      </w:r>
      <w:r>
        <w:rPr>
          <w:color w:val="000000"/>
        </w:rPr>
        <w:t xml:space="preserve"> </w:t>
      </w:r>
      <w:r w:rsidRPr="00941994">
        <w:rPr>
          <w:color w:val="000000"/>
          <w:highlight w:val="yellow"/>
        </w:rPr>
        <w:t xml:space="preserve">la regulación de los servicios financieros digitales, activos digitales y </w:t>
      </w:r>
      <w:proofErr w:type="spellStart"/>
      <w:r w:rsidRPr="00941994">
        <w:rPr>
          <w:color w:val="000000"/>
          <w:highlight w:val="yellow"/>
        </w:rPr>
        <w:t>neobancos</w:t>
      </w:r>
      <w:proofErr w:type="spellEnd"/>
      <w:r w:rsidRPr="00941994">
        <w:rPr>
          <w:color w:val="000000"/>
          <w:highlight w:val="yellow"/>
        </w:rPr>
        <w:t>, que varía de manera radical entre países y dentro de un mismo país a lo largo del tiempo. En algunos mercados (El Salvador, Argentina) los activos digitales tienen marcos regulatorios relativamente definidos, mientras que en otros (Guatemala, Ecuador) no existe regulación específica o está en proceso de desarrollo</w:t>
      </w:r>
      <w:r>
        <w:rPr>
          <w:color w:val="000000"/>
        </w:rPr>
        <w:t xml:space="preserve">. Esta heterogeneidad regulatoria tiene implicaciones directas para el proceso SIM: las cinco líneas de negocio de </w:t>
      </w:r>
      <w:proofErr w:type="spellStart"/>
      <w:r>
        <w:rPr>
          <w:color w:val="000000"/>
        </w:rPr>
        <w:t>Cibest</w:t>
      </w:r>
      <w:proofErr w:type="spellEnd"/>
      <w:r>
        <w:rPr>
          <w:color w:val="000000"/>
        </w:rPr>
        <w:t xml:space="preserve"> deben evaluarse con marcos regulatorios distintos para cada mercado, y </w:t>
      </w:r>
      <w:r w:rsidRPr="00AA1447">
        <w:rPr>
          <w:color w:val="000000"/>
          <w:highlight w:val="yellow"/>
        </w:rPr>
        <w:t xml:space="preserve">la evaluación de viabilidad regulatoria no puede hacerse de manera genérica sino línea de negocio por </w:t>
      </w:r>
      <w:proofErr w:type="gramStart"/>
      <w:r w:rsidRPr="00AA1447">
        <w:rPr>
          <w:color w:val="000000"/>
          <w:highlight w:val="yellow"/>
        </w:rPr>
        <w:t>línea</w:t>
      </w:r>
      <w:proofErr w:type="gramEnd"/>
      <w:r w:rsidRPr="00AA1447">
        <w:rPr>
          <w:color w:val="000000"/>
          <w:highlight w:val="yellow"/>
        </w:rPr>
        <w:t xml:space="preserve"> de negocio</w:t>
      </w:r>
      <w:r>
        <w:rPr>
          <w:color w:val="000000"/>
        </w:rPr>
        <w:t xml:space="preserve">. El CAF documenta sistemáticamente el estado de la regulación </w:t>
      </w:r>
      <w:proofErr w:type="spellStart"/>
      <w:r>
        <w:rPr>
          <w:color w:val="000000"/>
        </w:rPr>
        <w:t>fintech</w:t>
      </w:r>
      <w:proofErr w:type="spellEnd"/>
      <w:r>
        <w:rPr>
          <w:color w:val="000000"/>
        </w:rPr>
        <w:t xml:space="preserve"> en América Latina: CAF — Banco de Desarrollo de América Latina (2023). Fintech en América Latina y el Caribe: Un Ecosistema Consolidado para la Recuperación. Disponible en https://www.caf.com.</w:t>
      </w:r>
    </w:p>
    <w:p w14:paraId="631D9BE0" w14:textId="77777777" w:rsidR="004845BC" w:rsidRDefault="004845BC">
      <w:pPr>
        <w:spacing w:after="120"/>
      </w:pPr>
    </w:p>
    <w:p w14:paraId="631D9BE1" w14:textId="77777777" w:rsidR="004845BC" w:rsidRDefault="00000000">
      <w:pPr>
        <w:pStyle w:val="Ttulo2"/>
        <w:pBdr>
          <w:bottom w:val="single" w:sz="4" w:space="4" w:color="E8B931"/>
        </w:pBdr>
      </w:pPr>
      <w:bookmarkStart w:id="13" w:name="_Toc232659562"/>
      <w:proofErr w:type="gramStart"/>
      <w:r>
        <w:t>2.3  Evidencia</w:t>
      </w:r>
      <w:proofErr w:type="gramEnd"/>
      <w:r>
        <w:t xml:space="preserve"> empírica: qué saben consultoras y organismos sobre selección de mercados financieros</w:t>
      </w:r>
      <w:bookmarkEnd w:id="13"/>
    </w:p>
    <w:p w14:paraId="631D9BE2" w14:textId="77777777" w:rsidR="004845BC" w:rsidRDefault="00000000">
      <w:pPr>
        <w:spacing w:before="140" w:after="140" w:line="320" w:lineRule="auto"/>
        <w:jc w:val="both"/>
      </w:pPr>
      <w:r>
        <w:rPr>
          <w:color w:val="000000"/>
        </w:rPr>
        <w:t xml:space="preserve">La selección de mercados en la industria bancaria y de servicios financieros ha sido analizada extensamente por consultoras de primer nivel y organismos multilaterales. La síntesis de esta evidencia ofrece a Grupo </w:t>
      </w:r>
      <w:proofErr w:type="spellStart"/>
      <w:r>
        <w:rPr>
          <w:color w:val="000000"/>
        </w:rPr>
        <w:t>Cibest</w:t>
      </w:r>
      <w:proofErr w:type="spellEnd"/>
      <w:r>
        <w:rPr>
          <w:color w:val="000000"/>
        </w:rPr>
        <w:t xml:space="preserve"> tres tipos de valor: un benchmarking de los mercados que la industria considera más atractivos en América Latina (que sirve como validación externa del ranking que producirá RADAR </w:t>
      </w:r>
      <w:proofErr w:type="spellStart"/>
      <w:r>
        <w:rPr>
          <w:color w:val="000000"/>
        </w:rPr>
        <w:t>Cibest</w:t>
      </w:r>
      <w:proofErr w:type="spellEnd"/>
      <w:r>
        <w:rPr>
          <w:color w:val="000000"/>
        </w:rPr>
        <w:t xml:space="preserve">), una colección de marcos analíticos probados en práctica que pueden complementar el modelo cuantitativo, y una base de datos de hallazgos sobre los errores más frecuentes en internacionalización bancaria que el proceso SIM de </w:t>
      </w:r>
      <w:proofErr w:type="spellStart"/>
      <w:r>
        <w:rPr>
          <w:color w:val="000000"/>
        </w:rPr>
        <w:t>Cibest</w:t>
      </w:r>
      <w:proofErr w:type="spellEnd"/>
      <w:r>
        <w:rPr>
          <w:color w:val="000000"/>
        </w:rPr>
        <w:t xml:space="preserve"> debe diseñarse para evitar.</w:t>
      </w:r>
    </w:p>
    <w:p w14:paraId="631D9BE3" w14:textId="77777777" w:rsidR="004845BC" w:rsidRDefault="00000000">
      <w:pPr>
        <w:spacing w:before="140" w:after="140" w:line="320" w:lineRule="auto"/>
        <w:jc w:val="both"/>
      </w:pPr>
      <w:r>
        <w:rPr>
          <w:b/>
          <w:bCs/>
          <w:color w:val="000000"/>
        </w:rPr>
        <w:t xml:space="preserve">McKinsey Global </w:t>
      </w:r>
      <w:proofErr w:type="spellStart"/>
      <w:r>
        <w:rPr>
          <w:b/>
          <w:bCs/>
          <w:color w:val="000000"/>
        </w:rPr>
        <w:t>Institute</w:t>
      </w:r>
      <w:proofErr w:type="spellEnd"/>
      <w:r>
        <w:rPr>
          <w:b/>
          <w:bCs/>
          <w:color w:val="000000"/>
        </w:rPr>
        <w:t xml:space="preserve"> y McKinsey </w:t>
      </w:r>
      <w:proofErr w:type="spellStart"/>
      <w:r>
        <w:rPr>
          <w:b/>
          <w:bCs/>
          <w:color w:val="000000"/>
        </w:rPr>
        <w:t>Financial</w:t>
      </w:r>
      <w:proofErr w:type="spellEnd"/>
      <w:r>
        <w:rPr>
          <w:b/>
          <w:bCs/>
          <w:color w:val="000000"/>
        </w:rPr>
        <w:t xml:space="preserve"> </w:t>
      </w:r>
      <w:proofErr w:type="spellStart"/>
      <w:r>
        <w:rPr>
          <w:b/>
          <w:bCs/>
          <w:color w:val="000000"/>
        </w:rPr>
        <w:t>Services</w:t>
      </w:r>
      <w:proofErr w:type="spellEnd"/>
      <w:r>
        <w:rPr>
          <w:b/>
          <w:bCs/>
          <w:color w:val="000000"/>
        </w:rPr>
        <w:t xml:space="preserve"> </w:t>
      </w:r>
      <w:proofErr w:type="spellStart"/>
      <w:r>
        <w:rPr>
          <w:b/>
          <w:bCs/>
          <w:color w:val="000000"/>
        </w:rPr>
        <w:t>Practice</w:t>
      </w:r>
      <w:proofErr w:type="spellEnd"/>
      <w:r>
        <w:rPr>
          <w:b/>
          <w:bCs/>
          <w:color w:val="000000"/>
        </w:rPr>
        <w:t xml:space="preserve">: </w:t>
      </w:r>
      <w:r>
        <w:rPr>
          <w:color w:val="000000"/>
        </w:rPr>
        <w:t xml:space="preserve">La práctica de servicios financieros de McKinsey ha publicado sistemáticamente análisis sobre el potencial de crecimiento de la banca en mercados emergentes. Sus hallazgos recurrentes son: (1) </w:t>
      </w:r>
      <w:r w:rsidRPr="00D96F6E">
        <w:rPr>
          <w:color w:val="000000"/>
          <w:highlight w:val="yellow"/>
        </w:rPr>
        <w:t xml:space="preserve">los mercados con mayor potencial de rentabilidad bancaria en América Latina son aquellos con alta proporción de población </w:t>
      </w:r>
      <w:proofErr w:type="spellStart"/>
      <w:r w:rsidRPr="00D96F6E">
        <w:rPr>
          <w:color w:val="000000"/>
          <w:highlight w:val="yellow"/>
        </w:rPr>
        <w:t>subbancarizada</w:t>
      </w:r>
      <w:proofErr w:type="spellEnd"/>
      <w:r w:rsidRPr="00D96F6E">
        <w:rPr>
          <w:color w:val="000000"/>
          <w:highlight w:val="yellow"/>
        </w:rPr>
        <w:t xml:space="preserve"> en segmentos de ingreso medio emergente, combinada con infraestructura digital suficiente para atenderlos a bajo costo; (2) los entrantes que han tenido mayor éxito son los que han adaptado su propuesta de valor al segmento específico no atendido por los incumbentes, en lugar de competir frontalmente con los bancos locales establecidos; (3) la rentabilidad de las operaciones bancarias internacionales tiene una correlación positiva con el </w:t>
      </w:r>
      <w:r w:rsidRPr="00D96F6E">
        <w:rPr>
          <w:color w:val="000000"/>
          <w:highlight w:val="yellow"/>
        </w:rPr>
        <w:lastRenderedPageBreak/>
        <w:t>grado de estandarización de los procesos del banco entrante, no con su tamaño.</w:t>
      </w:r>
      <w:r>
        <w:rPr>
          <w:color w:val="000000"/>
        </w:rPr>
        <w:t xml:space="preserve"> Referencia: McKinsey &amp; Company (2023). Global </w:t>
      </w:r>
      <w:proofErr w:type="spellStart"/>
      <w:r>
        <w:rPr>
          <w:color w:val="000000"/>
        </w:rPr>
        <w:t>Banking</w:t>
      </w:r>
      <w:proofErr w:type="spellEnd"/>
      <w:r>
        <w:rPr>
          <w:color w:val="000000"/>
        </w:rPr>
        <w:t xml:space="preserve"> </w:t>
      </w:r>
      <w:proofErr w:type="spellStart"/>
      <w:r>
        <w:rPr>
          <w:color w:val="000000"/>
        </w:rPr>
        <w:t>Annual</w:t>
      </w:r>
      <w:proofErr w:type="spellEnd"/>
      <w:r>
        <w:rPr>
          <w:color w:val="000000"/>
        </w:rPr>
        <w:t xml:space="preserve"> </w:t>
      </w:r>
      <w:proofErr w:type="spellStart"/>
      <w:r>
        <w:rPr>
          <w:color w:val="000000"/>
        </w:rPr>
        <w:t>Review</w:t>
      </w:r>
      <w:proofErr w:type="spellEnd"/>
      <w:r>
        <w:rPr>
          <w:color w:val="000000"/>
        </w:rPr>
        <w:t>. Disponible en https://www.mckinsey.com/industries/financial-services/our-insights/global-banking-annual-review.</w:t>
      </w:r>
    </w:p>
    <w:p w14:paraId="631D9BE4" w14:textId="77777777" w:rsidR="004845BC" w:rsidRDefault="00000000">
      <w:pPr>
        <w:spacing w:before="140" w:after="140" w:line="320" w:lineRule="auto"/>
        <w:jc w:val="both"/>
      </w:pPr>
      <w:r>
        <w:rPr>
          <w:b/>
          <w:bCs/>
          <w:color w:val="000000"/>
        </w:rPr>
        <w:t xml:space="preserve">BCG — Boston </w:t>
      </w:r>
      <w:proofErr w:type="spellStart"/>
      <w:r>
        <w:rPr>
          <w:b/>
          <w:bCs/>
          <w:color w:val="000000"/>
        </w:rPr>
        <w:t>Consulting</w:t>
      </w:r>
      <w:proofErr w:type="spellEnd"/>
      <w:r>
        <w:rPr>
          <w:b/>
          <w:bCs/>
          <w:color w:val="000000"/>
        </w:rPr>
        <w:t xml:space="preserve"> Group: </w:t>
      </w:r>
      <w:r>
        <w:rPr>
          <w:color w:val="000000"/>
        </w:rPr>
        <w:t xml:space="preserve">Los informes anuales de BCG sobre la industria bancaria global identifican la América Latina como una de las regiones de mayor crecimiento potencial en banca </w:t>
      </w:r>
      <w:proofErr w:type="spellStart"/>
      <w:r>
        <w:rPr>
          <w:color w:val="000000"/>
        </w:rPr>
        <w:t>retail</w:t>
      </w:r>
      <w:proofErr w:type="spellEnd"/>
      <w:r>
        <w:rPr>
          <w:color w:val="000000"/>
        </w:rPr>
        <w:t xml:space="preserve"> y pagos digitales, impulsada por la combinación de alta penetración de smartphones, baja penetración de servicios financieros formales, y demografía favorable (población joven con alta adopción tecnológica). BCG ha documentado que </w:t>
      </w:r>
      <w:r w:rsidRPr="00BF3CEF">
        <w:rPr>
          <w:color w:val="000000"/>
          <w:highlight w:val="yellow"/>
        </w:rPr>
        <w:t xml:space="preserve">los mercados más atractivos para la expansión bancaria digital en la región son Brasil, México, Colombia, Perú y Chile, aunque con diferentes perfiles de oportunidad: Brasil por su escala, México por su diáspora y el corredor de remesas con </w:t>
      </w:r>
      <w:proofErr w:type="gramStart"/>
      <w:r w:rsidRPr="00BF3CEF">
        <w:rPr>
          <w:color w:val="000000"/>
          <w:highlight w:val="yellow"/>
        </w:rPr>
        <w:t>EE.UU.</w:t>
      </w:r>
      <w:proofErr w:type="gramEnd"/>
      <w:r w:rsidRPr="00BF3CEF">
        <w:rPr>
          <w:color w:val="000000"/>
          <w:highlight w:val="yellow"/>
        </w:rPr>
        <w:t xml:space="preserve">, Colombia por el dinamismo de su ecosistema </w:t>
      </w:r>
      <w:proofErr w:type="spellStart"/>
      <w:r w:rsidRPr="00BF3CEF">
        <w:rPr>
          <w:color w:val="000000"/>
          <w:highlight w:val="yellow"/>
        </w:rPr>
        <w:t>fintech</w:t>
      </w:r>
      <w:proofErr w:type="spellEnd"/>
      <w:r w:rsidRPr="00BF3CEF">
        <w:rPr>
          <w:color w:val="000000"/>
          <w:highlight w:val="yellow"/>
        </w:rPr>
        <w:t>, Perú por su tasa de bancarización en crecimiento acelerado, y Chile por la madurez institucional de su sistema financiero.</w:t>
      </w:r>
      <w:r>
        <w:rPr>
          <w:color w:val="000000"/>
        </w:rPr>
        <w:t xml:space="preserve"> Referencia: BCG (2024). </w:t>
      </w:r>
      <w:proofErr w:type="spellStart"/>
      <w:r>
        <w:rPr>
          <w:color w:val="000000"/>
        </w:rPr>
        <w:t>Retail</w:t>
      </w:r>
      <w:proofErr w:type="spellEnd"/>
      <w:r>
        <w:rPr>
          <w:color w:val="000000"/>
        </w:rPr>
        <w:t xml:space="preserve"> </w:t>
      </w:r>
      <w:proofErr w:type="spellStart"/>
      <w:r>
        <w:rPr>
          <w:color w:val="000000"/>
        </w:rPr>
        <w:t>Banking</w:t>
      </w:r>
      <w:proofErr w:type="spellEnd"/>
      <w:r>
        <w:rPr>
          <w:color w:val="000000"/>
        </w:rPr>
        <w:t xml:space="preserve"> Radar. Disponible en https://www.bcg.com/publications/banking.</w:t>
      </w:r>
    </w:p>
    <w:p w14:paraId="631D9BE5" w14:textId="77777777" w:rsidR="004845BC" w:rsidRDefault="00000000">
      <w:pPr>
        <w:spacing w:before="140" w:after="140" w:line="320" w:lineRule="auto"/>
        <w:jc w:val="both"/>
      </w:pPr>
      <w:r>
        <w:rPr>
          <w:b/>
          <w:bCs/>
          <w:color w:val="000000"/>
        </w:rPr>
        <w:t xml:space="preserve">BID — Banco Interamericano de Desarrollo: </w:t>
      </w:r>
      <w:r>
        <w:rPr>
          <w:color w:val="000000"/>
        </w:rPr>
        <w:t xml:space="preserve">El BID es la fuente de referencia más relevante sobre inclusión financiera y ecosistemas </w:t>
      </w:r>
      <w:proofErr w:type="spellStart"/>
      <w:r>
        <w:rPr>
          <w:color w:val="000000"/>
        </w:rPr>
        <w:t>fintech</w:t>
      </w:r>
      <w:proofErr w:type="spellEnd"/>
      <w:r>
        <w:rPr>
          <w:color w:val="000000"/>
        </w:rPr>
        <w:t xml:space="preserve"> en América Latina y el Caribe. Sus estudios documentan que la región tiene más de 300 millones de adultos sin acceso a servicios financieros formales, y que la combinación de regulación adaptativa (</w:t>
      </w:r>
      <w:proofErr w:type="spellStart"/>
      <w:r>
        <w:rPr>
          <w:color w:val="000000"/>
        </w:rPr>
        <w:t>sandboxes</w:t>
      </w:r>
      <w:proofErr w:type="spellEnd"/>
      <w:r>
        <w:rPr>
          <w:color w:val="000000"/>
        </w:rPr>
        <w:t xml:space="preserve"> regulatorios, licencias diferenciadas para </w:t>
      </w:r>
      <w:proofErr w:type="spellStart"/>
      <w:r>
        <w:rPr>
          <w:color w:val="000000"/>
        </w:rPr>
        <w:t>fintechs</w:t>
      </w:r>
      <w:proofErr w:type="spellEnd"/>
      <w:r>
        <w:rPr>
          <w:color w:val="000000"/>
        </w:rPr>
        <w:t>) y alta penetración móvil está creando oportunidades sin precedentes para nuevos modelos de negocio financiero digital. El BID también ha documentado las principales barreras de entrada para bancos extranjeros en la región: la heterogeneidad regulatoria, los altos requisitos de capital mínimo en algunos mercados, y la concentración bancaria que reduce los márgenes disponibles para nuevos entrantes. Referencia: BID (2023). Fintech en América Latina y el Caribe: Consolidación en un Contexto Global Desafiante. Disponible en https://publications.iadb.org.</w:t>
      </w:r>
    </w:p>
    <w:p w14:paraId="631D9BE6" w14:textId="77777777" w:rsidR="004845BC" w:rsidRDefault="00000000">
      <w:pPr>
        <w:spacing w:before="140" w:after="140" w:line="320" w:lineRule="auto"/>
        <w:jc w:val="both"/>
      </w:pPr>
      <w:r>
        <w:rPr>
          <w:b/>
          <w:bCs/>
          <w:color w:val="000000"/>
        </w:rPr>
        <w:t xml:space="preserve">Banco Mundial — </w:t>
      </w:r>
      <w:proofErr w:type="spellStart"/>
      <w:r>
        <w:rPr>
          <w:b/>
          <w:bCs/>
          <w:color w:val="000000"/>
        </w:rPr>
        <w:t>Financial</w:t>
      </w:r>
      <w:proofErr w:type="spellEnd"/>
      <w:r>
        <w:rPr>
          <w:b/>
          <w:bCs/>
          <w:color w:val="000000"/>
        </w:rPr>
        <w:t xml:space="preserve"> Sector </w:t>
      </w:r>
      <w:proofErr w:type="spellStart"/>
      <w:r>
        <w:rPr>
          <w:b/>
          <w:bCs/>
          <w:color w:val="000000"/>
        </w:rPr>
        <w:t>Assessment</w:t>
      </w:r>
      <w:proofErr w:type="spellEnd"/>
      <w:r>
        <w:rPr>
          <w:b/>
          <w:bCs/>
          <w:color w:val="000000"/>
        </w:rPr>
        <w:t xml:space="preserve"> Programs (FSAP): </w:t>
      </w:r>
      <w:r>
        <w:rPr>
          <w:color w:val="000000"/>
        </w:rPr>
        <w:t xml:space="preserve">Los FSAP son evaluaciones periódicas de la solidez del sistema financiero de cada país, conducidas conjuntamente por el Banco Mundial y el FMI. Constituyen la fuente más rigurosa y comparable de información sobre la salud de los sistemas bancarios nacionales, los marcos regulatorios vigentes y las vulnerabilidades sistémicas. Para el proceso SIM de </w:t>
      </w:r>
      <w:proofErr w:type="spellStart"/>
      <w:r>
        <w:rPr>
          <w:color w:val="000000"/>
        </w:rPr>
        <w:t>Cibest</w:t>
      </w:r>
      <w:proofErr w:type="spellEnd"/>
      <w:r>
        <w:rPr>
          <w:color w:val="000000"/>
        </w:rPr>
        <w:t xml:space="preserve">, los FSAP de los países candidatos son una fuente de primer orden para la fase de inteligencia cualitativa (Sección 6), complementando los datos estadísticos que RADAR captura del GFDD (Global </w:t>
      </w:r>
      <w:proofErr w:type="spellStart"/>
      <w:r>
        <w:rPr>
          <w:color w:val="000000"/>
        </w:rPr>
        <w:t>Financial</w:t>
      </w:r>
      <w:proofErr w:type="spellEnd"/>
      <w:r>
        <w:rPr>
          <w:color w:val="000000"/>
        </w:rPr>
        <w:t xml:space="preserve"> </w:t>
      </w:r>
      <w:proofErr w:type="spellStart"/>
      <w:r>
        <w:rPr>
          <w:color w:val="000000"/>
        </w:rPr>
        <w:t>Development</w:t>
      </w:r>
      <w:proofErr w:type="spellEnd"/>
      <w:r>
        <w:rPr>
          <w:color w:val="000000"/>
        </w:rPr>
        <w:t xml:space="preserve"> </w:t>
      </w:r>
      <w:proofErr w:type="spellStart"/>
      <w:r>
        <w:rPr>
          <w:color w:val="000000"/>
        </w:rPr>
        <w:t>Database</w:t>
      </w:r>
      <w:proofErr w:type="spellEnd"/>
      <w:r>
        <w:rPr>
          <w:color w:val="000000"/>
        </w:rPr>
        <w:t xml:space="preserve">) del Banco Mundial. Referencia: World Bank (varios años). </w:t>
      </w:r>
      <w:proofErr w:type="spellStart"/>
      <w:r>
        <w:rPr>
          <w:color w:val="000000"/>
        </w:rPr>
        <w:t>Financial</w:t>
      </w:r>
      <w:proofErr w:type="spellEnd"/>
      <w:r>
        <w:rPr>
          <w:color w:val="000000"/>
        </w:rPr>
        <w:t xml:space="preserve"> Sector </w:t>
      </w:r>
      <w:proofErr w:type="spellStart"/>
      <w:r>
        <w:rPr>
          <w:color w:val="000000"/>
        </w:rPr>
        <w:t>Assessment</w:t>
      </w:r>
      <w:proofErr w:type="spellEnd"/>
      <w:r>
        <w:rPr>
          <w:color w:val="000000"/>
        </w:rPr>
        <w:t xml:space="preserve"> </w:t>
      </w:r>
      <w:proofErr w:type="spellStart"/>
      <w:r>
        <w:rPr>
          <w:color w:val="000000"/>
        </w:rPr>
        <w:t>Program</w:t>
      </w:r>
      <w:proofErr w:type="spellEnd"/>
      <w:r>
        <w:rPr>
          <w:color w:val="000000"/>
        </w:rPr>
        <w:t>. Disponible en https://www.worldbank.org/en/programs/financial-sector-assessment-program.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5BC" w14:paraId="631D9BE9" w14:textId="77777777">
        <w:tc>
          <w:tcPr>
            <w:tcW w:w="9360" w:type="dxa"/>
            <w:tcBorders>
              <w:top w:val="single" w:sz="1" w:space="0" w:color="D0D5DB"/>
              <w:left w:val="single" w:sz="1" w:space="0" w:color="D0D5DB"/>
              <w:bottom w:val="single" w:sz="1" w:space="0" w:color="D0D5DB"/>
              <w:right w:val="single" w:sz="1" w:space="0" w:color="D0D5DB"/>
            </w:tcBorders>
            <w:shd w:val="clear" w:color="auto" w:fill="EBF3FB"/>
            <w:tcMar>
              <w:top w:w="140" w:type="dxa"/>
              <w:left w:w="200" w:type="dxa"/>
              <w:bottom w:w="140" w:type="dxa"/>
              <w:right w:w="200" w:type="dxa"/>
            </w:tcMar>
          </w:tcPr>
          <w:p w14:paraId="631D9BE7" w14:textId="77777777" w:rsidR="004845BC" w:rsidRDefault="00000000">
            <w:pPr>
              <w:spacing w:after="80"/>
            </w:pPr>
            <w:r>
              <w:rPr>
                <w:b/>
                <w:bCs/>
                <w:caps/>
                <w:color w:val="1B4D6E"/>
                <w:sz w:val="21"/>
                <w:szCs w:val="21"/>
              </w:rPr>
              <w:lastRenderedPageBreak/>
              <w:t>❓ Pregunta clave para el Comité Ejecutivo</w:t>
            </w:r>
          </w:p>
          <w:p w14:paraId="631D9BE8" w14:textId="77777777" w:rsidR="004845BC" w:rsidRDefault="00000000">
            <w:pPr>
              <w:jc w:val="both"/>
            </w:pPr>
            <w:r>
              <w:rPr>
                <w:color w:val="1A1A1A"/>
                <w:sz w:val="21"/>
                <w:szCs w:val="21"/>
              </w:rPr>
              <w:t>¿Cuáles son los mercados que las referencias de la industria (consultoras, organismos multilaterales) identifican como más atractivos para expansión bancaria en América Latina? ¿Coinciden con los mercados que los miembros del Comité ya tienen en mente? Las convergencias refuerzan las hipótesis de entrada; las divergencias merecen investigación adicional antes de descartarlas.</w:t>
            </w:r>
          </w:p>
        </w:tc>
      </w:tr>
    </w:tbl>
    <w:p w14:paraId="631D9BEA" w14:textId="77777777" w:rsidR="004845BC" w:rsidRDefault="00000000">
      <w:r>
        <w:br w:type="page"/>
      </w:r>
    </w:p>
    <w:p w14:paraId="631D9BEB" w14:textId="77777777" w:rsidR="004845BC" w:rsidRPr="009B0854" w:rsidRDefault="00000000" w:rsidP="009B0854">
      <w:pPr>
        <w:pStyle w:val="Ttulo1"/>
        <w:ind w:left="200" w:right="200"/>
        <w:rPr>
          <w:color w:val="auto"/>
        </w:rPr>
      </w:pPr>
      <w:bookmarkStart w:id="14" w:name="_Toc232659563"/>
      <w:r w:rsidRPr="009B0854">
        <w:rPr>
          <w:color w:val="auto"/>
        </w:rPr>
        <w:lastRenderedPageBreak/>
        <w:t>Sección 3 — Fase 1: Definición del Objetivo de Internacionalización</w:t>
      </w:r>
      <w:bookmarkEnd w:id="14"/>
    </w:p>
    <w:p w14:paraId="631D9BEC" w14:textId="77777777" w:rsidR="004845BC" w:rsidRDefault="004845BC">
      <w:pPr>
        <w:spacing w:after="120"/>
      </w:pPr>
    </w:p>
    <w:p w14:paraId="631D9BED" w14:textId="77777777" w:rsidR="004845BC" w:rsidRDefault="00000000">
      <w:pPr>
        <w:spacing w:before="140" w:after="140" w:line="320" w:lineRule="auto"/>
        <w:jc w:val="both"/>
      </w:pPr>
      <w:r>
        <w:rPr>
          <w:color w:val="000000"/>
        </w:rPr>
        <w:t xml:space="preserve">Esta es la fase </w:t>
      </w:r>
      <w:proofErr w:type="gramStart"/>
      <w:r>
        <w:rPr>
          <w:color w:val="000000"/>
        </w:rPr>
        <w:t>más subestimada y más determinante</w:t>
      </w:r>
      <w:proofErr w:type="gramEnd"/>
      <w:r>
        <w:rPr>
          <w:color w:val="000000"/>
        </w:rPr>
        <w:t xml:space="preserve"> de todo el proceso de selección de mercados. Un diagnóstico riguroso de los mercados más atractivos de América Latina para el sector financiero es un ejercicio técnicamente </w:t>
      </w:r>
      <w:proofErr w:type="gramStart"/>
      <w:r>
        <w:rPr>
          <w:color w:val="000000"/>
        </w:rPr>
        <w:t>sólido</w:t>
      </w:r>
      <w:proofErr w:type="gramEnd"/>
      <w:r>
        <w:rPr>
          <w:color w:val="000000"/>
        </w:rPr>
        <w:t xml:space="preserve"> pero estratégicamente neutral si no está anclado en un objetivo de internacionalización claro, declarado formalmente y aprobado por el Comité Ejecutivo. Sin ese objetivo, el modelo cuantitativo puede producir un ranking técnicamente irreprochable sobre la pregunta equivocada, y el equipo de estrategia puede invertir semanas en analizar mercados que, en el fondo, no responden a lo que la alta dirección realmente busca. La Fase 1 del proceso SIM existe para prevenir ese error, que es también el más costoso en tiempo y en credibilidad del proceso.</w:t>
      </w:r>
    </w:p>
    <w:p w14:paraId="631D9BEE" w14:textId="77777777" w:rsidR="004845BC" w:rsidRDefault="004845BC">
      <w:pPr>
        <w:spacing w:after="120"/>
      </w:pPr>
    </w:p>
    <w:p w14:paraId="631D9BEF" w14:textId="77777777" w:rsidR="004845BC" w:rsidRDefault="00000000">
      <w:pPr>
        <w:pStyle w:val="Ttulo2"/>
        <w:pBdr>
          <w:bottom w:val="single" w:sz="4" w:space="4" w:color="E8B931"/>
        </w:pBdr>
      </w:pPr>
      <w:bookmarkStart w:id="15" w:name="_Toc232659564"/>
      <w:proofErr w:type="gramStart"/>
      <w:r>
        <w:t>3.1  Por</w:t>
      </w:r>
      <w:proofErr w:type="gramEnd"/>
      <w:r>
        <w:t xml:space="preserve"> qué el objetivo de internacionalización determina todo lo demás</w:t>
      </w:r>
      <w:bookmarkEnd w:id="15"/>
    </w:p>
    <w:p w14:paraId="631D9BF0" w14:textId="77777777" w:rsidR="004845BC" w:rsidRDefault="00000000">
      <w:pPr>
        <w:spacing w:before="140" w:after="140" w:line="320" w:lineRule="auto"/>
        <w:jc w:val="both"/>
      </w:pPr>
      <w:r>
        <w:rPr>
          <w:color w:val="000000"/>
        </w:rPr>
        <w:t xml:space="preserve">El objetivo estratégico de internacionalización no es 'entrar a más mercados' ni 'crecer geográficamente'. Es una declaración estratégica precisa que responde a la pregunta: ¿para qué se internacionaliza Grupo </w:t>
      </w:r>
      <w:proofErr w:type="spellStart"/>
      <w:r>
        <w:rPr>
          <w:color w:val="000000"/>
        </w:rPr>
        <w:t>Cibest</w:t>
      </w:r>
      <w:proofErr w:type="spellEnd"/>
      <w:r>
        <w:rPr>
          <w:color w:val="000000"/>
        </w:rPr>
        <w:t xml:space="preserve">? </w:t>
      </w:r>
      <w:r w:rsidRPr="00F92D60">
        <w:rPr>
          <w:color w:val="000000"/>
          <w:highlight w:val="yellow"/>
        </w:rPr>
        <w:t>La respuesta a esa pregunta no es obvia, ni es única, ni es la misma para todas las líneas de negocio. Diferentes objetivos de internacionalización conducen a procesos de selección radicalmente distintos, con variables y pesos distintos, con horizontes de tiempo distintos y con modos de entrada distintos.</w:t>
      </w:r>
      <w:r>
        <w:rPr>
          <w:color w:val="000000"/>
        </w:rPr>
        <w:t xml:space="preserve"> A </w:t>
      </w:r>
      <w:proofErr w:type="gramStart"/>
      <w:r>
        <w:rPr>
          <w:color w:val="000000"/>
        </w:rPr>
        <w:t>continuación</w:t>
      </w:r>
      <w:proofErr w:type="gramEnd"/>
      <w:r>
        <w:rPr>
          <w:color w:val="000000"/>
        </w:rPr>
        <w:t xml:space="preserve"> se describen los cinco arquetipos de objetivo de internacionalización que la literatura identifica como más frecuentes en holdings financieras, con sus implicaciones específicas para el proceso SIM de </w:t>
      </w:r>
      <w:proofErr w:type="spellStart"/>
      <w:r>
        <w:rPr>
          <w:color w:val="000000"/>
        </w:rPr>
        <w:t>Cibest</w:t>
      </w:r>
      <w:proofErr w:type="spellEnd"/>
      <w:r>
        <w:rPr>
          <w:color w:val="000000"/>
        </w:rPr>
        <w:t>.</w:t>
      </w:r>
    </w:p>
    <w:p w14:paraId="631D9BF1" w14:textId="77777777" w:rsidR="004845BC" w:rsidRDefault="004845BC">
      <w:pPr>
        <w:spacing w:after="120"/>
      </w:pPr>
    </w:p>
    <w:p w14:paraId="631D9BF2" w14:textId="77777777" w:rsidR="004845BC" w:rsidRDefault="00000000">
      <w:pPr>
        <w:pStyle w:val="Ttulo3"/>
      </w:pPr>
      <w:bookmarkStart w:id="16" w:name="_Toc232659565"/>
      <w:r>
        <w:t>Arquetipo 1: Objetivo de escala de mercado</w:t>
      </w:r>
      <w:bookmarkEnd w:id="16"/>
    </w:p>
    <w:p w14:paraId="631D9BF3" w14:textId="43255431" w:rsidR="004845BC" w:rsidRDefault="00000000">
      <w:pPr>
        <w:spacing w:before="140" w:after="140" w:line="320" w:lineRule="auto"/>
        <w:jc w:val="both"/>
      </w:pPr>
      <w:r>
        <w:rPr>
          <w:color w:val="000000"/>
        </w:rPr>
        <w:t xml:space="preserve">El objetivo de escala busca nuevos mercados para productos existentes porque </w:t>
      </w:r>
      <w:r w:rsidRPr="00B403AF">
        <w:rPr>
          <w:color w:val="000000"/>
          <w:highlight w:val="yellow"/>
        </w:rPr>
        <w:t>el mercado doméstico está maduro, saturado, o porque las economías de escala del negocio exigen una base de clientes más amplia de la que Colombia puede ofrecer.</w:t>
      </w:r>
      <w:r>
        <w:rPr>
          <w:color w:val="000000"/>
        </w:rPr>
        <w:t xml:space="preserve"> Este es el objetivo más frecuentemente declarado por las instituciones financieras en expansión, y también el que más frecuentemente se confunde con el objetivo real. Para </w:t>
      </w:r>
      <w:proofErr w:type="spellStart"/>
      <w:r>
        <w:rPr>
          <w:color w:val="000000"/>
        </w:rPr>
        <w:t>Cibest</w:t>
      </w:r>
      <w:proofErr w:type="spellEnd"/>
      <w:r>
        <w:rPr>
          <w:color w:val="000000"/>
        </w:rPr>
        <w:t xml:space="preserve">, la </w:t>
      </w:r>
      <w:r w:rsidRPr="00B403AF">
        <w:rPr>
          <w:color w:val="000000"/>
          <w:highlight w:val="yellow"/>
        </w:rPr>
        <w:t xml:space="preserve">línea de </w:t>
      </w:r>
      <w:r w:rsidR="00907918" w:rsidRPr="00B403AF">
        <w:rPr>
          <w:color w:val="000000"/>
          <w:highlight w:val="yellow"/>
        </w:rPr>
        <w:t>Pagos y Flujos</w:t>
      </w:r>
      <w:r w:rsidRPr="00B403AF">
        <w:rPr>
          <w:color w:val="000000"/>
          <w:highlight w:val="yellow"/>
        </w:rPr>
        <w:t xml:space="preserve"> tiene características compatibles con este arquetipo</w:t>
      </w:r>
      <w:r>
        <w:rPr>
          <w:color w:val="000000"/>
        </w:rPr>
        <w:t xml:space="preserve">: el procesamiento de transacciones es un negocio de escala donde el costo marginal disminuye significativamente con el volumen, y donde la expansión geográfica puede generar economías de red adicionales. Bajo este objetivo, las variables más relevantes en el </w:t>
      </w:r>
      <w:proofErr w:type="spellStart"/>
      <w:r>
        <w:rPr>
          <w:color w:val="000000"/>
        </w:rPr>
        <w:t>scoring</w:t>
      </w:r>
      <w:proofErr w:type="spellEnd"/>
      <w:r>
        <w:rPr>
          <w:color w:val="000000"/>
        </w:rPr>
        <w:t xml:space="preserve"> de mercados son el tamaño del mercado potencial (población económicamente activa, PIB per cápita, volumen de transacciones digitales), la tasa </w:t>
      </w:r>
      <w:r>
        <w:rPr>
          <w:color w:val="000000"/>
        </w:rPr>
        <w:lastRenderedPageBreak/>
        <w:t>de crecimiento de ese mercado, y el grado de penetración de la competencia en el segmento objetivo. El umbral de atractividad está definido por la masa crítica mínima de transacciones necesaria para rentabilizar la operación.</w:t>
      </w:r>
    </w:p>
    <w:p w14:paraId="631D9BF4" w14:textId="77777777" w:rsidR="004845BC" w:rsidRDefault="00000000">
      <w:pPr>
        <w:pStyle w:val="Ttulo3"/>
      </w:pPr>
      <w:bookmarkStart w:id="17" w:name="_Toc232659566"/>
      <w:r>
        <w:t>Arquetipo 2: Objetivo de diversificación de riesgo</w:t>
      </w:r>
      <w:bookmarkEnd w:id="17"/>
    </w:p>
    <w:p w14:paraId="631D9BF5" w14:textId="77777777" w:rsidR="004845BC" w:rsidRDefault="00000000">
      <w:pPr>
        <w:spacing w:before="140" w:after="140" w:line="320" w:lineRule="auto"/>
        <w:jc w:val="both"/>
      </w:pPr>
      <w:r>
        <w:rPr>
          <w:color w:val="000000"/>
        </w:rPr>
        <w:t xml:space="preserve">El objetivo de diversificación busca reducir la concentración de ingresos de Grupo </w:t>
      </w:r>
      <w:proofErr w:type="spellStart"/>
      <w:r>
        <w:rPr>
          <w:color w:val="000000"/>
        </w:rPr>
        <w:t>Cibest</w:t>
      </w:r>
      <w:proofErr w:type="spellEnd"/>
      <w:r>
        <w:rPr>
          <w:color w:val="000000"/>
        </w:rPr>
        <w:t xml:space="preserve"> en el mercado colombiano, generando flujos de caja en economías con ciclos distintos al colombiano. </w:t>
      </w:r>
      <w:r w:rsidRPr="005D2B87">
        <w:rPr>
          <w:color w:val="000000"/>
          <w:highlight w:val="yellow"/>
        </w:rPr>
        <w:t xml:space="preserve">La lógica es de teoría de portafolio aplicada a operaciones empresariales: si los ciclos económicos de Colombia y del mercado destino están negativamente correlacionados o simplemente </w:t>
      </w:r>
      <w:proofErr w:type="spellStart"/>
      <w:r w:rsidRPr="005D2B87">
        <w:rPr>
          <w:color w:val="000000"/>
          <w:highlight w:val="yellow"/>
        </w:rPr>
        <w:t>descorrelacionados</w:t>
      </w:r>
      <w:proofErr w:type="spellEnd"/>
      <w:r w:rsidRPr="005D2B87">
        <w:rPr>
          <w:color w:val="000000"/>
          <w:highlight w:val="yellow"/>
        </w:rPr>
        <w:t xml:space="preserve">, la combinación de ingresos de ambos mercados reduce la volatilidad del ingreso consolidado </w:t>
      </w:r>
      <w:proofErr w:type="gramStart"/>
      <w:r w:rsidRPr="005D2B87">
        <w:rPr>
          <w:color w:val="000000"/>
          <w:highlight w:val="yellow"/>
        </w:rPr>
        <w:t>de la holding</w:t>
      </w:r>
      <w:proofErr w:type="gramEnd"/>
      <w:r w:rsidRPr="005D2B87">
        <w:rPr>
          <w:color w:val="000000"/>
          <w:highlight w:val="yellow"/>
        </w:rPr>
        <w:t xml:space="preserve">. Bajo este objetivo, la correlación de los ciclos económicos entre Colombia y el mercado destino es tan importante como el atractivo absoluto del mercado: un mercado de menor </w:t>
      </w:r>
      <w:proofErr w:type="gramStart"/>
      <w:r w:rsidRPr="005D2B87">
        <w:rPr>
          <w:color w:val="000000"/>
          <w:highlight w:val="yellow"/>
        </w:rPr>
        <w:t>tamaño</w:t>
      </w:r>
      <w:proofErr w:type="gramEnd"/>
      <w:r w:rsidRPr="005D2B87">
        <w:rPr>
          <w:color w:val="000000"/>
          <w:highlight w:val="yellow"/>
        </w:rPr>
        <w:t xml:space="preserve"> pero con dinámica macroeconómica independiente puede ser más valioso que uno más grande pero sincronizado con los ciclos de Colombia</w:t>
      </w:r>
      <w:r>
        <w:rPr>
          <w:color w:val="000000"/>
        </w:rPr>
        <w:t xml:space="preserve">. Esto tiene implicaciones directas para la configuración del modelo RADAR: si el objetivo de </w:t>
      </w:r>
      <w:proofErr w:type="spellStart"/>
      <w:r>
        <w:rPr>
          <w:color w:val="000000"/>
        </w:rPr>
        <w:t>Cibest</w:t>
      </w:r>
      <w:proofErr w:type="spellEnd"/>
      <w:r>
        <w:rPr>
          <w:color w:val="000000"/>
        </w:rPr>
        <w:t xml:space="preserve"> incluye componentes de diversificación, el proceso debe incorporar indicadores de correlación macroeconómica bilateral con Colombia, lo que requiere datos históricos de series de crecimiento, tasas de interés y ciclos crediticios que van más allá de los datos de corte transversal que RADAR procesa en su configuración base.</w:t>
      </w:r>
    </w:p>
    <w:p w14:paraId="631D9BF6" w14:textId="77777777" w:rsidR="004845BC" w:rsidRDefault="00000000">
      <w:pPr>
        <w:pStyle w:val="Ttulo3"/>
      </w:pPr>
      <w:bookmarkStart w:id="18" w:name="_Toc232659567"/>
      <w:r>
        <w:t>Arquetipo 3: Objetivo de captura de un corredor específico</w:t>
      </w:r>
      <w:bookmarkEnd w:id="18"/>
    </w:p>
    <w:p w14:paraId="631D9BF7" w14:textId="63F487AC" w:rsidR="004845BC" w:rsidRDefault="00000000">
      <w:pPr>
        <w:spacing w:before="140" w:after="140" w:line="320" w:lineRule="auto"/>
        <w:jc w:val="both"/>
      </w:pPr>
      <w:r>
        <w:rPr>
          <w:color w:val="000000"/>
        </w:rPr>
        <w:t xml:space="preserve">El objetivo de corredor busca </w:t>
      </w:r>
      <w:r w:rsidRPr="00E06EBE">
        <w:rPr>
          <w:color w:val="000000"/>
          <w:highlight w:val="yellow"/>
        </w:rPr>
        <w:t>monetizar un flujo financiero bilateral ya existente entre Colombia y un mercado destino</w:t>
      </w:r>
      <w:r>
        <w:rPr>
          <w:color w:val="000000"/>
        </w:rPr>
        <w:t xml:space="preserve">. El caso más claro para </w:t>
      </w:r>
      <w:proofErr w:type="spellStart"/>
      <w:r>
        <w:rPr>
          <w:color w:val="000000"/>
        </w:rPr>
        <w:t>Cibest</w:t>
      </w:r>
      <w:proofErr w:type="spellEnd"/>
      <w:r>
        <w:rPr>
          <w:color w:val="000000"/>
        </w:rPr>
        <w:t xml:space="preserve"> es el corredor de remesas: Colombia recibió remesas por más de 9.000 millones de dólares en 2022, según datos del Banco de la República, con los corredores </w:t>
      </w:r>
      <w:proofErr w:type="gramStart"/>
      <w:r>
        <w:rPr>
          <w:color w:val="000000"/>
        </w:rPr>
        <w:t>EE.UU.</w:t>
      </w:r>
      <w:proofErr w:type="gramEnd"/>
      <w:r>
        <w:rPr>
          <w:color w:val="000000"/>
        </w:rPr>
        <w:t xml:space="preserve">-Colombia, España-Colombia y Ecuador-Colombia como los de mayor volumen. Una estrategia de corredor orientaría el proceso SIM a identificar los países de origen de esas remesas como mercados prioritarios para la </w:t>
      </w:r>
      <w:r w:rsidRPr="009155B9">
        <w:rPr>
          <w:color w:val="000000"/>
          <w:highlight w:val="yellow"/>
        </w:rPr>
        <w:t xml:space="preserve">línea de </w:t>
      </w:r>
      <w:r w:rsidR="00907918" w:rsidRPr="009155B9">
        <w:rPr>
          <w:color w:val="000000"/>
          <w:highlight w:val="yellow"/>
        </w:rPr>
        <w:t>Pagos y Flujos</w:t>
      </w:r>
      <w:r w:rsidRPr="009155B9">
        <w:rPr>
          <w:color w:val="000000"/>
          <w:highlight w:val="yellow"/>
        </w:rPr>
        <w:t>, con independencia de su atractivo general como mercados financieros</w:t>
      </w:r>
      <w:r>
        <w:rPr>
          <w:color w:val="000000"/>
        </w:rPr>
        <w:t xml:space="preserve">. Bajo este arquetipo, el volumen del corredor bilateral Colombia-destino y la posición competitiva de los operadores actuales en ese corredor son los criterios dominantes, no el desarrollo del sistema financiero del país destino en su conjunto. El modelo RADAR </w:t>
      </w:r>
      <w:proofErr w:type="spellStart"/>
      <w:r>
        <w:rPr>
          <w:color w:val="000000"/>
        </w:rPr>
        <w:t>Cibest</w:t>
      </w:r>
      <w:proofErr w:type="spellEnd"/>
      <w:r>
        <w:rPr>
          <w:color w:val="000000"/>
        </w:rPr>
        <w:t xml:space="preserve"> incorpora el dato de salidas de colombianos al exterior (fuente: DANE/Migración Colombia) como variable en la Dimensión de Proximidad, precisamente para capturar el potencial de corredor de remesas de cada mercado.</w:t>
      </w:r>
    </w:p>
    <w:p w14:paraId="631D9BF8" w14:textId="77777777" w:rsidR="004845BC" w:rsidRDefault="00000000">
      <w:pPr>
        <w:pStyle w:val="Ttulo3"/>
      </w:pPr>
      <w:bookmarkStart w:id="19" w:name="_Toc232659568"/>
      <w:r>
        <w:t xml:space="preserve">Arquetipo 4: Objetivo de adquisición de capacidades (reverse </w:t>
      </w:r>
      <w:proofErr w:type="spellStart"/>
      <w:r>
        <w:t>innovation</w:t>
      </w:r>
      <w:proofErr w:type="spellEnd"/>
      <w:r>
        <w:t>)</w:t>
      </w:r>
      <w:bookmarkEnd w:id="19"/>
    </w:p>
    <w:p w14:paraId="631D9BF9" w14:textId="77777777" w:rsidR="004845BC" w:rsidRDefault="00000000">
      <w:pPr>
        <w:spacing w:before="140" w:after="140" w:line="320" w:lineRule="auto"/>
        <w:jc w:val="both"/>
      </w:pPr>
      <w:r>
        <w:rPr>
          <w:color w:val="000000"/>
        </w:rPr>
        <w:t xml:space="preserve">El objetivo de reverse </w:t>
      </w:r>
      <w:proofErr w:type="spellStart"/>
      <w:r>
        <w:rPr>
          <w:color w:val="000000"/>
        </w:rPr>
        <w:t>innovation</w:t>
      </w:r>
      <w:proofErr w:type="spellEnd"/>
      <w:r>
        <w:rPr>
          <w:color w:val="000000"/>
        </w:rPr>
        <w:t xml:space="preserve"> busca entrar a mercados donde la industria financiera local está más avanzada en una dimensión específica, </w:t>
      </w:r>
      <w:r w:rsidRPr="003F4E5F">
        <w:rPr>
          <w:color w:val="000000"/>
          <w:highlight w:val="yellow"/>
        </w:rPr>
        <w:t xml:space="preserve">no para capturar ese mercado como fuente de ingresos inmediatos, sino para adquirir aprendizaje organizacional, tecnológico o regulatorio que </w:t>
      </w:r>
      <w:r w:rsidRPr="003F4E5F">
        <w:rPr>
          <w:color w:val="000000"/>
          <w:highlight w:val="yellow"/>
        </w:rPr>
        <w:lastRenderedPageBreak/>
        <w:t>luego se transfiere y aplica en Colombia</w:t>
      </w:r>
      <w:r>
        <w:rPr>
          <w:color w:val="000000"/>
        </w:rPr>
        <w:t xml:space="preserve">. Un banco colombiano que abre una operación modesta en México no necesariamente espera generar grandes utilidades allí en los primeros años: puede estar comprando acceso al ecosistema </w:t>
      </w:r>
      <w:proofErr w:type="spellStart"/>
      <w:r>
        <w:rPr>
          <w:color w:val="000000"/>
        </w:rPr>
        <w:t>fintech</w:t>
      </w:r>
      <w:proofErr w:type="spellEnd"/>
      <w:r>
        <w:rPr>
          <w:color w:val="000000"/>
        </w:rPr>
        <w:t xml:space="preserve"> más maduro de la región, al régimen regulatorio más sofisticado para pagos digitales, y a un mercado de talento tecnológico financiero de primera línea. Este arquetipo es especialmente relevante para las líneas de Activos Digitales y Banca Digital de </w:t>
      </w:r>
      <w:proofErr w:type="spellStart"/>
      <w:r>
        <w:rPr>
          <w:color w:val="000000"/>
        </w:rPr>
        <w:t>Cibest</w:t>
      </w:r>
      <w:proofErr w:type="spellEnd"/>
      <w:r>
        <w:rPr>
          <w:color w:val="000000"/>
        </w:rPr>
        <w:t>, donde la velocidad de evolución tecnológica y regulatoria es tan alta que la presencia en mercados líderes funciona como antena estratégica. Bajo este arquetipo, el criterio de selección es la madurez sectorial en la dimensión de interés y la calidad del ecosistema de innovación, no el atractivo general del mercado ni el tamaño del segmento potencial.</w:t>
      </w:r>
    </w:p>
    <w:p w14:paraId="631D9BFA" w14:textId="77777777" w:rsidR="004845BC" w:rsidRDefault="00000000">
      <w:pPr>
        <w:pStyle w:val="Ttulo3"/>
      </w:pPr>
      <w:bookmarkStart w:id="20" w:name="_Toc232659569"/>
      <w:r>
        <w:t>Arquetipo 5: Objetivo de seguimiento al cliente (</w:t>
      </w:r>
      <w:proofErr w:type="spellStart"/>
      <w:r>
        <w:t>client</w:t>
      </w:r>
      <w:proofErr w:type="spellEnd"/>
      <w:r>
        <w:t xml:space="preserve"> </w:t>
      </w:r>
      <w:proofErr w:type="spellStart"/>
      <w:r>
        <w:t>following</w:t>
      </w:r>
      <w:proofErr w:type="spellEnd"/>
      <w:r>
        <w:t>)</w:t>
      </w:r>
      <w:bookmarkEnd w:id="20"/>
    </w:p>
    <w:p w14:paraId="631D9BFB" w14:textId="77777777" w:rsidR="004845BC" w:rsidRDefault="00000000">
      <w:pPr>
        <w:spacing w:before="140" w:after="140" w:line="320" w:lineRule="auto"/>
        <w:jc w:val="both"/>
      </w:pPr>
      <w:r>
        <w:rPr>
          <w:color w:val="000000"/>
        </w:rPr>
        <w:t xml:space="preserve">El objetivo de </w:t>
      </w:r>
      <w:proofErr w:type="spellStart"/>
      <w:r>
        <w:rPr>
          <w:color w:val="000000"/>
        </w:rPr>
        <w:t>client</w:t>
      </w:r>
      <w:proofErr w:type="spellEnd"/>
      <w:r>
        <w:rPr>
          <w:color w:val="000000"/>
        </w:rPr>
        <w:t xml:space="preserve"> </w:t>
      </w:r>
      <w:proofErr w:type="spellStart"/>
      <w:r>
        <w:rPr>
          <w:color w:val="000000"/>
        </w:rPr>
        <w:t>following</w:t>
      </w:r>
      <w:proofErr w:type="spellEnd"/>
      <w:r>
        <w:rPr>
          <w:color w:val="000000"/>
        </w:rPr>
        <w:t xml:space="preserve"> </w:t>
      </w:r>
      <w:r w:rsidRPr="00CE1B1C">
        <w:rPr>
          <w:color w:val="000000"/>
          <w:highlight w:val="yellow"/>
        </w:rPr>
        <w:t xml:space="preserve">busca acompañar a los clientes existentes de </w:t>
      </w:r>
      <w:proofErr w:type="spellStart"/>
      <w:r w:rsidRPr="00CE1B1C">
        <w:rPr>
          <w:color w:val="000000"/>
          <w:highlight w:val="yellow"/>
        </w:rPr>
        <w:t>Cibest</w:t>
      </w:r>
      <w:proofErr w:type="spellEnd"/>
      <w:r>
        <w:rPr>
          <w:color w:val="000000"/>
        </w:rPr>
        <w:t xml:space="preserve"> — tanto corporativos colombianos como individuos de la diáspora colombiana en el exterior — en sus propias operaciones internacionales. Para la </w:t>
      </w:r>
      <w:r w:rsidRPr="00CE1B1C">
        <w:rPr>
          <w:color w:val="000000"/>
          <w:highlight w:val="yellow"/>
        </w:rPr>
        <w:t>línea de CIB,</w:t>
      </w:r>
      <w:r>
        <w:rPr>
          <w:color w:val="000000"/>
        </w:rPr>
        <w:t xml:space="preserve"> esto significa identificar en qué mercados tienen presencia o planes de expansión </w:t>
      </w:r>
      <w:r w:rsidRPr="00041B94">
        <w:rPr>
          <w:color w:val="000000"/>
          <w:highlight w:val="yellow"/>
        </w:rPr>
        <w:t xml:space="preserve">los clientes corporativos más importantes de </w:t>
      </w:r>
      <w:proofErr w:type="spellStart"/>
      <w:r w:rsidRPr="00041B94">
        <w:rPr>
          <w:color w:val="000000"/>
          <w:highlight w:val="yellow"/>
        </w:rPr>
        <w:t>Cibest</w:t>
      </w:r>
      <w:proofErr w:type="spellEnd"/>
      <w:r w:rsidRPr="00041B94">
        <w:rPr>
          <w:color w:val="000000"/>
          <w:highlight w:val="yellow"/>
        </w:rPr>
        <w:t>, y desarrollar capacidades en esos mercados para ofrecerles servicios financieros integrados. Para la línea de Pagos, significa identificar dónde se concentra la diáspora colombiana y diseñar productos de remesas orientados a ese corredor. Este arquetipo tiene la ventaja de partir de relaciones existentes con clientes conocidos, lo que reduce significativamente la asimetría de información que normalmente enfrenta un banco extranjero</w:t>
      </w:r>
      <w:r>
        <w:rPr>
          <w:color w:val="000000"/>
        </w:rPr>
        <w:t xml:space="preserve">. Su limitación es que el tamaño del mercado capturado es acotado —depende de cuántos clientes de </w:t>
      </w:r>
      <w:proofErr w:type="spellStart"/>
      <w:r>
        <w:rPr>
          <w:color w:val="000000"/>
        </w:rPr>
        <w:t>Cibest</w:t>
      </w:r>
      <w:proofErr w:type="spellEnd"/>
      <w:r>
        <w:rPr>
          <w:color w:val="000000"/>
        </w:rPr>
        <w:t xml:space="preserve"> tienen realmente presencia en cada mercado— y que construir escala desde esa base inicial requiere una segunda fase de conquista de clientes locales.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5BC" w14:paraId="631D9BFE" w14:textId="77777777">
        <w:tc>
          <w:tcPr>
            <w:tcW w:w="9360" w:type="dxa"/>
            <w:tcBorders>
              <w:top w:val="single" w:sz="1" w:space="0" w:color="D0D5DB"/>
              <w:left w:val="single" w:sz="1" w:space="0" w:color="D0D5DB"/>
              <w:bottom w:val="single" w:sz="1" w:space="0" w:color="D0D5DB"/>
              <w:right w:val="single" w:sz="1" w:space="0" w:color="D0D5DB"/>
            </w:tcBorders>
            <w:shd w:val="clear" w:color="auto" w:fill="F2F4F6"/>
            <w:tcMar>
              <w:top w:w="140" w:type="dxa"/>
              <w:left w:w="200" w:type="dxa"/>
              <w:bottom w:w="140" w:type="dxa"/>
              <w:right w:w="200" w:type="dxa"/>
            </w:tcMar>
          </w:tcPr>
          <w:p w14:paraId="631D9BFC" w14:textId="77777777" w:rsidR="004845BC" w:rsidRDefault="00000000">
            <w:pPr>
              <w:spacing w:after="80"/>
            </w:pPr>
            <w:r>
              <w:rPr>
                <w:b/>
                <w:bCs/>
                <w:caps/>
                <w:color w:val="0D1B2A"/>
                <w:sz w:val="21"/>
                <w:szCs w:val="21"/>
              </w:rPr>
              <w:t>🔍 Sesgo a evitar: La trampa del mercado más conocido</w:t>
            </w:r>
          </w:p>
          <w:p w14:paraId="631D9BFD" w14:textId="77777777" w:rsidR="004845BC" w:rsidRDefault="00000000">
            <w:pPr>
              <w:jc w:val="both"/>
            </w:pPr>
            <w:r>
              <w:rPr>
                <w:color w:val="1A1A1A"/>
                <w:sz w:val="21"/>
                <w:szCs w:val="21"/>
              </w:rPr>
              <w:t xml:space="preserve">La tendencia más frecuente en la práctica es que el arquetipo de objetivo que una organización declara en sus documentos estratégicos es diferente del que realmente orienta las decisiones de los directivos al momento de evaluar mercados concretos. Un Comité Ejecutivo puede declarar un objetivo de </w:t>
            </w:r>
            <w:proofErr w:type="gramStart"/>
            <w:r>
              <w:rPr>
                <w:color w:val="1A1A1A"/>
                <w:sz w:val="21"/>
                <w:szCs w:val="21"/>
              </w:rPr>
              <w:t>escala</w:t>
            </w:r>
            <w:proofErr w:type="gramEnd"/>
            <w:r>
              <w:rPr>
                <w:color w:val="1A1A1A"/>
                <w:sz w:val="21"/>
                <w:szCs w:val="21"/>
              </w:rPr>
              <w:t xml:space="preserve"> pero elegir mercados basándose en la familiaridad personal de sus miembros con ciertos destinos. La Fase 1 del proceso SIM existe precisamente para hacer explícito y deliberado este alineamiento, antes de que afecte la evaluación de mercados concretos.</w:t>
            </w:r>
          </w:p>
        </w:tc>
      </w:tr>
    </w:tbl>
    <w:p w14:paraId="631D9BFF" w14:textId="77777777" w:rsidR="004845BC" w:rsidRDefault="004845BC">
      <w:pPr>
        <w:spacing w:after="120"/>
      </w:pPr>
    </w:p>
    <w:p w14:paraId="631D9C00" w14:textId="77777777" w:rsidR="004845BC" w:rsidRDefault="00000000">
      <w:pPr>
        <w:pStyle w:val="Ttulo2"/>
        <w:pBdr>
          <w:bottom w:val="single" w:sz="4" w:space="4" w:color="E8B931"/>
        </w:pBdr>
      </w:pPr>
      <w:bookmarkStart w:id="21" w:name="_Toc232659570"/>
      <w:proofErr w:type="gramStart"/>
      <w:r>
        <w:t>3.2  Preguntas</w:t>
      </w:r>
      <w:proofErr w:type="gramEnd"/>
      <w:r>
        <w:t xml:space="preserve"> diagnósticas para definir el objetivo de Grupo </w:t>
      </w:r>
      <w:proofErr w:type="spellStart"/>
      <w:r>
        <w:t>Cibest</w:t>
      </w:r>
      <w:bookmarkEnd w:id="21"/>
      <w:proofErr w:type="spellEnd"/>
    </w:p>
    <w:p w14:paraId="631D9C01" w14:textId="77777777" w:rsidR="004845BC" w:rsidRDefault="00000000">
      <w:pPr>
        <w:spacing w:before="140" w:after="140" w:line="320" w:lineRule="auto"/>
        <w:jc w:val="both"/>
      </w:pPr>
      <w:r>
        <w:rPr>
          <w:color w:val="000000"/>
        </w:rPr>
        <w:t xml:space="preserve">El equipo de Estrategia Corporativa propone facilitar una sesión de trabajo estructurada de dos a tres horas con el Comité Ejecutivo para responder el conjunto de preguntas diagnósticas que se presentan a continuación. La sesión no debe confundirse con una sesión de resultados: no se presenta ningún análisis de mercados ni ningún ranking. Su único propósito es obtener del </w:t>
      </w:r>
      <w:r>
        <w:rPr>
          <w:color w:val="000000"/>
        </w:rPr>
        <w:lastRenderedPageBreak/>
        <w:t xml:space="preserve">Comité las declaraciones estratégicas que configuran el proceso SIM. Las respuestas a estas preguntas son el input formal del modelo RADAR </w:t>
      </w:r>
      <w:proofErr w:type="spellStart"/>
      <w:r>
        <w:rPr>
          <w:color w:val="000000"/>
        </w:rPr>
        <w:t>Cibest</w:t>
      </w:r>
      <w:proofErr w:type="spellEnd"/>
      <w:r>
        <w:rPr>
          <w:color w:val="000000"/>
        </w:rPr>
        <w:t xml:space="preserve"> y determinan la ponderación de sus dimensiones. El equipo de Estrategia Corporativa facilita la sesión, registra las respuestas, las sintetiza en el documento de Definición del Objetivo Estratégico de Internacionalización (DOEI) descrito en la Sección 3.4, y lo devuelve al Comité para 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3828"/>
        <w:gridCol w:w="5180"/>
      </w:tblGrid>
      <w:tr w:rsidR="004845BC" w14:paraId="631D9C05" w14:textId="77777777">
        <w:tc>
          <w:tcPr>
            <w:tcW w:w="32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20" w:type="dxa"/>
              <w:bottom w:w="80" w:type="dxa"/>
              <w:right w:w="120" w:type="dxa"/>
            </w:tcMar>
          </w:tcPr>
          <w:p w14:paraId="631D9C02" w14:textId="77777777" w:rsidR="004845BC" w:rsidRDefault="00000000">
            <w:r>
              <w:rPr>
                <w:b/>
                <w:bCs/>
                <w:color w:val="FFFFFF"/>
                <w:sz w:val="20"/>
                <w:szCs w:val="20"/>
              </w:rPr>
              <w:t>#</w:t>
            </w:r>
          </w:p>
        </w:tc>
        <w:tc>
          <w:tcPr>
            <w:tcW w:w="384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20" w:type="dxa"/>
              <w:bottom w:w="80" w:type="dxa"/>
              <w:right w:w="120" w:type="dxa"/>
            </w:tcMar>
          </w:tcPr>
          <w:p w14:paraId="631D9C03" w14:textId="77777777" w:rsidR="004845BC" w:rsidRDefault="00000000">
            <w:r>
              <w:rPr>
                <w:b/>
                <w:bCs/>
                <w:color w:val="FFFFFF"/>
                <w:sz w:val="20"/>
                <w:szCs w:val="20"/>
              </w:rPr>
              <w:t>Pregunta diagnóstica</w:t>
            </w:r>
          </w:p>
        </w:tc>
        <w:tc>
          <w:tcPr>
            <w:tcW w:w="5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20" w:type="dxa"/>
              <w:bottom w:w="80" w:type="dxa"/>
              <w:right w:w="120" w:type="dxa"/>
            </w:tcMar>
          </w:tcPr>
          <w:p w14:paraId="631D9C04" w14:textId="77777777" w:rsidR="004845BC" w:rsidRDefault="00000000">
            <w:r>
              <w:rPr>
                <w:b/>
                <w:bCs/>
                <w:color w:val="FFFFFF"/>
                <w:sz w:val="20"/>
                <w:szCs w:val="20"/>
              </w:rPr>
              <w:t>Por qué es relevante y cómo modifica el proceso</w:t>
            </w:r>
          </w:p>
        </w:tc>
      </w:tr>
      <w:tr w:rsidR="004845BC" w14:paraId="631D9C09" w14:textId="77777777">
        <w:tc>
          <w:tcPr>
            <w:tcW w:w="320" w:type="dxa"/>
            <w:tcBorders>
              <w:top w:val="single" w:sz="1" w:space="0" w:color="D0D5DB"/>
              <w:left w:val="single" w:sz="1" w:space="0" w:color="D0D5DB"/>
              <w:bottom w:val="single" w:sz="1" w:space="0" w:color="D0D5DB"/>
              <w:right w:val="single" w:sz="1" w:space="0" w:color="D0D5DB"/>
            </w:tcBorders>
            <w:shd w:val="clear" w:color="auto" w:fill="F2F4F6"/>
            <w:tcMar>
              <w:top w:w="80" w:type="dxa"/>
              <w:left w:w="120" w:type="dxa"/>
              <w:bottom w:w="80" w:type="dxa"/>
              <w:right w:w="120" w:type="dxa"/>
            </w:tcMar>
          </w:tcPr>
          <w:p w14:paraId="631D9C06" w14:textId="77777777" w:rsidR="004845BC" w:rsidRDefault="00000000">
            <w:r>
              <w:rPr>
                <w:b/>
                <w:bCs/>
                <w:color w:val="1B4D6E"/>
                <w:sz w:val="20"/>
                <w:szCs w:val="20"/>
              </w:rPr>
              <w:t>1</w:t>
            </w:r>
          </w:p>
        </w:tc>
        <w:tc>
          <w:tcPr>
            <w:tcW w:w="384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07" w14:textId="77777777" w:rsidR="004845BC" w:rsidRDefault="00000000">
            <w:pPr>
              <w:jc w:val="both"/>
            </w:pPr>
            <w:r>
              <w:rPr>
                <w:sz w:val="20"/>
                <w:szCs w:val="20"/>
              </w:rPr>
              <w:t xml:space="preserve">¿Cuál es el horizonte temporal de la internacionalización de </w:t>
            </w:r>
            <w:proofErr w:type="spellStart"/>
            <w:r>
              <w:rPr>
                <w:sz w:val="20"/>
                <w:szCs w:val="20"/>
              </w:rPr>
              <w:t>Cibest</w:t>
            </w:r>
            <w:proofErr w:type="spellEnd"/>
            <w:r>
              <w:rPr>
                <w:sz w:val="20"/>
                <w:szCs w:val="20"/>
              </w:rPr>
              <w:t>? (Corto: 1-2 años / Medio: 3-5 años / Largo: 5+ años)</w:t>
            </w:r>
          </w:p>
        </w:tc>
        <w:tc>
          <w:tcPr>
            <w:tcW w:w="520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08" w14:textId="77777777" w:rsidR="004845BC" w:rsidRDefault="00000000">
            <w:pPr>
              <w:jc w:val="both"/>
            </w:pPr>
            <w:r>
              <w:rPr>
                <w:sz w:val="20"/>
                <w:szCs w:val="20"/>
              </w:rPr>
              <w:t xml:space="preserve">Un horizonte corto prioriza mercados donde la entrada rápida es posible (pocas barreras regulatorias, opciones de adquisición disponibles, líneas de negocio digitales sin licencia bancaria completa). Un horizonte largo permite evaluar mercados con mayor </w:t>
            </w:r>
            <w:proofErr w:type="gramStart"/>
            <w:r>
              <w:rPr>
                <w:sz w:val="20"/>
                <w:szCs w:val="20"/>
              </w:rPr>
              <w:t>potencial</w:t>
            </w:r>
            <w:proofErr w:type="gramEnd"/>
            <w:r>
              <w:rPr>
                <w:sz w:val="20"/>
                <w:szCs w:val="20"/>
              </w:rPr>
              <w:t xml:space="preserve"> pero con procesos de licenciamiento más complejos.</w:t>
            </w:r>
          </w:p>
        </w:tc>
      </w:tr>
      <w:tr w:rsidR="004845BC" w14:paraId="631D9C0D" w14:textId="77777777">
        <w:tc>
          <w:tcPr>
            <w:tcW w:w="320" w:type="dxa"/>
            <w:tcBorders>
              <w:top w:val="single" w:sz="1" w:space="0" w:color="D0D5DB"/>
              <w:left w:val="single" w:sz="1" w:space="0" w:color="D0D5DB"/>
              <w:bottom w:val="single" w:sz="1" w:space="0" w:color="D0D5DB"/>
              <w:right w:val="single" w:sz="1" w:space="0" w:color="D0D5DB"/>
            </w:tcBorders>
            <w:shd w:val="clear" w:color="auto" w:fill="F2F4F6"/>
            <w:tcMar>
              <w:top w:w="80" w:type="dxa"/>
              <w:left w:w="120" w:type="dxa"/>
              <w:bottom w:w="80" w:type="dxa"/>
              <w:right w:w="120" w:type="dxa"/>
            </w:tcMar>
          </w:tcPr>
          <w:p w14:paraId="631D9C0A" w14:textId="77777777" w:rsidR="004845BC" w:rsidRDefault="00000000">
            <w:r>
              <w:rPr>
                <w:b/>
                <w:bCs/>
                <w:color w:val="1B4D6E"/>
                <w:sz w:val="20"/>
                <w:szCs w:val="20"/>
              </w:rPr>
              <w:t>2</w:t>
            </w:r>
          </w:p>
        </w:tc>
        <w:tc>
          <w:tcPr>
            <w:tcW w:w="384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0B" w14:textId="77777777" w:rsidR="004845BC" w:rsidRDefault="00000000">
            <w:pPr>
              <w:jc w:val="both"/>
            </w:pPr>
            <w:r>
              <w:rPr>
                <w:sz w:val="20"/>
                <w:szCs w:val="20"/>
              </w:rPr>
              <w:t>¿Se busca rentabilidad operativa en el corto plazo, o construcción de posición estratégica con rentabilidad diferida?</w:t>
            </w:r>
          </w:p>
        </w:tc>
        <w:tc>
          <w:tcPr>
            <w:tcW w:w="520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0C" w14:textId="77777777" w:rsidR="004845BC" w:rsidRDefault="00000000">
            <w:pPr>
              <w:jc w:val="both"/>
            </w:pPr>
            <w:r>
              <w:rPr>
                <w:sz w:val="20"/>
                <w:szCs w:val="20"/>
              </w:rPr>
              <w:t xml:space="preserve">Si se prioriza rentabilidad inmediata, los mercados con alta penetración bancaria actual y márgenes comprobados son preferibles. Si se prioriza posición estratégica, los mercados con alta </w:t>
            </w:r>
            <w:proofErr w:type="spellStart"/>
            <w:r>
              <w:rPr>
                <w:sz w:val="20"/>
                <w:szCs w:val="20"/>
              </w:rPr>
              <w:t>sub-bancarización</w:t>
            </w:r>
            <w:proofErr w:type="spellEnd"/>
            <w:r>
              <w:rPr>
                <w:sz w:val="20"/>
                <w:szCs w:val="20"/>
              </w:rPr>
              <w:t xml:space="preserve"> y crecimiento acelerado son más </w:t>
            </w:r>
            <w:proofErr w:type="gramStart"/>
            <w:r>
              <w:rPr>
                <w:sz w:val="20"/>
                <w:szCs w:val="20"/>
              </w:rPr>
              <w:t>valiosos</w:t>
            </w:r>
            <w:proofErr w:type="gramEnd"/>
            <w:r>
              <w:rPr>
                <w:sz w:val="20"/>
                <w:szCs w:val="20"/>
              </w:rPr>
              <w:t xml:space="preserve"> aunque sus márgenes iniciales sean menores.</w:t>
            </w:r>
          </w:p>
        </w:tc>
      </w:tr>
      <w:tr w:rsidR="004845BC" w14:paraId="631D9C11" w14:textId="77777777">
        <w:tc>
          <w:tcPr>
            <w:tcW w:w="320" w:type="dxa"/>
            <w:tcBorders>
              <w:top w:val="single" w:sz="1" w:space="0" w:color="D0D5DB"/>
              <w:left w:val="single" w:sz="1" w:space="0" w:color="D0D5DB"/>
              <w:bottom w:val="single" w:sz="1" w:space="0" w:color="D0D5DB"/>
              <w:right w:val="single" w:sz="1" w:space="0" w:color="D0D5DB"/>
            </w:tcBorders>
            <w:shd w:val="clear" w:color="auto" w:fill="F2F4F6"/>
            <w:tcMar>
              <w:top w:w="80" w:type="dxa"/>
              <w:left w:w="120" w:type="dxa"/>
              <w:bottom w:w="80" w:type="dxa"/>
              <w:right w:w="120" w:type="dxa"/>
            </w:tcMar>
          </w:tcPr>
          <w:p w14:paraId="631D9C0E" w14:textId="77777777" w:rsidR="004845BC" w:rsidRDefault="00000000">
            <w:r>
              <w:rPr>
                <w:b/>
                <w:bCs/>
                <w:color w:val="1B4D6E"/>
                <w:sz w:val="20"/>
                <w:szCs w:val="20"/>
              </w:rPr>
              <w:t>3</w:t>
            </w:r>
          </w:p>
        </w:tc>
        <w:tc>
          <w:tcPr>
            <w:tcW w:w="384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0F" w14:textId="77777777" w:rsidR="004845BC" w:rsidRDefault="00000000">
            <w:pPr>
              <w:jc w:val="both"/>
            </w:pPr>
            <w:r>
              <w:rPr>
                <w:sz w:val="20"/>
                <w:szCs w:val="20"/>
              </w:rPr>
              <w:t>¿Cuáles líneas de negocio lideran la internacionalización y cuáles siguen o no se internacionalizan?</w:t>
            </w:r>
          </w:p>
        </w:tc>
        <w:tc>
          <w:tcPr>
            <w:tcW w:w="520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10" w14:textId="70847592" w:rsidR="004845BC" w:rsidRDefault="00000000">
            <w:pPr>
              <w:jc w:val="both"/>
            </w:pPr>
            <w:r>
              <w:rPr>
                <w:sz w:val="20"/>
                <w:szCs w:val="20"/>
              </w:rPr>
              <w:t xml:space="preserve">Determina qué variables son relevantes en el modelo y qué pesos tienen. Una internacionalización liderada por </w:t>
            </w:r>
            <w:r w:rsidR="00907918">
              <w:rPr>
                <w:sz w:val="20"/>
                <w:szCs w:val="20"/>
              </w:rPr>
              <w:t>Pagos y Flujos</w:t>
            </w:r>
            <w:r>
              <w:rPr>
                <w:sz w:val="20"/>
                <w:szCs w:val="20"/>
              </w:rPr>
              <w:t xml:space="preserve"> configura un modelo radicalmente distinto a una liderada por Intermediación Bancaria.</w:t>
            </w:r>
          </w:p>
        </w:tc>
      </w:tr>
      <w:tr w:rsidR="004845BC" w14:paraId="631D9C15" w14:textId="77777777">
        <w:tc>
          <w:tcPr>
            <w:tcW w:w="320" w:type="dxa"/>
            <w:tcBorders>
              <w:top w:val="single" w:sz="1" w:space="0" w:color="D0D5DB"/>
              <w:left w:val="single" w:sz="1" w:space="0" w:color="D0D5DB"/>
              <w:bottom w:val="single" w:sz="1" w:space="0" w:color="D0D5DB"/>
              <w:right w:val="single" w:sz="1" w:space="0" w:color="D0D5DB"/>
            </w:tcBorders>
            <w:shd w:val="clear" w:color="auto" w:fill="F2F4F6"/>
            <w:tcMar>
              <w:top w:w="80" w:type="dxa"/>
              <w:left w:w="120" w:type="dxa"/>
              <w:bottom w:w="80" w:type="dxa"/>
              <w:right w:w="120" w:type="dxa"/>
            </w:tcMar>
          </w:tcPr>
          <w:p w14:paraId="631D9C12" w14:textId="77777777" w:rsidR="004845BC" w:rsidRDefault="00000000">
            <w:r>
              <w:rPr>
                <w:b/>
                <w:bCs/>
                <w:color w:val="1B4D6E"/>
                <w:sz w:val="20"/>
                <w:szCs w:val="20"/>
              </w:rPr>
              <w:t>4</w:t>
            </w:r>
          </w:p>
        </w:tc>
        <w:tc>
          <w:tcPr>
            <w:tcW w:w="384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13" w14:textId="77777777" w:rsidR="004845BC" w:rsidRDefault="00000000">
            <w:pPr>
              <w:jc w:val="both"/>
            </w:pPr>
            <w:r>
              <w:rPr>
                <w:sz w:val="20"/>
                <w:szCs w:val="20"/>
              </w:rPr>
              <w:t>¿Cuánto capital está disponible y aprobado para el proceso de internacionalización en el horizonte definido?</w:t>
            </w:r>
          </w:p>
        </w:tc>
        <w:tc>
          <w:tcPr>
            <w:tcW w:w="520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14" w14:textId="77777777" w:rsidR="004845BC" w:rsidRDefault="00000000">
            <w:pPr>
              <w:jc w:val="both"/>
            </w:pPr>
            <w:r>
              <w:rPr>
                <w:sz w:val="20"/>
                <w:szCs w:val="20"/>
              </w:rPr>
              <w:t>Define qué modos de entrada son factibles (</w:t>
            </w:r>
            <w:proofErr w:type="spellStart"/>
            <w:r>
              <w:rPr>
                <w:sz w:val="20"/>
                <w:szCs w:val="20"/>
              </w:rPr>
              <w:t>greenfield</w:t>
            </w:r>
            <w:proofErr w:type="spellEnd"/>
            <w:r>
              <w:rPr>
                <w:sz w:val="20"/>
                <w:szCs w:val="20"/>
              </w:rPr>
              <w:t>, adquisición, digital sin presencia física) y qué tamaño mínimo de mercado justifica la inversión.</w:t>
            </w:r>
          </w:p>
        </w:tc>
      </w:tr>
      <w:tr w:rsidR="004845BC" w14:paraId="631D9C19" w14:textId="77777777">
        <w:tc>
          <w:tcPr>
            <w:tcW w:w="320" w:type="dxa"/>
            <w:tcBorders>
              <w:top w:val="single" w:sz="1" w:space="0" w:color="D0D5DB"/>
              <w:left w:val="single" w:sz="1" w:space="0" w:color="D0D5DB"/>
              <w:bottom w:val="single" w:sz="1" w:space="0" w:color="D0D5DB"/>
              <w:right w:val="single" w:sz="1" w:space="0" w:color="D0D5DB"/>
            </w:tcBorders>
            <w:shd w:val="clear" w:color="auto" w:fill="F2F4F6"/>
            <w:tcMar>
              <w:top w:w="80" w:type="dxa"/>
              <w:left w:w="120" w:type="dxa"/>
              <w:bottom w:w="80" w:type="dxa"/>
              <w:right w:w="120" w:type="dxa"/>
            </w:tcMar>
          </w:tcPr>
          <w:p w14:paraId="631D9C16" w14:textId="77777777" w:rsidR="004845BC" w:rsidRDefault="00000000">
            <w:r>
              <w:rPr>
                <w:b/>
                <w:bCs/>
                <w:color w:val="1B4D6E"/>
                <w:sz w:val="20"/>
                <w:szCs w:val="20"/>
              </w:rPr>
              <w:t>5</w:t>
            </w:r>
          </w:p>
        </w:tc>
        <w:tc>
          <w:tcPr>
            <w:tcW w:w="384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17" w14:textId="77777777" w:rsidR="004845BC" w:rsidRDefault="00000000">
            <w:pPr>
              <w:jc w:val="both"/>
            </w:pPr>
            <w:r>
              <w:rPr>
                <w:sz w:val="20"/>
                <w:szCs w:val="20"/>
              </w:rPr>
              <w:t>¿El modelo de negocio para exportar es sustancialmente el mismo que en Colombia, o se adapta al mercado?</w:t>
            </w:r>
          </w:p>
        </w:tc>
        <w:tc>
          <w:tcPr>
            <w:tcW w:w="520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18" w14:textId="77777777" w:rsidR="004845BC" w:rsidRDefault="00000000">
            <w:pPr>
              <w:jc w:val="both"/>
            </w:pPr>
            <w:r>
              <w:rPr>
                <w:sz w:val="20"/>
                <w:szCs w:val="20"/>
              </w:rPr>
              <w:t>Determina el peso de las variables de similitud con Colombia en el modelo. Una empresa que exporta exactamente el mismo producto prioriza mercados similares; una que adapta su propuesta puede entrar a mercados más distantes.</w:t>
            </w:r>
          </w:p>
        </w:tc>
      </w:tr>
      <w:tr w:rsidR="004845BC" w14:paraId="631D9C1D" w14:textId="77777777">
        <w:tc>
          <w:tcPr>
            <w:tcW w:w="320" w:type="dxa"/>
            <w:tcBorders>
              <w:top w:val="single" w:sz="1" w:space="0" w:color="D0D5DB"/>
              <w:left w:val="single" w:sz="1" w:space="0" w:color="D0D5DB"/>
              <w:bottom w:val="single" w:sz="1" w:space="0" w:color="D0D5DB"/>
              <w:right w:val="single" w:sz="1" w:space="0" w:color="D0D5DB"/>
            </w:tcBorders>
            <w:shd w:val="clear" w:color="auto" w:fill="F2F4F6"/>
            <w:tcMar>
              <w:top w:w="80" w:type="dxa"/>
              <w:left w:w="120" w:type="dxa"/>
              <w:bottom w:w="80" w:type="dxa"/>
              <w:right w:w="120" w:type="dxa"/>
            </w:tcMar>
          </w:tcPr>
          <w:p w14:paraId="631D9C1A" w14:textId="77777777" w:rsidR="004845BC" w:rsidRDefault="00000000">
            <w:r>
              <w:rPr>
                <w:b/>
                <w:bCs/>
                <w:color w:val="1B4D6E"/>
                <w:sz w:val="20"/>
                <w:szCs w:val="20"/>
              </w:rPr>
              <w:t>6</w:t>
            </w:r>
          </w:p>
        </w:tc>
        <w:tc>
          <w:tcPr>
            <w:tcW w:w="384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1B" w14:textId="77777777" w:rsidR="004845BC" w:rsidRDefault="00000000">
            <w:pPr>
              <w:jc w:val="both"/>
            </w:pPr>
            <w:r>
              <w:rPr>
                <w:sz w:val="20"/>
                <w:szCs w:val="20"/>
              </w:rPr>
              <w:t xml:space="preserve">¿Qué ventaja competitiva tiene </w:t>
            </w:r>
            <w:proofErr w:type="spellStart"/>
            <w:r>
              <w:rPr>
                <w:sz w:val="20"/>
                <w:szCs w:val="20"/>
              </w:rPr>
              <w:t>Cibest</w:t>
            </w:r>
            <w:proofErr w:type="spellEnd"/>
            <w:r>
              <w:rPr>
                <w:sz w:val="20"/>
                <w:szCs w:val="20"/>
              </w:rPr>
              <w:t xml:space="preserve"> que los incumbentes locales de los mercados candidatos no tienen?</w:t>
            </w:r>
          </w:p>
        </w:tc>
        <w:tc>
          <w:tcPr>
            <w:tcW w:w="520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1C" w14:textId="77777777" w:rsidR="004845BC" w:rsidRDefault="00000000">
            <w:pPr>
              <w:jc w:val="both"/>
            </w:pPr>
            <w:r>
              <w:rPr>
                <w:sz w:val="20"/>
                <w:szCs w:val="20"/>
              </w:rPr>
              <w:t xml:space="preserve">Esta pregunta activa el diagnóstico OLI de la Sección 2.1. La respuesta varía por </w:t>
            </w:r>
            <w:proofErr w:type="gramStart"/>
            <w:r>
              <w:rPr>
                <w:sz w:val="20"/>
                <w:szCs w:val="20"/>
              </w:rPr>
              <w:t>línea</w:t>
            </w:r>
            <w:proofErr w:type="gramEnd"/>
            <w:r>
              <w:rPr>
                <w:sz w:val="20"/>
                <w:szCs w:val="20"/>
              </w:rPr>
              <w:t xml:space="preserve"> de negocio y debe ser específica: no es suficiente responder 'tecnología' — ¿qué tecnología, </w:t>
            </w:r>
            <w:proofErr w:type="gramStart"/>
            <w:r>
              <w:rPr>
                <w:sz w:val="20"/>
                <w:szCs w:val="20"/>
              </w:rPr>
              <w:t>cómo es superior, en qué dimensión del servicio?</w:t>
            </w:r>
            <w:proofErr w:type="gramEnd"/>
          </w:p>
        </w:tc>
      </w:tr>
      <w:tr w:rsidR="004845BC" w14:paraId="631D9C21" w14:textId="77777777">
        <w:tc>
          <w:tcPr>
            <w:tcW w:w="320" w:type="dxa"/>
            <w:tcBorders>
              <w:top w:val="single" w:sz="1" w:space="0" w:color="D0D5DB"/>
              <w:left w:val="single" w:sz="1" w:space="0" w:color="D0D5DB"/>
              <w:bottom w:val="single" w:sz="1" w:space="0" w:color="D0D5DB"/>
              <w:right w:val="single" w:sz="1" w:space="0" w:color="D0D5DB"/>
            </w:tcBorders>
            <w:shd w:val="clear" w:color="auto" w:fill="F2F4F6"/>
            <w:tcMar>
              <w:top w:w="80" w:type="dxa"/>
              <w:left w:w="120" w:type="dxa"/>
              <w:bottom w:w="80" w:type="dxa"/>
              <w:right w:w="120" w:type="dxa"/>
            </w:tcMar>
          </w:tcPr>
          <w:p w14:paraId="631D9C1E" w14:textId="77777777" w:rsidR="004845BC" w:rsidRDefault="00000000">
            <w:r>
              <w:rPr>
                <w:b/>
                <w:bCs/>
                <w:color w:val="1B4D6E"/>
                <w:sz w:val="20"/>
                <w:szCs w:val="20"/>
              </w:rPr>
              <w:t>7</w:t>
            </w:r>
          </w:p>
        </w:tc>
        <w:tc>
          <w:tcPr>
            <w:tcW w:w="384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1F" w14:textId="77777777" w:rsidR="004845BC" w:rsidRDefault="00000000">
            <w:pPr>
              <w:jc w:val="both"/>
            </w:pPr>
            <w:r>
              <w:rPr>
                <w:sz w:val="20"/>
                <w:szCs w:val="20"/>
              </w:rPr>
              <w:t>¿Hay mercados que el Comité Ejecutivo ya tiene en mente como candidatos preferidos? ¿Por qué?</w:t>
            </w:r>
          </w:p>
        </w:tc>
        <w:tc>
          <w:tcPr>
            <w:tcW w:w="520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20" w14:textId="77777777" w:rsidR="004845BC" w:rsidRDefault="00000000">
            <w:pPr>
              <w:jc w:val="both"/>
            </w:pPr>
            <w:r>
              <w:rPr>
                <w:sz w:val="20"/>
                <w:szCs w:val="20"/>
              </w:rPr>
              <w:t>Esta pregunta no pretende validar las preferencias existentes sino hacerlas explícitas, de modo que puedan ser examinadas conscientemente en el proceso. Si la evidencia cuantitativa confirma esas preferencias, es una señal positiva; si las contradice, merece investigación adicional.</w:t>
            </w:r>
          </w:p>
        </w:tc>
      </w:tr>
    </w:tbl>
    <w:p w14:paraId="631D9C22" w14:textId="77777777" w:rsidR="004845BC" w:rsidRDefault="004845BC">
      <w:pPr>
        <w:spacing w:after="120"/>
      </w:pPr>
    </w:p>
    <w:p w14:paraId="091C8398" w14:textId="77777777" w:rsidR="00020041" w:rsidRDefault="00020041">
      <w:pPr>
        <w:spacing w:after="120"/>
      </w:pPr>
    </w:p>
    <w:p w14:paraId="631D9C23" w14:textId="77777777" w:rsidR="004845BC" w:rsidRDefault="00000000">
      <w:pPr>
        <w:pStyle w:val="Ttulo2"/>
        <w:pBdr>
          <w:bottom w:val="single" w:sz="4" w:space="4" w:color="E8B931"/>
        </w:pBdr>
      </w:pPr>
      <w:bookmarkStart w:id="22" w:name="_Toc232659571"/>
      <w:proofErr w:type="gramStart"/>
      <w:r>
        <w:lastRenderedPageBreak/>
        <w:t>3.3  Cómo</w:t>
      </w:r>
      <w:proofErr w:type="gramEnd"/>
      <w:r>
        <w:t xml:space="preserve"> el objetivo modifica el modelo cuantitativo RADAR </w:t>
      </w:r>
      <w:proofErr w:type="spellStart"/>
      <w:r>
        <w:t>Cibest</w:t>
      </w:r>
      <w:bookmarkEnd w:id="22"/>
      <w:proofErr w:type="spellEnd"/>
    </w:p>
    <w:p w14:paraId="631D9C24" w14:textId="77777777" w:rsidR="004845BC" w:rsidRDefault="00000000">
      <w:pPr>
        <w:spacing w:before="140" w:after="140" w:line="320" w:lineRule="auto"/>
        <w:jc w:val="both"/>
      </w:pPr>
      <w:r>
        <w:rPr>
          <w:color w:val="000000"/>
        </w:rPr>
        <w:t xml:space="preserve">Las respuestas del Comité Ejecutivo a las preguntas diagnósticas de la sección anterior no solo orientan el proceso general: modifican directamente la configuración técnica del modelo RADAR </w:t>
      </w:r>
      <w:proofErr w:type="spellStart"/>
      <w:r>
        <w:rPr>
          <w:color w:val="000000"/>
        </w:rPr>
        <w:t>Cibest</w:t>
      </w:r>
      <w:proofErr w:type="spellEnd"/>
      <w:r>
        <w:rPr>
          <w:color w:val="000000"/>
        </w:rPr>
        <w:t xml:space="preserve"> en cuatro dimensiones concretas. </w:t>
      </w:r>
      <w:r w:rsidRPr="00C83D10">
        <w:rPr>
          <w:color w:val="000000"/>
          <w:highlight w:val="yellow"/>
        </w:rPr>
        <w:t xml:space="preserve">Esta conexión entre el diálogo directivo y la configuración del modelo es la base técnica del argumento de por qué la ponderación de criterios en RADAR </w:t>
      </w:r>
      <w:proofErr w:type="spellStart"/>
      <w:r w:rsidRPr="00C83D10">
        <w:rPr>
          <w:color w:val="000000"/>
          <w:highlight w:val="yellow"/>
        </w:rPr>
        <w:t>Cibest</w:t>
      </w:r>
      <w:proofErr w:type="spellEnd"/>
      <w:r w:rsidRPr="00C83D10">
        <w:rPr>
          <w:color w:val="000000"/>
          <w:highlight w:val="yellow"/>
        </w:rPr>
        <w:t xml:space="preserve"> debe ser validada por la alta dirección y no definida unilateralmente por el equipo técnico.</w:t>
      </w:r>
    </w:p>
    <w:p w14:paraId="631D9C25" w14:textId="0F7AADDD" w:rsidR="004845BC" w:rsidRDefault="00000000">
      <w:pPr>
        <w:spacing w:before="140" w:after="140" w:line="320" w:lineRule="auto"/>
        <w:jc w:val="both"/>
      </w:pPr>
      <w:r>
        <w:rPr>
          <w:b/>
          <w:bCs/>
          <w:color w:val="000000"/>
        </w:rPr>
        <w:t xml:space="preserve">Primera dimensión — Pesos de las dimensiones del modelo: </w:t>
      </w:r>
      <w:r>
        <w:rPr>
          <w:color w:val="000000"/>
        </w:rPr>
        <w:t xml:space="preserve">El modelo RADAR </w:t>
      </w:r>
      <w:proofErr w:type="spellStart"/>
      <w:r>
        <w:rPr>
          <w:color w:val="000000"/>
        </w:rPr>
        <w:t>Cibest</w:t>
      </w:r>
      <w:proofErr w:type="spellEnd"/>
      <w:r>
        <w:rPr>
          <w:color w:val="000000"/>
        </w:rPr>
        <w:t xml:space="preserve"> asigna pesos a sus cinco dimensiones (Macroeconómica, Financiera, Institucional, Tecnológica y Proximidad) a través de un proceso de elicitación directiva</w:t>
      </w:r>
      <w:r w:rsidRPr="00F420F0">
        <w:rPr>
          <w:color w:val="000000"/>
          <w:highlight w:val="yellow"/>
        </w:rPr>
        <w:t xml:space="preserve">. Si el Comité declara un objetivo de escala de mercado, las variables de tamaño (PIB, población, volumen de crédito) en la Dimensión Macroeconómica y la Dimensión Financiera reciben mayor peso. Si el objetivo incluye diversificación de riesgo, la correlación macroeconómica con Colombia gana importancia. Si el objetivo principal es el corredor de remesas, la variable de salidas de colombianos al exterior en la Dimensión de Proximidad pasa a ser una variable de alta relevancia para la línea de </w:t>
      </w:r>
      <w:r w:rsidR="00907918" w:rsidRPr="00F420F0">
        <w:rPr>
          <w:color w:val="000000"/>
          <w:highlight w:val="yellow"/>
        </w:rPr>
        <w:t>Pagos y Flujos</w:t>
      </w:r>
      <w:r w:rsidRPr="00F420F0">
        <w:rPr>
          <w:color w:val="000000"/>
          <w:highlight w:val="yellow"/>
        </w:rPr>
        <w:t>.</w:t>
      </w:r>
    </w:p>
    <w:p w14:paraId="631D9C26" w14:textId="457B1D3A" w:rsidR="004845BC" w:rsidRDefault="00000000">
      <w:pPr>
        <w:spacing w:before="140" w:after="140" w:line="320" w:lineRule="auto"/>
        <w:jc w:val="both"/>
      </w:pPr>
      <w:r>
        <w:rPr>
          <w:b/>
          <w:bCs/>
          <w:color w:val="000000"/>
        </w:rPr>
        <w:t xml:space="preserve">Segunda dimensión — Relevancia diferencial por </w:t>
      </w:r>
      <w:proofErr w:type="gramStart"/>
      <w:r>
        <w:rPr>
          <w:b/>
          <w:bCs/>
          <w:color w:val="000000"/>
        </w:rPr>
        <w:t>línea</w:t>
      </w:r>
      <w:proofErr w:type="gramEnd"/>
      <w:r>
        <w:rPr>
          <w:b/>
          <w:bCs/>
          <w:color w:val="000000"/>
        </w:rPr>
        <w:t xml:space="preserve"> de negocio (código A/B): </w:t>
      </w:r>
      <w:r>
        <w:rPr>
          <w:color w:val="000000"/>
        </w:rPr>
        <w:t xml:space="preserve">El modelo RADAR aplica una codificación de relevancia a cada variable para cada línea de negocio: A (alta relevancia, la variable es específicamente diferenciadora para esa línea) o B (relevancia </w:t>
      </w:r>
      <w:proofErr w:type="spellStart"/>
      <w:r>
        <w:rPr>
          <w:color w:val="000000"/>
        </w:rPr>
        <w:t>bas</w:t>
      </w:r>
      <w:r w:rsidR="00A06246">
        <w:rPr>
          <w:color w:val="000000"/>
        </w:rPr>
        <w:t>ica</w:t>
      </w:r>
      <w:proofErr w:type="spellEnd"/>
      <w:r>
        <w:rPr>
          <w:color w:val="000000"/>
        </w:rPr>
        <w:t>, la variable es pertinente pero no diferenciadora). Si el Comité declara que CIB y Bancos Digitales lideran la internacionalización, las variables específicamente relevantes para esas líneas — capitalización bursátil, concentración bancaria, penetración de internet móvil — reciben codificación A para esas líneas, produciendo señales más sensibles y diferenciadas en el ranking.</w:t>
      </w:r>
    </w:p>
    <w:p w14:paraId="631D9C27" w14:textId="77777777" w:rsidR="004845BC" w:rsidRDefault="00000000">
      <w:pPr>
        <w:spacing w:before="140" w:after="140" w:line="320" w:lineRule="auto"/>
        <w:jc w:val="both"/>
      </w:pPr>
      <w:r>
        <w:rPr>
          <w:b/>
          <w:bCs/>
          <w:color w:val="000000"/>
        </w:rPr>
        <w:t xml:space="preserve">Tercera dimensión — Umbral del motor de reglas: </w:t>
      </w:r>
      <w:r>
        <w:rPr>
          <w:color w:val="000000"/>
        </w:rPr>
        <w:t xml:space="preserve">El motor de reglas de RADAR asigna categorías estratégicas a cada mercado (Prioritario, Atractivo con Riesgo, Oportunidad Especializada, En Monitoreo, No Prioritario) a partir de reglas deterministas configuradas por el equipo de estrategia. Si el Comité establece que el horizonte de inversión es de 3 a 5 años y que se busca rentabilidad en ese plazo, el umbral de clasificación como 'Prioritario' exige no solo score alto sino también bajo riesgo regulatorio y político — porque mercados con alto </w:t>
      </w:r>
      <w:proofErr w:type="gramStart"/>
      <w:r>
        <w:rPr>
          <w:color w:val="000000"/>
        </w:rPr>
        <w:t>potencial</w:t>
      </w:r>
      <w:proofErr w:type="gramEnd"/>
      <w:r>
        <w:rPr>
          <w:color w:val="000000"/>
        </w:rPr>
        <w:t xml:space="preserve"> pero proceso de licenciamiento superior a 4 años no califican como prioritarios para ese horizonte.</w:t>
      </w:r>
    </w:p>
    <w:p w14:paraId="631D9C28" w14:textId="77777777" w:rsidR="004845BC" w:rsidRDefault="00000000">
      <w:pPr>
        <w:spacing w:before="140" w:after="140" w:line="320" w:lineRule="auto"/>
        <w:jc w:val="both"/>
      </w:pPr>
      <w:r>
        <w:rPr>
          <w:b/>
          <w:bCs/>
          <w:color w:val="000000"/>
        </w:rPr>
        <w:t xml:space="preserve">Cuarta dimensión — Universo de mercados a evaluar: </w:t>
      </w:r>
      <w:r>
        <w:rPr>
          <w:color w:val="000000"/>
        </w:rPr>
        <w:t xml:space="preserve">Si el Comité declara explícitamente que no contempla entrar a Brasil o </w:t>
      </w:r>
      <w:proofErr w:type="gramStart"/>
      <w:r>
        <w:rPr>
          <w:color w:val="000000"/>
        </w:rPr>
        <w:t>EE.UU.</w:t>
      </w:r>
      <w:proofErr w:type="gramEnd"/>
      <w:r>
        <w:rPr>
          <w:color w:val="000000"/>
        </w:rPr>
        <w:t xml:space="preserve"> en el horizonte de la estrategia actual — por razones de capital, capacidad organizacional o complejidad regulatoria — esos mercados pueden ser excluidos del universo analítico de RADAR, simplificando el modelo y enfocando el análisis en </w:t>
      </w:r>
      <w:r>
        <w:rPr>
          <w:color w:val="000000"/>
        </w:rPr>
        <w:lastRenderedPageBreak/>
        <w:t xml:space="preserve">los mercados realmente relevantes para la decisión. </w:t>
      </w:r>
      <w:r w:rsidRPr="00C13F7B">
        <w:rPr>
          <w:color w:val="000000"/>
          <w:highlight w:val="yellow"/>
        </w:rPr>
        <w:t>Incluirlos en el análisis cuando ya están descartados estratégicamente solo agrega ruido al proceso.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5BC" w14:paraId="631D9C2B" w14:textId="77777777">
        <w:tc>
          <w:tcPr>
            <w:tcW w:w="9360" w:type="dxa"/>
            <w:tcBorders>
              <w:top w:val="single" w:sz="1" w:space="0" w:color="D0D5DB"/>
              <w:left w:val="single" w:sz="1" w:space="0" w:color="D0D5DB"/>
              <w:bottom w:val="single" w:sz="1" w:space="0" w:color="D0D5DB"/>
              <w:right w:val="single" w:sz="1" w:space="0" w:color="D0D5DB"/>
            </w:tcBorders>
            <w:shd w:val="clear" w:color="auto" w:fill="EBF3FB"/>
            <w:tcMar>
              <w:top w:w="140" w:type="dxa"/>
              <w:left w:w="200" w:type="dxa"/>
              <w:bottom w:w="140" w:type="dxa"/>
              <w:right w:w="200" w:type="dxa"/>
            </w:tcMar>
          </w:tcPr>
          <w:p w14:paraId="631D9C29" w14:textId="77777777" w:rsidR="004845BC" w:rsidRDefault="00000000">
            <w:pPr>
              <w:spacing w:after="80"/>
            </w:pPr>
            <w:r>
              <w:rPr>
                <w:b/>
                <w:bCs/>
                <w:caps/>
                <w:color w:val="1B4D6E"/>
                <w:sz w:val="21"/>
                <w:szCs w:val="21"/>
              </w:rPr>
              <w:t>❓ Pregunta para el Comité Ejecutivo</w:t>
            </w:r>
          </w:p>
          <w:p w14:paraId="631D9C2A" w14:textId="105B2F38" w:rsidR="004845BC" w:rsidRDefault="00000000">
            <w:pPr>
              <w:jc w:val="both"/>
            </w:pPr>
            <w:r>
              <w:rPr>
                <w:color w:val="1A1A1A"/>
                <w:sz w:val="21"/>
                <w:szCs w:val="21"/>
              </w:rPr>
              <w:t xml:space="preserve">¿Está dispuesto el Comité a participar en una sesión de trabajo de </w:t>
            </w:r>
            <w:r w:rsidR="00803983">
              <w:rPr>
                <w:color w:val="1A1A1A"/>
                <w:sz w:val="21"/>
                <w:szCs w:val="21"/>
              </w:rPr>
              <w:t>1-</w:t>
            </w:r>
            <w:r>
              <w:rPr>
                <w:color w:val="1A1A1A"/>
                <w:sz w:val="21"/>
                <w:szCs w:val="21"/>
              </w:rPr>
              <w:t xml:space="preserve">2 horas dedicada exclusivamente a definir el objetivo de internacionalización, antes de ver ningún resultado del modelo cuantitativo? La solidez de todo el proceso SIM depende de esta sesión previa: un objetivo mal definido produce un análisis técnicamente </w:t>
            </w:r>
            <w:proofErr w:type="gramStart"/>
            <w:r>
              <w:rPr>
                <w:color w:val="1A1A1A"/>
                <w:sz w:val="21"/>
                <w:szCs w:val="21"/>
              </w:rPr>
              <w:t>correcto</w:t>
            </w:r>
            <w:proofErr w:type="gramEnd"/>
            <w:r>
              <w:rPr>
                <w:color w:val="1A1A1A"/>
                <w:sz w:val="21"/>
                <w:szCs w:val="21"/>
              </w:rPr>
              <w:t xml:space="preserve"> pero estratégicamente irrelevante.</w:t>
            </w:r>
          </w:p>
        </w:tc>
      </w:tr>
    </w:tbl>
    <w:p w14:paraId="631D9C2C" w14:textId="77777777" w:rsidR="004845BC" w:rsidRDefault="004845BC">
      <w:pPr>
        <w:spacing w:after="120"/>
      </w:pPr>
    </w:p>
    <w:p w14:paraId="631D9C2D" w14:textId="77777777" w:rsidR="004845BC" w:rsidRDefault="00000000">
      <w:pPr>
        <w:pStyle w:val="Ttulo2"/>
        <w:pBdr>
          <w:bottom w:val="single" w:sz="4" w:space="4" w:color="E8B931"/>
        </w:pBdr>
      </w:pPr>
      <w:bookmarkStart w:id="23" w:name="_Toc232659572"/>
      <w:proofErr w:type="gramStart"/>
      <w:r>
        <w:t>3.4  Entregables</w:t>
      </w:r>
      <w:proofErr w:type="gramEnd"/>
      <w:r>
        <w:t>, participantes y tiempo</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845BC" w14:paraId="631D9C30" w14:textId="77777777">
        <w:tc>
          <w:tcPr>
            <w:tcW w:w="2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20" w:type="dxa"/>
              <w:bottom w:w="80" w:type="dxa"/>
              <w:right w:w="120" w:type="dxa"/>
            </w:tcMar>
          </w:tcPr>
          <w:p w14:paraId="631D9C2E" w14:textId="77777777" w:rsidR="004845BC" w:rsidRDefault="00000000">
            <w:r>
              <w:rPr>
                <w:b/>
                <w:bCs/>
                <w:color w:val="FFFFFF"/>
                <w:sz w:val="21"/>
                <w:szCs w:val="21"/>
              </w:rPr>
              <w:t>Elemento</w:t>
            </w:r>
          </w:p>
        </w:tc>
        <w:tc>
          <w:tcPr>
            <w:tcW w:w="716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20" w:type="dxa"/>
              <w:bottom w:w="80" w:type="dxa"/>
              <w:right w:w="120" w:type="dxa"/>
            </w:tcMar>
          </w:tcPr>
          <w:p w14:paraId="631D9C2F" w14:textId="77777777" w:rsidR="004845BC" w:rsidRDefault="00000000">
            <w:r>
              <w:rPr>
                <w:b/>
                <w:bCs/>
                <w:color w:val="FFFFFF"/>
                <w:sz w:val="21"/>
                <w:szCs w:val="21"/>
              </w:rPr>
              <w:t>Descripción</w:t>
            </w:r>
          </w:p>
        </w:tc>
      </w:tr>
      <w:tr w:rsidR="004845BC" w14:paraId="631D9C33" w14:textId="77777777">
        <w:tc>
          <w:tcPr>
            <w:tcW w:w="2200" w:type="dxa"/>
            <w:tcBorders>
              <w:top w:val="single" w:sz="1" w:space="0" w:color="D0D5DB"/>
              <w:left w:val="single" w:sz="1" w:space="0" w:color="D0D5DB"/>
              <w:bottom w:val="single" w:sz="1" w:space="0" w:color="D0D5DB"/>
              <w:right w:val="single" w:sz="1" w:space="0" w:color="D0D5DB"/>
            </w:tcBorders>
            <w:shd w:val="clear" w:color="auto" w:fill="F2F4F6"/>
            <w:tcMar>
              <w:top w:w="80" w:type="dxa"/>
              <w:left w:w="120" w:type="dxa"/>
              <w:bottom w:w="80" w:type="dxa"/>
              <w:right w:w="120" w:type="dxa"/>
            </w:tcMar>
          </w:tcPr>
          <w:p w14:paraId="631D9C31" w14:textId="77777777" w:rsidR="004845BC" w:rsidRDefault="00000000">
            <w:r>
              <w:rPr>
                <w:b/>
                <w:bCs/>
                <w:color w:val="1B4D6E"/>
                <w:sz w:val="21"/>
                <w:szCs w:val="21"/>
              </w:rPr>
              <w:t>Entregable principal</w:t>
            </w:r>
          </w:p>
        </w:tc>
        <w:tc>
          <w:tcPr>
            <w:tcW w:w="716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32" w14:textId="77777777" w:rsidR="004845BC" w:rsidRDefault="00000000">
            <w:pPr>
              <w:jc w:val="both"/>
            </w:pPr>
            <w:r>
              <w:rPr>
                <w:sz w:val="21"/>
                <w:szCs w:val="21"/>
              </w:rPr>
              <w:t>Documento de Definición del Objetivo Estratégico de Internacionalización (DOEI): 2-3 páginas, aprobado formalmente por el Comité Ejecutivo. Declara: objetivo principal de internacionalización, objetivos secundarios, horizonte temporal, líneas de negocio priorizadas, capital disponible y criterios de éxito del proceso SIM.</w:t>
            </w:r>
          </w:p>
        </w:tc>
      </w:tr>
      <w:tr w:rsidR="004845BC" w14:paraId="631D9C36" w14:textId="77777777">
        <w:tc>
          <w:tcPr>
            <w:tcW w:w="2200" w:type="dxa"/>
            <w:tcBorders>
              <w:top w:val="single" w:sz="1" w:space="0" w:color="D0D5DB"/>
              <w:left w:val="single" w:sz="1" w:space="0" w:color="D0D5DB"/>
              <w:bottom w:val="single" w:sz="1" w:space="0" w:color="D0D5DB"/>
              <w:right w:val="single" w:sz="1" w:space="0" w:color="D0D5DB"/>
            </w:tcBorders>
            <w:shd w:val="clear" w:color="auto" w:fill="F2F4F6"/>
            <w:tcMar>
              <w:top w:w="80" w:type="dxa"/>
              <w:left w:w="120" w:type="dxa"/>
              <w:bottom w:w="80" w:type="dxa"/>
              <w:right w:w="120" w:type="dxa"/>
            </w:tcMar>
          </w:tcPr>
          <w:p w14:paraId="631D9C34" w14:textId="77777777" w:rsidR="004845BC" w:rsidRDefault="00000000">
            <w:r>
              <w:rPr>
                <w:b/>
                <w:bCs/>
                <w:color w:val="1B4D6E"/>
                <w:sz w:val="21"/>
                <w:szCs w:val="21"/>
              </w:rPr>
              <w:t>Entregable complementario</w:t>
            </w:r>
          </w:p>
        </w:tc>
        <w:tc>
          <w:tcPr>
            <w:tcW w:w="716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35" w14:textId="77777777" w:rsidR="004845BC" w:rsidRDefault="00000000">
            <w:pPr>
              <w:jc w:val="both"/>
            </w:pPr>
            <w:r>
              <w:rPr>
                <w:sz w:val="21"/>
                <w:szCs w:val="21"/>
              </w:rPr>
              <w:t>Acta de la sesión de trabajo con el Comité Ejecutivo, registrando las respuestas a las preguntas diagnósticas, los consensos y los disensos relevantes, y los supuestos que orientaron las respuestas del Comité.</w:t>
            </w:r>
          </w:p>
        </w:tc>
      </w:tr>
      <w:tr w:rsidR="004845BC" w14:paraId="631D9C39" w14:textId="77777777">
        <w:tc>
          <w:tcPr>
            <w:tcW w:w="2200" w:type="dxa"/>
            <w:tcBorders>
              <w:top w:val="single" w:sz="1" w:space="0" w:color="D0D5DB"/>
              <w:left w:val="single" w:sz="1" w:space="0" w:color="D0D5DB"/>
              <w:bottom w:val="single" w:sz="1" w:space="0" w:color="D0D5DB"/>
              <w:right w:val="single" w:sz="1" w:space="0" w:color="D0D5DB"/>
            </w:tcBorders>
            <w:shd w:val="clear" w:color="auto" w:fill="F2F4F6"/>
            <w:tcMar>
              <w:top w:w="80" w:type="dxa"/>
              <w:left w:w="120" w:type="dxa"/>
              <w:bottom w:w="80" w:type="dxa"/>
              <w:right w:w="120" w:type="dxa"/>
            </w:tcMar>
          </w:tcPr>
          <w:p w14:paraId="631D9C37" w14:textId="77777777" w:rsidR="004845BC" w:rsidRDefault="00000000">
            <w:r>
              <w:rPr>
                <w:b/>
                <w:bCs/>
                <w:color w:val="1B4D6E"/>
                <w:sz w:val="21"/>
                <w:szCs w:val="21"/>
              </w:rPr>
              <w:t xml:space="preserve">Input para RADAR </w:t>
            </w:r>
            <w:proofErr w:type="spellStart"/>
            <w:r>
              <w:rPr>
                <w:b/>
                <w:bCs/>
                <w:color w:val="1B4D6E"/>
                <w:sz w:val="21"/>
                <w:szCs w:val="21"/>
              </w:rPr>
              <w:t>Cibest</w:t>
            </w:r>
            <w:proofErr w:type="spellEnd"/>
          </w:p>
        </w:tc>
        <w:tc>
          <w:tcPr>
            <w:tcW w:w="716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38" w14:textId="77777777" w:rsidR="004845BC" w:rsidRDefault="00000000">
            <w:pPr>
              <w:jc w:val="both"/>
            </w:pPr>
            <w:r>
              <w:rPr>
                <w:sz w:val="21"/>
                <w:szCs w:val="21"/>
              </w:rPr>
              <w:t>El DOEI aprobado configura directamente: (1) los pesos de elicitación directiva del modelo, (2) los umbrales del motor de reglas de clasificación, (3) la selección del universo de mercados a evaluar, y (4) la priorización de líneas de negocio para la codificación A/B de relevancia variable.</w:t>
            </w:r>
          </w:p>
        </w:tc>
      </w:tr>
      <w:tr w:rsidR="004845BC" w14:paraId="631D9C3C" w14:textId="77777777">
        <w:tc>
          <w:tcPr>
            <w:tcW w:w="2200" w:type="dxa"/>
            <w:tcBorders>
              <w:top w:val="single" w:sz="1" w:space="0" w:color="D0D5DB"/>
              <w:left w:val="single" w:sz="1" w:space="0" w:color="D0D5DB"/>
              <w:bottom w:val="single" w:sz="1" w:space="0" w:color="D0D5DB"/>
              <w:right w:val="single" w:sz="1" w:space="0" w:color="D0D5DB"/>
            </w:tcBorders>
            <w:shd w:val="clear" w:color="auto" w:fill="F2F4F6"/>
            <w:tcMar>
              <w:top w:w="80" w:type="dxa"/>
              <w:left w:w="120" w:type="dxa"/>
              <w:bottom w:w="80" w:type="dxa"/>
              <w:right w:w="120" w:type="dxa"/>
            </w:tcMar>
          </w:tcPr>
          <w:p w14:paraId="631D9C3A" w14:textId="77777777" w:rsidR="004845BC" w:rsidRDefault="00000000">
            <w:r>
              <w:rPr>
                <w:b/>
                <w:bCs/>
                <w:color w:val="1B4D6E"/>
                <w:sz w:val="21"/>
                <w:szCs w:val="21"/>
              </w:rPr>
              <w:t>Participantes</w:t>
            </w:r>
          </w:p>
        </w:tc>
        <w:tc>
          <w:tcPr>
            <w:tcW w:w="716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3B" w14:textId="22E2E753" w:rsidR="004845BC" w:rsidRDefault="00000000">
            <w:pPr>
              <w:jc w:val="both"/>
            </w:pPr>
            <w:r>
              <w:rPr>
                <w:sz w:val="21"/>
                <w:szCs w:val="21"/>
              </w:rPr>
              <w:t xml:space="preserve">Decisores: Comité Ejecutivo (CEO, CFO, líderes de líneas de negocio priorizadas). Facilitadores: </w:t>
            </w:r>
            <w:proofErr w:type="gramStart"/>
            <w:r>
              <w:rPr>
                <w:sz w:val="21"/>
                <w:szCs w:val="21"/>
              </w:rPr>
              <w:t>Director</w:t>
            </w:r>
            <w:proofErr w:type="gramEnd"/>
            <w:r>
              <w:rPr>
                <w:sz w:val="21"/>
                <w:szCs w:val="21"/>
              </w:rPr>
              <w:t xml:space="preserve"> de Estrategia Corporativa. Aprobador del documento: </w:t>
            </w:r>
            <w:proofErr w:type="gramStart"/>
            <w:r>
              <w:rPr>
                <w:sz w:val="21"/>
                <w:szCs w:val="21"/>
              </w:rPr>
              <w:t>Director</w:t>
            </w:r>
            <w:proofErr w:type="gramEnd"/>
            <w:r>
              <w:rPr>
                <w:sz w:val="21"/>
                <w:szCs w:val="21"/>
              </w:rPr>
              <w:t xml:space="preserve"> de Estrategia Corporativa, con ratificación del Comité Ejecutivo.</w:t>
            </w:r>
          </w:p>
        </w:tc>
      </w:tr>
      <w:tr w:rsidR="004845BC" w14:paraId="631D9C3F" w14:textId="77777777">
        <w:tc>
          <w:tcPr>
            <w:tcW w:w="2200" w:type="dxa"/>
            <w:tcBorders>
              <w:top w:val="single" w:sz="1" w:space="0" w:color="D0D5DB"/>
              <w:left w:val="single" w:sz="1" w:space="0" w:color="D0D5DB"/>
              <w:bottom w:val="single" w:sz="1" w:space="0" w:color="D0D5DB"/>
              <w:right w:val="single" w:sz="1" w:space="0" w:color="D0D5DB"/>
            </w:tcBorders>
            <w:shd w:val="clear" w:color="auto" w:fill="F2F4F6"/>
            <w:tcMar>
              <w:top w:w="80" w:type="dxa"/>
              <w:left w:w="120" w:type="dxa"/>
              <w:bottom w:w="80" w:type="dxa"/>
              <w:right w:w="120" w:type="dxa"/>
            </w:tcMar>
          </w:tcPr>
          <w:p w14:paraId="631D9C3D" w14:textId="77777777" w:rsidR="004845BC" w:rsidRDefault="00000000">
            <w:r>
              <w:rPr>
                <w:b/>
                <w:bCs/>
                <w:color w:val="1B4D6E"/>
                <w:sz w:val="21"/>
                <w:szCs w:val="21"/>
              </w:rPr>
              <w:t>Tiempo estimado</w:t>
            </w:r>
          </w:p>
        </w:tc>
        <w:tc>
          <w:tcPr>
            <w:tcW w:w="7160" w:type="dxa"/>
            <w:tcBorders>
              <w:top w:val="single" w:sz="1" w:space="0" w:color="D0D5DB"/>
              <w:left w:val="single" w:sz="1" w:space="0" w:color="D0D5DB"/>
              <w:bottom w:val="single" w:sz="1" w:space="0" w:color="D0D5DB"/>
              <w:right w:val="single" w:sz="1" w:space="0" w:color="D0D5DB"/>
            </w:tcBorders>
            <w:tcMar>
              <w:top w:w="80" w:type="dxa"/>
              <w:left w:w="120" w:type="dxa"/>
              <w:bottom w:w="80" w:type="dxa"/>
              <w:right w:w="120" w:type="dxa"/>
            </w:tcMar>
          </w:tcPr>
          <w:p w14:paraId="631D9C3E" w14:textId="77777777" w:rsidR="004845BC" w:rsidRDefault="00000000">
            <w:pPr>
              <w:jc w:val="both"/>
            </w:pPr>
            <w:r>
              <w:rPr>
                <w:sz w:val="21"/>
                <w:szCs w:val="21"/>
              </w:rPr>
              <w:t>2 a 3 semanas: 3-4 días de preparación del material de facilitación por el equipo de Estrategia, 1 sesión de trabajo de 2-3 horas con el Comité, 3-5 días de síntesis y redacción del DOEI, 1 sesión de revisión y aprobación del DOEI (puede hacerse en el mismo Comité de la siguiente semana).</w:t>
            </w:r>
          </w:p>
        </w:tc>
      </w:tr>
    </w:tbl>
    <w:p w14:paraId="631D9C40" w14:textId="77777777" w:rsidR="004845BC" w:rsidRDefault="004845B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45BC" w14:paraId="631D9C43" w14:textId="77777777">
        <w:tc>
          <w:tcPr>
            <w:tcW w:w="9360" w:type="dxa"/>
            <w:tcBorders>
              <w:top w:val="single" w:sz="1" w:space="0" w:color="D0D5DB"/>
              <w:left w:val="single" w:sz="1" w:space="0" w:color="D0D5DB"/>
              <w:bottom w:val="single" w:sz="1" w:space="0" w:color="D0D5DB"/>
              <w:right w:val="single" w:sz="1" w:space="0" w:color="D0D5DB"/>
            </w:tcBorders>
            <w:shd w:val="clear" w:color="auto" w:fill="FFF8E7"/>
            <w:tcMar>
              <w:top w:w="140" w:type="dxa"/>
              <w:left w:w="200" w:type="dxa"/>
              <w:bottom w:w="140" w:type="dxa"/>
              <w:right w:w="200" w:type="dxa"/>
            </w:tcMar>
          </w:tcPr>
          <w:p w14:paraId="631D9C41" w14:textId="7F856EFC" w:rsidR="004845BC" w:rsidRDefault="00000000">
            <w:pPr>
              <w:spacing w:after="80"/>
            </w:pPr>
            <w:r>
              <w:rPr>
                <w:b/>
                <w:bCs/>
                <w:caps/>
                <w:color w:val="7D4800"/>
                <w:sz w:val="21"/>
                <w:szCs w:val="21"/>
              </w:rPr>
              <w:t>⚠ Limitación</w:t>
            </w:r>
          </w:p>
          <w:p w14:paraId="631D9C42" w14:textId="77777777" w:rsidR="004845BC" w:rsidRDefault="00000000">
            <w:pPr>
              <w:jc w:val="both"/>
            </w:pPr>
            <w:r>
              <w:rPr>
                <w:color w:val="1A1A1A"/>
                <w:sz w:val="21"/>
                <w:szCs w:val="21"/>
              </w:rPr>
              <w:t xml:space="preserve">Punto de no retorno metodológico: El proceso de selección de mercados SOLO puede avanzar a la Fase 2 (Screening primario) y a la Fase 3 (RADAR </w:t>
            </w:r>
            <w:proofErr w:type="spellStart"/>
            <w:r>
              <w:rPr>
                <w:color w:val="1A1A1A"/>
                <w:sz w:val="21"/>
                <w:szCs w:val="21"/>
              </w:rPr>
              <w:t>Cibest</w:t>
            </w:r>
            <w:proofErr w:type="spellEnd"/>
            <w:r>
              <w:rPr>
                <w:color w:val="1A1A1A"/>
                <w:sz w:val="21"/>
                <w:szCs w:val="21"/>
              </w:rPr>
              <w:t>) cuando el Documento de Definición del Objetivo Estratégico de Internacionalización (DOEI) haya sido formalmente aprobado por el Comité Ejecutivo. Avanzar sin ese documento equivale a construir el análisis cuantitativo sobre supuestos no validados por la dirección, con el riesgo de que el proceso completo deba rehacerse cuando el Comité revele preferencias estratégicas distintas de las asumidas por el equipo técnico.</w:t>
            </w:r>
          </w:p>
        </w:tc>
      </w:tr>
    </w:tbl>
    <w:p w14:paraId="631D9C44" w14:textId="77777777" w:rsidR="004845BC" w:rsidRDefault="004845BC">
      <w:pPr>
        <w:spacing w:after="240"/>
      </w:pPr>
    </w:p>
    <w:p w14:paraId="631D9C45" w14:textId="12E5C450" w:rsidR="004845BC" w:rsidRDefault="00000000">
      <w:pPr>
        <w:spacing w:before="240" w:after="60"/>
        <w:jc w:val="center"/>
      </w:pPr>
      <w:r>
        <w:rPr>
          <w:i/>
          <w:iCs/>
          <w:color w:val="888888"/>
          <w:sz w:val="18"/>
          <w:szCs w:val="18"/>
        </w:rPr>
        <w:lastRenderedPageBreak/>
        <w:t xml:space="preserve">— Fin de las Secciones 0 a </w:t>
      </w:r>
      <w:proofErr w:type="gramStart"/>
      <w:r>
        <w:rPr>
          <w:i/>
          <w:iCs/>
          <w:color w:val="888888"/>
          <w:sz w:val="18"/>
          <w:szCs w:val="18"/>
        </w:rPr>
        <w:t>3  —</w:t>
      </w:r>
      <w:proofErr w:type="gramEnd"/>
    </w:p>
    <w:p w14:paraId="631D9C46" w14:textId="075B8AEA" w:rsidR="004845BC" w:rsidRDefault="00000000">
      <w:pPr>
        <w:spacing w:after="240"/>
        <w:jc w:val="center"/>
        <w:rPr>
          <w:i/>
          <w:iCs/>
          <w:color w:val="888888"/>
          <w:sz w:val="18"/>
          <w:szCs w:val="18"/>
        </w:rPr>
      </w:pPr>
      <w:r>
        <w:rPr>
          <w:i/>
          <w:iCs/>
          <w:color w:val="888888"/>
          <w:sz w:val="18"/>
          <w:szCs w:val="18"/>
        </w:rPr>
        <w:t xml:space="preserve">Próximas secciones: Sección 4 — Fase 2: Screening Primario y </w:t>
      </w:r>
      <w:proofErr w:type="gramStart"/>
      <w:r>
        <w:rPr>
          <w:i/>
          <w:iCs/>
          <w:color w:val="888888"/>
          <w:sz w:val="18"/>
          <w:szCs w:val="18"/>
        </w:rPr>
        <w:t>Exclusiones  |</w:t>
      </w:r>
      <w:proofErr w:type="gramEnd"/>
      <w:r>
        <w:rPr>
          <w:i/>
          <w:iCs/>
          <w:color w:val="888888"/>
          <w:sz w:val="18"/>
          <w:szCs w:val="18"/>
        </w:rPr>
        <w:t xml:space="preserve">  Sección 5 — Fase 3: Modelo Cuantitativo RADAR </w:t>
      </w:r>
      <w:proofErr w:type="spellStart"/>
      <w:proofErr w:type="gramStart"/>
      <w:r>
        <w:rPr>
          <w:i/>
          <w:iCs/>
          <w:color w:val="888888"/>
          <w:sz w:val="18"/>
          <w:szCs w:val="18"/>
        </w:rPr>
        <w:t>Cibest</w:t>
      </w:r>
      <w:proofErr w:type="spellEnd"/>
      <w:r>
        <w:rPr>
          <w:i/>
          <w:iCs/>
          <w:color w:val="888888"/>
          <w:sz w:val="18"/>
          <w:szCs w:val="18"/>
        </w:rPr>
        <w:t xml:space="preserve">  |</w:t>
      </w:r>
      <w:proofErr w:type="gramEnd"/>
      <w:r>
        <w:rPr>
          <w:i/>
          <w:iCs/>
          <w:color w:val="888888"/>
          <w:sz w:val="18"/>
          <w:szCs w:val="18"/>
        </w:rPr>
        <w:t xml:space="preserve">  Sección 6 — Fase 4: Inteligencia Cualitativa</w:t>
      </w:r>
    </w:p>
    <w:p w14:paraId="52C03F7A" w14:textId="5D7E3EC4" w:rsidR="00933177" w:rsidRDefault="00933177" w:rsidP="00933177">
      <w:pPr>
        <w:spacing w:after="80"/>
        <w:jc w:val="center"/>
      </w:pPr>
      <w:r>
        <w:rPr>
          <w:caps/>
          <w:color w:val="888888"/>
          <w:sz w:val="18"/>
          <w:szCs w:val="18"/>
        </w:rPr>
        <w:t xml:space="preserve">RADAR CIBEST — </w:t>
      </w:r>
      <w:r w:rsidR="00AA01B4">
        <w:rPr>
          <w:caps/>
          <w:color w:val="888888"/>
          <w:sz w:val="18"/>
          <w:szCs w:val="18"/>
        </w:rPr>
        <w:t>DOCUMENTO</w:t>
      </w:r>
      <w:r>
        <w:rPr>
          <w:caps/>
          <w:color w:val="888888"/>
          <w:sz w:val="18"/>
          <w:szCs w:val="18"/>
        </w:rPr>
        <w:t xml:space="preserve"> | SECCIONES 4 A 6</w:t>
      </w:r>
    </w:p>
    <w:p w14:paraId="34501D5D" w14:textId="77777777" w:rsidR="00933177" w:rsidRDefault="00933177" w:rsidP="00933177">
      <w:pPr>
        <w:pBdr>
          <w:bottom w:val="single" w:sz="6" w:space="1" w:color="E8B931"/>
        </w:pBdr>
        <w:spacing w:after="300"/>
      </w:pPr>
    </w:p>
    <w:p w14:paraId="00833DCC" w14:textId="77777777" w:rsidR="00933177" w:rsidRPr="00A56D47" w:rsidRDefault="00933177" w:rsidP="00933177">
      <w:pPr>
        <w:pStyle w:val="Ttulo1"/>
        <w:ind w:left="200" w:right="200"/>
        <w:rPr>
          <w:color w:val="auto"/>
        </w:rPr>
      </w:pPr>
      <w:bookmarkStart w:id="24" w:name="_Toc232659573"/>
      <w:r w:rsidRPr="00A56D47">
        <w:rPr>
          <w:color w:val="auto"/>
        </w:rPr>
        <w:t>Sección 4 — Fase 2: Definición del Universo de Mercados y Criterios de Exclusión Inicial (Screening Primario)</w:t>
      </w:r>
      <w:bookmarkEnd w:id="24"/>
    </w:p>
    <w:p w14:paraId="45E679C0" w14:textId="77777777" w:rsidR="00933177" w:rsidRDefault="00933177" w:rsidP="00933177">
      <w:pPr>
        <w:spacing w:after="100"/>
      </w:pPr>
    </w:p>
    <w:p w14:paraId="35D98EE6" w14:textId="77777777" w:rsidR="00933177" w:rsidRDefault="00933177" w:rsidP="00933177">
      <w:pPr>
        <w:spacing w:before="140" w:after="140" w:line="320" w:lineRule="auto"/>
        <w:jc w:val="both"/>
      </w:pPr>
      <w:r>
        <w:rPr>
          <w:color w:val="111111"/>
        </w:rPr>
        <w:t xml:space="preserve">El screening primario es la frontera entre el universo declarado de mercados candidatos y el universo real de mercados que tiene sentido analizar con rigor cuantitativo. Para Grupo </w:t>
      </w:r>
      <w:proofErr w:type="spellStart"/>
      <w:r>
        <w:rPr>
          <w:color w:val="111111"/>
        </w:rPr>
        <w:t>Cibest</w:t>
      </w:r>
      <w:proofErr w:type="spellEnd"/>
      <w:r>
        <w:rPr>
          <w:color w:val="111111"/>
        </w:rPr>
        <w:t xml:space="preserve">, el universo declarado en su estrategia corporativa comprende los países de América —Norte, Centro, Sur y Caribe— y España: un conjunto de aproximadamente treinta y cinco a cuarenta economías de naturaleza radicalmente heterogénea en tamaño, estabilidad institucional, desarrollo financiero y viabilidad regulatoria. Antes de que el modelo RADAR </w:t>
      </w:r>
      <w:proofErr w:type="spellStart"/>
      <w:r>
        <w:rPr>
          <w:color w:val="111111"/>
        </w:rPr>
        <w:t>Cibest</w:t>
      </w:r>
      <w:proofErr w:type="spellEnd"/>
      <w:r>
        <w:rPr>
          <w:color w:val="111111"/>
        </w:rPr>
        <w:t xml:space="preserve"> evalúe cualquiera de esos mercados, el proceso debe eliminar aquellos que son inviables por condiciones que ningún modelo cuantitativo puede superar, y debe identificar los que presentan barreras regulatorias que condicionan la viabilidad de cada línea de negocio específica de </w:t>
      </w:r>
      <w:proofErr w:type="spellStart"/>
      <w:r>
        <w:rPr>
          <w:color w:val="111111"/>
        </w:rPr>
        <w:t>Cibest</w:t>
      </w:r>
      <w:proofErr w:type="spellEnd"/>
      <w:r>
        <w:rPr>
          <w:color w:val="111111"/>
        </w:rPr>
        <w:t>. Esta fase le ahorra al equipo semanas de análisis de datos sobre mercados que ya están descartados por razones de primer principio.</w:t>
      </w:r>
    </w:p>
    <w:p w14:paraId="764BCBD1" w14:textId="77777777" w:rsidR="00933177" w:rsidRDefault="00933177" w:rsidP="00933177">
      <w:pPr>
        <w:spacing w:before="140" w:after="140" w:line="320" w:lineRule="auto"/>
        <w:jc w:val="both"/>
      </w:pPr>
      <w:r>
        <w:rPr>
          <w:color w:val="111111"/>
        </w:rPr>
        <w:t xml:space="preserve">El marco metodológico del screening primario se apoya en la tradición de la selección internacional de mercados por eliminación secuencial, desarrollada formalmente por Root (1994) en </w:t>
      </w:r>
      <w:proofErr w:type="spellStart"/>
      <w:r>
        <w:rPr>
          <w:color w:val="111111"/>
        </w:rPr>
        <w:t>Entry</w:t>
      </w:r>
      <w:proofErr w:type="spellEnd"/>
      <w:r>
        <w:rPr>
          <w:color w:val="111111"/>
        </w:rPr>
        <w:t xml:space="preserve"> </w:t>
      </w:r>
      <w:proofErr w:type="spellStart"/>
      <w:r>
        <w:rPr>
          <w:color w:val="111111"/>
        </w:rPr>
        <w:t>Strategies</w:t>
      </w:r>
      <w:proofErr w:type="spellEnd"/>
      <w:r>
        <w:rPr>
          <w:color w:val="111111"/>
        </w:rPr>
        <w:t xml:space="preserve"> </w:t>
      </w:r>
      <w:proofErr w:type="spellStart"/>
      <w:r>
        <w:rPr>
          <w:color w:val="111111"/>
        </w:rPr>
        <w:t>for</w:t>
      </w:r>
      <w:proofErr w:type="spellEnd"/>
      <w:r>
        <w:rPr>
          <w:color w:val="111111"/>
        </w:rPr>
        <w:t xml:space="preserve"> International </w:t>
      </w:r>
      <w:proofErr w:type="spellStart"/>
      <w:r>
        <w:rPr>
          <w:color w:val="111111"/>
        </w:rPr>
        <w:t>Markets</w:t>
      </w:r>
      <w:proofErr w:type="spellEnd"/>
      <w:r>
        <w:rPr>
          <w:color w:val="111111"/>
        </w:rPr>
        <w:t xml:space="preserve"> — la referencia canónica de la disciplina. Root propone que la selección de mercados más eficiente parte de un universo amplio y lo reduce progresivamente mediante filtros de complejidad y costo de información creciente: primero los filtros que se resuelven con datos públicos (exclusiones absolutas), después los que requieren investigación básica (viabilidad regulatoria), y solo entonces el análisis profundo con modelos cuantitativos. Este principio es el que estructura la secuencia de Fases 2, 3 y 4 del proceso SIM de </w:t>
      </w:r>
      <w:proofErr w:type="spellStart"/>
      <w:r>
        <w:rPr>
          <w:color w:val="111111"/>
        </w:rPr>
        <w:t>Cibest</w:t>
      </w:r>
      <w:proofErr w:type="spellEnd"/>
      <w:r>
        <w:rPr>
          <w:color w:val="111111"/>
        </w:rPr>
        <w:t xml:space="preserve">. Las referencias complementarias incluyen: Douglas, S.P. &amp; Craig, C.S. (1992). </w:t>
      </w:r>
      <w:proofErr w:type="spellStart"/>
      <w:r>
        <w:rPr>
          <w:color w:val="111111"/>
        </w:rPr>
        <w:t>Advances</w:t>
      </w:r>
      <w:proofErr w:type="spellEnd"/>
      <w:r>
        <w:rPr>
          <w:color w:val="111111"/>
        </w:rPr>
        <w:t xml:space="preserve"> in International Marketing. International </w:t>
      </w:r>
      <w:proofErr w:type="spellStart"/>
      <w:r>
        <w:rPr>
          <w:color w:val="111111"/>
        </w:rPr>
        <w:t>Journal</w:t>
      </w:r>
      <w:proofErr w:type="spellEnd"/>
      <w:r>
        <w:rPr>
          <w:color w:val="111111"/>
        </w:rPr>
        <w:t xml:space="preserve"> </w:t>
      </w:r>
      <w:proofErr w:type="spellStart"/>
      <w:r>
        <w:rPr>
          <w:color w:val="111111"/>
        </w:rPr>
        <w:t>of</w:t>
      </w:r>
      <w:proofErr w:type="spellEnd"/>
      <w:r>
        <w:rPr>
          <w:color w:val="111111"/>
        </w:rPr>
        <w:t xml:space="preserve"> </w:t>
      </w:r>
      <w:proofErr w:type="spellStart"/>
      <w:r>
        <w:rPr>
          <w:color w:val="111111"/>
        </w:rPr>
        <w:t>Research</w:t>
      </w:r>
      <w:proofErr w:type="spellEnd"/>
      <w:r>
        <w:rPr>
          <w:color w:val="111111"/>
        </w:rPr>
        <w:t xml:space="preserve"> in Marketing, 9(4), 291-318; y </w:t>
      </w:r>
      <w:proofErr w:type="spellStart"/>
      <w:r>
        <w:rPr>
          <w:color w:val="111111"/>
        </w:rPr>
        <w:t>Cavusgil</w:t>
      </w:r>
      <w:proofErr w:type="spellEnd"/>
      <w:r>
        <w:rPr>
          <w:color w:val="111111"/>
        </w:rPr>
        <w:t xml:space="preserve">, S.T., Knight, G. &amp; Riesenberger, J.R. (2008). International Business: The New </w:t>
      </w:r>
      <w:proofErr w:type="spellStart"/>
      <w:r>
        <w:rPr>
          <w:color w:val="111111"/>
        </w:rPr>
        <w:t>Realities</w:t>
      </w:r>
      <w:proofErr w:type="spellEnd"/>
      <w:r>
        <w:rPr>
          <w:color w:val="111111"/>
        </w:rPr>
        <w:t>. Pearson.</w:t>
      </w:r>
    </w:p>
    <w:p w14:paraId="54D70EF4" w14:textId="77777777" w:rsidR="00933177" w:rsidRDefault="00933177" w:rsidP="00933177">
      <w:pPr>
        <w:spacing w:after="100"/>
      </w:pPr>
    </w:p>
    <w:p w14:paraId="1CC50F08" w14:textId="77777777" w:rsidR="00CD3F01" w:rsidRDefault="00CD3F01" w:rsidP="00933177">
      <w:pPr>
        <w:spacing w:after="100"/>
      </w:pPr>
    </w:p>
    <w:p w14:paraId="5965948F" w14:textId="77777777" w:rsidR="00933177" w:rsidRDefault="00933177" w:rsidP="00933177">
      <w:pPr>
        <w:pStyle w:val="Ttulo2"/>
        <w:pBdr>
          <w:bottom w:val="single" w:sz="4" w:space="4" w:color="E8B931"/>
        </w:pBdr>
      </w:pPr>
      <w:bookmarkStart w:id="25" w:name="_Toc232659574"/>
      <w:proofErr w:type="gramStart"/>
      <w:r>
        <w:lastRenderedPageBreak/>
        <w:t>4.1  Cómo</w:t>
      </w:r>
      <w:proofErr w:type="gramEnd"/>
      <w:r>
        <w:t xml:space="preserve"> definir el universo inicial de mercados</w:t>
      </w:r>
      <w:bookmarkEnd w:id="25"/>
    </w:p>
    <w:p w14:paraId="29011DB3" w14:textId="77777777" w:rsidR="00933177" w:rsidRDefault="00933177" w:rsidP="00933177">
      <w:pPr>
        <w:spacing w:before="140" w:after="140" w:line="320" w:lineRule="auto"/>
        <w:jc w:val="both"/>
      </w:pPr>
      <w:r>
        <w:rPr>
          <w:color w:val="111111"/>
        </w:rPr>
        <w:t xml:space="preserve">El universo inicial de Grupo </w:t>
      </w:r>
      <w:proofErr w:type="spellStart"/>
      <w:r>
        <w:rPr>
          <w:color w:val="111111"/>
        </w:rPr>
        <w:t>Cibest</w:t>
      </w:r>
      <w:proofErr w:type="spellEnd"/>
      <w:r>
        <w:rPr>
          <w:color w:val="111111"/>
        </w:rPr>
        <w:t xml:space="preserve"> está declarado estratégicamente: América y España. Sin embargo, incluso dentro de ese universo existen economías que, por sus características estructurales, no son comparables entre sí en una escala única de atractivo. El proceso de screening primario tiene dos funciones: eliminar los mercados genuinamente inviables y documentar con precisión los criterios de esa eliminación, de modo que la decisión sea transparente y auditable. Esta transparencia es especialmente importante cuando el mercado eliminado es uno que algún miembro del Comité Ejecutivo tenía en mente como candidato: la documentación explícita del criterio de exclusión permite separar el juicio metodológico del juicio subjetivo.</w:t>
      </w:r>
    </w:p>
    <w:p w14:paraId="2ADD1726" w14:textId="77777777" w:rsidR="00933177" w:rsidRDefault="00933177" w:rsidP="00933177">
      <w:pPr>
        <w:spacing w:before="140" w:after="140" w:line="320" w:lineRule="auto"/>
        <w:jc w:val="both"/>
      </w:pPr>
      <w:r>
        <w:rPr>
          <w:color w:val="111111"/>
        </w:rPr>
        <w:t xml:space="preserve">El universo de partida para el análisis de RADAR </w:t>
      </w:r>
      <w:proofErr w:type="spellStart"/>
      <w:r>
        <w:rPr>
          <w:color w:val="111111"/>
        </w:rPr>
        <w:t>Cibest</w:t>
      </w:r>
      <w:proofErr w:type="spellEnd"/>
      <w:r>
        <w:rPr>
          <w:color w:val="111111"/>
        </w:rPr>
        <w:t xml:space="preserve"> comprende los siguientes países: en América del Norte, Estados Unidos, Canadá y México; en Centroamérica, Guatemala, Belize, Honduras, El Salvador, Nicaragua, Costa Rica y Panamá; en el Caribe, Cuba, República Dominicana, Haití, Trinidad y Tobago, Jamaica, Puerto Rico (territorio de EE.UU.) y las Bahamas; en América del Sur, Colombia (mercado de origen, incluido como </w:t>
      </w:r>
      <w:proofErr w:type="spellStart"/>
      <w:r>
        <w:rPr>
          <w:color w:val="111111"/>
        </w:rPr>
        <w:t>benchmark</w:t>
      </w:r>
      <w:proofErr w:type="spellEnd"/>
      <w:r>
        <w:rPr>
          <w:color w:val="111111"/>
        </w:rPr>
        <w:t>), Venezuela, Ecuador, Perú, Bolivia, Chile, Argentina, Uruguay, Paraguay, Brasil y Guyana; y España. El screening primario reduce este universo de partida a un conjunto de mercados que superan todos los filtros de viabilidad básica, los cuales son los únicos que ingresan al análisis cuantitativo de RADAR.</w:t>
      </w:r>
    </w:p>
    <w:p w14:paraId="7ECDCC57" w14:textId="77777777" w:rsidR="00933177" w:rsidRDefault="00933177" w:rsidP="00933177">
      <w:pPr>
        <w:spacing w:after="100"/>
      </w:pPr>
    </w:p>
    <w:p w14:paraId="38252702" w14:textId="77777777" w:rsidR="00933177" w:rsidRDefault="00933177" w:rsidP="00933177">
      <w:pPr>
        <w:pStyle w:val="Ttulo2"/>
        <w:pBdr>
          <w:bottom w:val="single" w:sz="4" w:space="4" w:color="E8B931"/>
        </w:pBdr>
      </w:pPr>
      <w:bookmarkStart w:id="26" w:name="_Toc232659575"/>
      <w:proofErr w:type="gramStart"/>
      <w:r>
        <w:t>4.2  Criterios</w:t>
      </w:r>
      <w:proofErr w:type="gramEnd"/>
      <w:r>
        <w:t xml:space="preserve"> de exclusión absoluta (filtros de no entrada)</w:t>
      </w:r>
      <w:bookmarkEnd w:id="26"/>
    </w:p>
    <w:p w14:paraId="045645E1" w14:textId="77777777" w:rsidR="00933177" w:rsidRDefault="00933177" w:rsidP="00933177">
      <w:pPr>
        <w:spacing w:before="140" w:after="140" w:line="320" w:lineRule="auto"/>
        <w:jc w:val="both"/>
      </w:pPr>
      <w:r>
        <w:rPr>
          <w:color w:val="111111"/>
        </w:rPr>
        <w:t xml:space="preserve">Los criterios de exclusión absoluta son condiciones que, si se cumplen en un mercado, lo excluyen del análisis sin necesidad de ningún modelo cuantitativo adicional. Son filtros binarios: el mercado los pasa o no los pasa. No existe un score de 'casi cumplidos': un país bajo sanciones internacionales activas no entra al universo analítico de RADAR, independientemente de cuál sea su nivel de desarrollo financiero o su potencial de mercado a largo plazo. A </w:t>
      </w:r>
      <w:proofErr w:type="gramStart"/>
      <w:r>
        <w:rPr>
          <w:color w:val="111111"/>
        </w:rPr>
        <w:t>continuación</w:t>
      </w:r>
      <w:proofErr w:type="gramEnd"/>
      <w:r>
        <w:rPr>
          <w:color w:val="111111"/>
        </w:rPr>
        <w:t xml:space="preserve"> se describe cada criterio, su fundamento y su fuente de verificación.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2604"/>
        <w:gridCol w:w="4696"/>
      </w:tblGrid>
      <w:tr w:rsidR="00933177" w14:paraId="6E3DDF75" w14:textId="77777777" w:rsidTr="00800E51">
        <w:tc>
          <w:tcPr>
            <w:tcW w:w="24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7CC38D85" w14:textId="77777777" w:rsidR="00933177" w:rsidRDefault="00933177" w:rsidP="001F40FE">
            <w:r>
              <w:rPr>
                <w:b/>
                <w:bCs/>
                <w:color w:val="FFFFFF"/>
                <w:sz w:val="20"/>
                <w:szCs w:val="20"/>
              </w:rPr>
              <w:t>Criterio de exclusión</w:t>
            </w:r>
          </w:p>
        </w:tc>
        <w:tc>
          <w:tcPr>
            <w:tcW w:w="388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75191DC6" w14:textId="77777777" w:rsidR="00933177" w:rsidRDefault="00933177" w:rsidP="001F40FE">
            <w:r>
              <w:rPr>
                <w:b/>
                <w:bCs/>
                <w:color w:val="FFFFFF"/>
                <w:sz w:val="20"/>
                <w:szCs w:val="20"/>
              </w:rPr>
              <w:t xml:space="preserve">Fundamento y aplicación al universo </w:t>
            </w:r>
            <w:proofErr w:type="spellStart"/>
            <w:r>
              <w:rPr>
                <w:b/>
                <w:bCs/>
                <w:color w:val="FFFFFF"/>
                <w:sz w:val="20"/>
                <w:szCs w:val="20"/>
              </w:rPr>
              <w:t>Cibest</w:t>
            </w:r>
            <w:proofErr w:type="spellEnd"/>
          </w:p>
        </w:tc>
        <w:tc>
          <w:tcPr>
            <w:tcW w:w="308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5F983BE0" w14:textId="77777777" w:rsidR="00933177" w:rsidRDefault="00933177" w:rsidP="001F40FE">
            <w:r>
              <w:rPr>
                <w:b/>
                <w:bCs/>
                <w:color w:val="FFFFFF"/>
                <w:sz w:val="20"/>
                <w:szCs w:val="20"/>
              </w:rPr>
              <w:t>Fuente de verificación</w:t>
            </w:r>
          </w:p>
        </w:tc>
      </w:tr>
      <w:tr w:rsidR="00933177" w14:paraId="5DFA7A6E" w14:textId="77777777" w:rsidTr="00800E51">
        <w:tc>
          <w:tcPr>
            <w:tcW w:w="24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6B27899" w14:textId="77777777" w:rsidR="00933177" w:rsidRDefault="00933177" w:rsidP="001F40FE">
            <w:r>
              <w:rPr>
                <w:b/>
                <w:bCs/>
                <w:color w:val="111111"/>
                <w:sz w:val="20"/>
                <w:szCs w:val="20"/>
              </w:rPr>
              <w:t>Sanciones OFAC o del Consejo de Seguridad de la ONU</w:t>
            </w:r>
          </w:p>
        </w:tc>
        <w:tc>
          <w:tcPr>
            <w:tcW w:w="38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7C97168" w14:textId="77777777" w:rsidR="00933177" w:rsidRDefault="00933177" w:rsidP="001F40FE">
            <w:r>
              <w:rPr>
                <w:color w:val="111111"/>
                <w:sz w:val="20"/>
                <w:szCs w:val="20"/>
              </w:rPr>
              <w:t xml:space="preserve">Un banco colombiano que opere en un mercado bajo sanciones internacionales activas puede quedar excluido de los sistemas de corresponsalía bancaria internacional </w:t>
            </w:r>
            <w:r>
              <w:rPr>
                <w:color w:val="111111"/>
                <w:sz w:val="20"/>
                <w:szCs w:val="20"/>
              </w:rPr>
              <w:lastRenderedPageBreak/>
              <w:t>(SWIFT, redes Visa/</w:t>
            </w:r>
            <w:proofErr w:type="spellStart"/>
            <w:r>
              <w:rPr>
                <w:color w:val="111111"/>
                <w:sz w:val="20"/>
                <w:szCs w:val="20"/>
              </w:rPr>
              <w:t>Mastercard</w:t>
            </w:r>
            <w:proofErr w:type="spellEnd"/>
            <w:r>
              <w:rPr>
                <w:color w:val="111111"/>
                <w:sz w:val="20"/>
                <w:szCs w:val="20"/>
              </w:rPr>
              <w:t xml:space="preserve">) y enfrentar sanciones secundarias. En el universo </w:t>
            </w:r>
            <w:proofErr w:type="spellStart"/>
            <w:r>
              <w:rPr>
                <w:color w:val="111111"/>
                <w:sz w:val="20"/>
                <w:szCs w:val="20"/>
              </w:rPr>
              <w:t>Cibest</w:t>
            </w:r>
            <w:proofErr w:type="spellEnd"/>
            <w:r>
              <w:rPr>
                <w:color w:val="111111"/>
                <w:sz w:val="20"/>
                <w:szCs w:val="20"/>
              </w:rPr>
              <w:t xml:space="preserve">, </w:t>
            </w:r>
            <w:r w:rsidRPr="00A76C5A">
              <w:rPr>
                <w:color w:val="111111"/>
                <w:sz w:val="20"/>
                <w:szCs w:val="20"/>
                <w:highlight w:val="yellow"/>
              </w:rPr>
              <w:t>Cuba aplica este criterio en su condición actual.</w:t>
            </w:r>
          </w:p>
        </w:tc>
        <w:tc>
          <w:tcPr>
            <w:tcW w:w="3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61064DF" w14:textId="77777777" w:rsidR="00933177" w:rsidRDefault="00933177" w:rsidP="001F40FE">
            <w:r>
              <w:rPr>
                <w:color w:val="111111"/>
                <w:sz w:val="20"/>
                <w:szCs w:val="20"/>
              </w:rPr>
              <w:lastRenderedPageBreak/>
              <w:t xml:space="preserve">OFAC — Office </w:t>
            </w:r>
            <w:proofErr w:type="spellStart"/>
            <w:r>
              <w:rPr>
                <w:color w:val="111111"/>
                <w:sz w:val="20"/>
                <w:szCs w:val="20"/>
              </w:rPr>
              <w:t>of</w:t>
            </w:r>
            <w:proofErr w:type="spellEnd"/>
            <w:r>
              <w:rPr>
                <w:color w:val="111111"/>
                <w:sz w:val="20"/>
                <w:szCs w:val="20"/>
              </w:rPr>
              <w:t xml:space="preserve"> Foreign </w:t>
            </w:r>
            <w:proofErr w:type="spellStart"/>
            <w:r>
              <w:rPr>
                <w:color w:val="111111"/>
                <w:sz w:val="20"/>
                <w:szCs w:val="20"/>
              </w:rPr>
              <w:t>Assets</w:t>
            </w:r>
            <w:proofErr w:type="spellEnd"/>
            <w:r>
              <w:rPr>
                <w:color w:val="111111"/>
                <w:sz w:val="20"/>
                <w:szCs w:val="20"/>
              </w:rPr>
              <w:t xml:space="preserve"> Control: https://ofac.treasury.gov/ | Consejo de Seguridad ONU: https://www.un.org/securitycouncil/sanctions/</w:t>
            </w:r>
          </w:p>
        </w:tc>
      </w:tr>
      <w:tr w:rsidR="00933177" w14:paraId="22981EBC" w14:textId="77777777" w:rsidTr="00800E51">
        <w:tc>
          <w:tcPr>
            <w:tcW w:w="24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D37A95F" w14:textId="77777777" w:rsidR="00933177" w:rsidRDefault="00933177" w:rsidP="001F40FE">
            <w:r>
              <w:rPr>
                <w:b/>
                <w:bCs/>
                <w:color w:val="111111"/>
                <w:sz w:val="20"/>
                <w:szCs w:val="20"/>
              </w:rPr>
              <w:t>Prohibición o barrera infranqueable de IED bancaria</w:t>
            </w:r>
          </w:p>
        </w:tc>
        <w:tc>
          <w:tcPr>
            <w:tcW w:w="38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B69926F" w14:textId="77777777" w:rsidR="00933177" w:rsidRDefault="00933177" w:rsidP="001F40FE">
            <w:r>
              <w:rPr>
                <w:color w:val="111111"/>
                <w:sz w:val="20"/>
                <w:szCs w:val="20"/>
              </w:rPr>
              <w:t xml:space="preserve">Algunos mercados prohíben explícitamente la inversión extranjera en el sector bancario, o imponen requisitos de capital mínimo tan elevados que hacen la entrada antieconómica para el tamaño de </w:t>
            </w:r>
            <w:proofErr w:type="spellStart"/>
            <w:r>
              <w:rPr>
                <w:color w:val="111111"/>
                <w:sz w:val="20"/>
                <w:szCs w:val="20"/>
              </w:rPr>
              <w:t>Cibest</w:t>
            </w:r>
            <w:proofErr w:type="spellEnd"/>
            <w:r>
              <w:rPr>
                <w:color w:val="111111"/>
                <w:sz w:val="20"/>
                <w:szCs w:val="20"/>
              </w:rPr>
              <w:t xml:space="preserve">. Este criterio se evalúa línea de negocio por </w:t>
            </w:r>
            <w:proofErr w:type="gramStart"/>
            <w:r>
              <w:rPr>
                <w:color w:val="111111"/>
                <w:sz w:val="20"/>
                <w:szCs w:val="20"/>
              </w:rPr>
              <w:t>línea</w:t>
            </w:r>
            <w:proofErr w:type="gramEnd"/>
            <w:r>
              <w:rPr>
                <w:color w:val="111111"/>
                <w:sz w:val="20"/>
                <w:szCs w:val="20"/>
              </w:rPr>
              <w:t xml:space="preserve"> de negocio: puede existir prohibición para banca comercial pero no para pagos digitales.</w:t>
            </w:r>
          </w:p>
        </w:tc>
        <w:tc>
          <w:tcPr>
            <w:tcW w:w="3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C23559B" w14:textId="77777777" w:rsidR="00933177" w:rsidRDefault="00933177" w:rsidP="001F40FE">
            <w:r>
              <w:rPr>
                <w:color w:val="111111"/>
                <w:sz w:val="20"/>
                <w:szCs w:val="20"/>
              </w:rPr>
              <w:t xml:space="preserve">Banco Mundial — Business </w:t>
            </w:r>
            <w:proofErr w:type="spellStart"/>
            <w:r>
              <w:rPr>
                <w:color w:val="111111"/>
                <w:sz w:val="20"/>
                <w:szCs w:val="20"/>
              </w:rPr>
              <w:t>Enabling</w:t>
            </w:r>
            <w:proofErr w:type="spellEnd"/>
            <w:r>
              <w:rPr>
                <w:color w:val="111111"/>
                <w:sz w:val="20"/>
                <w:szCs w:val="20"/>
              </w:rPr>
              <w:t xml:space="preserve"> </w:t>
            </w:r>
            <w:proofErr w:type="spellStart"/>
            <w:r>
              <w:rPr>
                <w:color w:val="111111"/>
                <w:sz w:val="20"/>
                <w:szCs w:val="20"/>
              </w:rPr>
              <w:t>Environment</w:t>
            </w:r>
            <w:proofErr w:type="spellEnd"/>
            <w:r>
              <w:rPr>
                <w:color w:val="111111"/>
                <w:sz w:val="20"/>
                <w:szCs w:val="20"/>
              </w:rPr>
              <w:t>: https://www.worldbank.org/en/programs/business-enabling-environment | KPMG, Deloitte, PwC: guías de inversión por país.</w:t>
            </w:r>
          </w:p>
        </w:tc>
      </w:tr>
      <w:tr w:rsidR="00933177" w14:paraId="2F1146EC" w14:textId="77777777" w:rsidTr="00800E51">
        <w:tc>
          <w:tcPr>
            <w:tcW w:w="24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0DFDCDA" w14:textId="77777777" w:rsidR="00933177" w:rsidRDefault="00933177" w:rsidP="001F40FE">
            <w:r>
              <w:rPr>
                <w:b/>
                <w:bCs/>
                <w:color w:val="111111"/>
                <w:sz w:val="20"/>
                <w:szCs w:val="20"/>
              </w:rPr>
              <w:t>Hiperinflación estructural (&gt;100% anual)</w:t>
            </w:r>
          </w:p>
        </w:tc>
        <w:tc>
          <w:tcPr>
            <w:tcW w:w="38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72866C4" w14:textId="77777777" w:rsidR="00933177" w:rsidRDefault="00933177" w:rsidP="001F40FE">
            <w:r>
              <w:rPr>
                <w:color w:val="111111"/>
                <w:sz w:val="20"/>
                <w:szCs w:val="20"/>
              </w:rPr>
              <w:t xml:space="preserve">Una inflación sostenida superior al 100% anual destruye los fundamentos del negocio bancario: erosiona los márgenes de intermediación, hace imposible la planificación financiera a mediano plazo y destruye la riqueza de los depositantes. En el universo </w:t>
            </w:r>
            <w:proofErr w:type="spellStart"/>
            <w:r>
              <w:rPr>
                <w:color w:val="111111"/>
                <w:sz w:val="20"/>
                <w:szCs w:val="20"/>
              </w:rPr>
              <w:t>Cibest</w:t>
            </w:r>
            <w:proofErr w:type="spellEnd"/>
            <w:r>
              <w:rPr>
                <w:color w:val="111111"/>
                <w:sz w:val="20"/>
                <w:szCs w:val="20"/>
              </w:rPr>
              <w:t xml:space="preserve">, </w:t>
            </w:r>
            <w:r w:rsidRPr="00A76C5A">
              <w:rPr>
                <w:color w:val="111111"/>
                <w:sz w:val="20"/>
                <w:szCs w:val="20"/>
                <w:highlight w:val="yellow"/>
              </w:rPr>
              <w:t>Venezuela aplica este criterio. Argentina requiere evaluación caso a caso según la dinámica del programa de estabilización vigente</w:t>
            </w:r>
            <w:r>
              <w:rPr>
                <w:color w:val="111111"/>
                <w:sz w:val="20"/>
                <w:szCs w:val="20"/>
              </w:rPr>
              <w:t>.</w:t>
            </w:r>
          </w:p>
        </w:tc>
        <w:tc>
          <w:tcPr>
            <w:tcW w:w="3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3FB69A9" w14:textId="77777777" w:rsidR="00933177" w:rsidRDefault="00933177" w:rsidP="001F40FE">
            <w:r>
              <w:rPr>
                <w:color w:val="111111"/>
                <w:sz w:val="20"/>
                <w:szCs w:val="20"/>
              </w:rPr>
              <w:t xml:space="preserve">FMI — World </w:t>
            </w:r>
            <w:proofErr w:type="spellStart"/>
            <w:r>
              <w:rPr>
                <w:color w:val="111111"/>
                <w:sz w:val="20"/>
                <w:szCs w:val="20"/>
              </w:rPr>
              <w:t>Economic</w:t>
            </w:r>
            <w:proofErr w:type="spellEnd"/>
            <w:r>
              <w:rPr>
                <w:color w:val="111111"/>
                <w:sz w:val="20"/>
                <w:szCs w:val="20"/>
              </w:rPr>
              <w:t xml:space="preserve"> Outlook </w:t>
            </w:r>
            <w:proofErr w:type="spellStart"/>
            <w:r>
              <w:rPr>
                <w:color w:val="111111"/>
                <w:sz w:val="20"/>
                <w:szCs w:val="20"/>
              </w:rPr>
              <w:t>Database</w:t>
            </w:r>
            <w:proofErr w:type="spellEnd"/>
            <w:r>
              <w:rPr>
                <w:color w:val="111111"/>
                <w:sz w:val="20"/>
                <w:szCs w:val="20"/>
              </w:rPr>
              <w:t xml:space="preserve">: https://www.imf.org/en/Publications/WEO | Banco Mundial — WDI </w:t>
            </w:r>
            <w:proofErr w:type="spellStart"/>
            <w:r>
              <w:rPr>
                <w:color w:val="111111"/>
                <w:sz w:val="20"/>
                <w:szCs w:val="20"/>
              </w:rPr>
              <w:t>Indicator</w:t>
            </w:r>
            <w:proofErr w:type="spellEnd"/>
            <w:r>
              <w:rPr>
                <w:color w:val="111111"/>
                <w:sz w:val="20"/>
                <w:szCs w:val="20"/>
              </w:rPr>
              <w:t xml:space="preserve"> </w:t>
            </w:r>
            <w:proofErr w:type="gramStart"/>
            <w:r>
              <w:rPr>
                <w:color w:val="111111"/>
                <w:sz w:val="20"/>
                <w:szCs w:val="20"/>
              </w:rPr>
              <w:t>FP.CPI.TOTL.ZG</w:t>
            </w:r>
            <w:proofErr w:type="gramEnd"/>
          </w:p>
        </w:tc>
      </w:tr>
      <w:tr w:rsidR="00933177" w14:paraId="222F8CF7" w14:textId="77777777" w:rsidTr="00800E51">
        <w:tc>
          <w:tcPr>
            <w:tcW w:w="24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4DA8CFF" w14:textId="77777777" w:rsidR="00933177" w:rsidRDefault="00933177" w:rsidP="001F40FE">
            <w:r>
              <w:rPr>
                <w:b/>
                <w:bCs/>
                <w:color w:val="111111"/>
                <w:sz w:val="20"/>
                <w:szCs w:val="20"/>
              </w:rPr>
              <w:t>Incumplimiento de deuda soberana o reestructuración activa</w:t>
            </w:r>
          </w:p>
        </w:tc>
        <w:tc>
          <w:tcPr>
            <w:tcW w:w="38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F5FF47F" w14:textId="77777777" w:rsidR="00933177" w:rsidRDefault="00933177" w:rsidP="001F40FE">
            <w:r>
              <w:rPr>
                <w:color w:val="111111"/>
                <w:sz w:val="20"/>
                <w:szCs w:val="20"/>
              </w:rPr>
              <w:t xml:space="preserve">Un país en default soberano o en proceso formal de reestructuración enfrenta restricciones severas de acceso a financiamiento internacional, riesgo de controles de capitales y riesgo de expropiación de activos financieros. El riesgo soberano no elimina el mercado por sí solo, pero un default </w:t>
            </w:r>
            <w:r>
              <w:rPr>
                <w:color w:val="111111"/>
                <w:sz w:val="20"/>
                <w:szCs w:val="20"/>
              </w:rPr>
              <w:lastRenderedPageBreak/>
              <w:t>activo en el momento del análisis sí lo hace. Este criterio se monitorea continuamente.</w:t>
            </w:r>
          </w:p>
        </w:tc>
        <w:tc>
          <w:tcPr>
            <w:tcW w:w="3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F336827" w14:textId="77777777" w:rsidR="00933177" w:rsidRDefault="00933177" w:rsidP="001F40FE">
            <w:r>
              <w:rPr>
                <w:color w:val="111111"/>
                <w:sz w:val="20"/>
                <w:szCs w:val="20"/>
              </w:rPr>
              <w:lastRenderedPageBreak/>
              <w:t>Agencias calificadoras: S&amp;P (https://www.spglobal.com), Moody's (https://www.moodys.com), Fitch (https://www.fitchratings.com). Clasificación 'SD' (Selective Default) o 'D' en cualquiera de las tres.</w:t>
            </w:r>
          </w:p>
        </w:tc>
      </w:tr>
      <w:tr w:rsidR="00933177" w14:paraId="216290B0" w14:textId="77777777" w:rsidTr="00800E51">
        <w:tc>
          <w:tcPr>
            <w:tcW w:w="24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53FAFAF" w14:textId="77777777" w:rsidR="00933177" w:rsidRDefault="00933177" w:rsidP="001F40FE">
            <w:r>
              <w:rPr>
                <w:b/>
                <w:bCs/>
                <w:color w:val="111111"/>
                <w:sz w:val="20"/>
                <w:szCs w:val="20"/>
              </w:rPr>
              <w:t>Tamaño de mercado irrelevante (PIB &lt; umbral mínimo)</w:t>
            </w:r>
          </w:p>
        </w:tc>
        <w:tc>
          <w:tcPr>
            <w:tcW w:w="38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74378C8" w14:textId="77777777" w:rsidR="00933177" w:rsidRDefault="00933177" w:rsidP="001F40FE">
            <w:r>
              <w:rPr>
                <w:color w:val="111111"/>
                <w:sz w:val="20"/>
                <w:szCs w:val="20"/>
              </w:rPr>
              <w:t xml:space="preserve">Mercados con un PIB total inferior al umbral mínimo que ninguna línea de negocio de </w:t>
            </w:r>
            <w:proofErr w:type="spellStart"/>
            <w:r>
              <w:rPr>
                <w:color w:val="111111"/>
                <w:sz w:val="20"/>
                <w:szCs w:val="20"/>
              </w:rPr>
              <w:t>Cibest</w:t>
            </w:r>
            <w:proofErr w:type="spellEnd"/>
            <w:r>
              <w:rPr>
                <w:color w:val="111111"/>
                <w:sz w:val="20"/>
                <w:szCs w:val="20"/>
              </w:rPr>
              <w:t xml:space="preserve"> podría considerar como masa crítica para rentabilizar una operación. El umbral recomendado es un PIB total inferior a USD 3.000 millones en PPA. En el universo </w:t>
            </w:r>
            <w:proofErr w:type="spellStart"/>
            <w:r>
              <w:rPr>
                <w:color w:val="111111"/>
                <w:sz w:val="20"/>
                <w:szCs w:val="20"/>
              </w:rPr>
              <w:t>Cibest</w:t>
            </w:r>
            <w:proofErr w:type="spellEnd"/>
            <w:r>
              <w:rPr>
                <w:color w:val="111111"/>
                <w:sz w:val="20"/>
                <w:szCs w:val="20"/>
              </w:rPr>
              <w:t xml:space="preserve">, este criterio puede aplicar a </w:t>
            </w:r>
            <w:r w:rsidRPr="008B4D1A">
              <w:rPr>
                <w:color w:val="111111"/>
                <w:sz w:val="20"/>
                <w:szCs w:val="20"/>
                <w:highlight w:val="yellow"/>
              </w:rPr>
              <w:t>Belice, Guyana (antes del boom petrolero reciente), y algunos territorios insulares del Caribe.</w:t>
            </w:r>
          </w:p>
        </w:tc>
        <w:tc>
          <w:tcPr>
            <w:tcW w:w="3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27D70F1" w14:textId="77777777" w:rsidR="00933177" w:rsidRDefault="00933177" w:rsidP="001F40FE">
            <w:r>
              <w:rPr>
                <w:color w:val="111111"/>
                <w:sz w:val="20"/>
                <w:szCs w:val="20"/>
              </w:rPr>
              <w:t xml:space="preserve">Banco Mundial — WDI </w:t>
            </w:r>
            <w:proofErr w:type="spellStart"/>
            <w:r>
              <w:rPr>
                <w:color w:val="111111"/>
                <w:sz w:val="20"/>
                <w:szCs w:val="20"/>
              </w:rPr>
              <w:t>Indicator</w:t>
            </w:r>
            <w:proofErr w:type="spellEnd"/>
            <w:r>
              <w:rPr>
                <w:color w:val="111111"/>
                <w:sz w:val="20"/>
                <w:szCs w:val="20"/>
              </w:rPr>
              <w:t xml:space="preserve"> NY.GDP.MKTP.PP.CD | FMI — WEO </w:t>
            </w:r>
            <w:proofErr w:type="spellStart"/>
            <w:r>
              <w:rPr>
                <w:color w:val="111111"/>
                <w:sz w:val="20"/>
                <w:szCs w:val="20"/>
              </w:rPr>
              <w:t>Database</w:t>
            </w:r>
            <w:proofErr w:type="spellEnd"/>
          </w:p>
        </w:tc>
      </w:tr>
    </w:tbl>
    <w:p w14:paraId="5D558030" w14:textId="77777777" w:rsidR="00933177" w:rsidRDefault="00933177" w:rsidP="009331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3177" w14:paraId="77CA46F7" w14:textId="77777777" w:rsidTr="00800E51">
        <w:tc>
          <w:tcPr>
            <w:tcW w:w="9360" w:type="dxa"/>
            <w:tcBorders>
              <w:top w:val="single" w:sz="1" w:space="0" w:color="E8B931"/>
              <w:left w:val="single" w:sz="1" w:space="0" w:color="E8B931"/>
              <w:bottom w:val="single" w:sz="1" w:space="0" w:color="E8B931"/>
              <w:right w:val="single" w:sz="1" w:space="0" w:color="E8B931"/>
            </w:tcBorders>
            <w:shd w:val="clear" w:color="auto" w:fill="FFF8E7"/>
            <w:tcMar>
              <w:top w:w="140" w:type="dxa"/>
              <w:left w:w="220" w:type="dxa"/>
              <w:bottom w:w="140" w:type="dxa"/>
              <w:right w:w="220" w:type="dxa"/>
            </w:tcMar>
          </w:tcPr>
          <w:p w14:paraId="34239086" w14:textId="19D2FAC8" w:rsidR="00933177" w:rsidRDefault="00933177" w:rsidP="001F40FE">
            <w:pPr>
              <w:spacing w:after="80"/>
            </w:pPr>
            <w:proofErr w:type="gramStart"/>
            <w:r>
              <w:rPr>
                <w:b/>
                <w:bCs/>
                <w:caps/>
                <w:color w:val="7D4800"/>
                <w:sz w:val="20"/>
                <w:szCs w:val="20"/>
              </w:rPr>
              <w:t>⚠  Limitación</w:t>
            </w:r>
            <w:proofErr w:type="gramEnd"/>
          </w:p>
          <w:p w14:paraId="536C2B69" w14:textId="77777777" w:rsidR="00933177" w:rsidRDefault="00933177" w:rsidP="001F40FE">
            <w:pPr>
              <w:spacing w:after="60"/>
              <w:jc w:val="both"/>
            </w:pPr>
            <w:r>
              <w:rPr>
                <w:color w:val="1A1A1A"/>
                <w:sz w:val="20"/>
                <w:szCs w:val="20"/>
              </w:rPr>
              <w:t xml:space="preserve">Los criterios de exclusión absoluta se verifican con datos públicos actualizados al momento del análisis. Deben </w:t>
            </w:r>
            <w:proofErr w:type="spellStart"/>
            <w:r>
              <w:rPr>
                <w:color w:val="1A1A1A"/>
                <w:sz w:val="20"/>
                <w:szCs w:val="20"/>
              </w:rPr>
              <w:t>re-verificarse</w:t>
            </w:r>
            <w:proofErr w:type="spellEnd"/>
            <w:r>
              <w:rPr>
                <w:color w:val="1A1A1A"/>
                <w:sz w:val="20"/>
                <w:szCs w:val="20"/>
              </w:rPr>
              <w:t xml:space="preserve"> si el proceso SIM se reinicia o se actualiza más de seis meses después de la verificación inicial, dado que condiciones como el </w:t>
            </w:r>
            <w:proofErr w:type="gramStart"/>
            <w:r>
              <w:rPr>
                <w:color w:val="1A1A1A"/>
                <w:sz w:val="20"/>
                <w:szCs w:val="20"/>
              </w:rPr>
              <w:t>status</w:t>
            </w:r>
            <w:proofErr w:type="gramEnd"/>
            <w:r>
              <w:rPr>
                <w:color w:val="1A1A1A"/>
                <w:sz w:val="20"/>
                <w:szCs w:val="20"/>
              </w:rPr>
              <w:t xml:space="preserve"> de sanciones, la calificación soberana o la tasa de inflación pueden cambiar de manera material en ese período.</w:t>
            </w:r>
          </w:p>
        </w:tc>
      </w:tr>
    </w:tbl>
    <w:p w14:paraId="26115A2F" w14:textId="77777777" w:rsidR="00933177" w:rsidRDefault="00933177" w:rsidP="00933177">
      <w:pPr>
        <w:spacing w:after="100"/>
      </w:pPr>
    </w:p>
    <w:p w14:paraId="02BD78A5" w14:textId="77777777" w:rsidR="00933177" w:rsidRDefault="00933177" w:rsidP="00933177">
      <w:pPr>
        <w:pStyle w:val="Ttulo2"/>
        <w:pBdr>
          <w:bottom w:val="single" w:sz="4" w:space="4" w:color="E8B931"/>
        </w:pBdr>
      </w:pPr>
      <w:bookmarkStart w:id="27" w:name="_Toc232659576"/>
      <w:proofErr w:type="gramStart"/>
      <w:r>
        <w:t>4.3  Criterios</w:t>
      </w:r>
      <w:proofErr w:type="gramEnd"/>
      <w:r>
        <w:t xml:space="preserve"> de viabilidad regulatoria básica por </w:t>
      </w:r>
      <w:proofErr w:type="gramStart"/>
      <w:r>
        <w:t>línea</w:t>
      </w:r>
      <w:proofErr w:type="gramEnd"/>
      <w:r>
        <w:t xml:space="preserve"> de negocio</w:t>
      </w:r>
      <w:bookmarkEnd w:id="27"/>
    </w:p>
    <w:p w14:paraId="39CA14EE" w14:textId="77777777" w:rsidR="00933177" w:rsidRDefault="00933177" w:rsidP="00933177">
      <w:pPr>
        <w:spacing w:before="140" w:after="140" w:line="320" w:lineRule="auto"/>
        <w:jc w:val="both"/>
        <w:rPr>
          <w:color w:val="111111"/>
        </w:rPr>
      </w:pPr>
      <w:r>
        <w:rPr>
          <w:color w:val="111111"/>
        </w:rPr>
        <w:t xml:space="preserve">Una segunda capa de filtro evalúa si la operación de cada línea de negocio de </w:t>
      </w:r>
      <w:proofErr w:type="spellStart"/>
      <w:r>
        <w:rPr>
          <w:color w:val="111111"/>
        </w:rPr>
        <w:t>Cibest</w:t>
      </w:r>
      <w:proofErr w:type="spellEnd"/>
      <w:r>
        <w:rPr>
          <w:color w:val="111111"/>
        </w:rPr>
        <w:t xml:space="preserve"> es legalmente posible en el mercado, dado el marco regulatorio vigente. A diferencia de los criterios de exclusión absoluta, que son binarios e iguales para todas las líneas de negocio, la viabilidad regulatoria básica es diferencial: un mercado puede ser viable para Pagos y </w:t>
      </w:r>
      <w:proofErr w:type="gramStart"/>
      <w:r>
        <w:rPr>
          <w:color w:val="111111"/>
        </w:rPr>
        <w:t>Flujos</w:t>
      </w:r>
      <w:proofErr w:type="gramEnd"/>
      <w:r>
        <w:rPr>
          <w:color w:val="111111"/>
        </w:rPr>
        <w:t xml:space="preserve"> pero no para Activos Digitales, o viable para Banca Digital en un modelo de billetera electrónica pero no para Intermediación Bancaria con licencia plena. Esta evaluación es cualitativa y requiere una consulta legal básica por jurisdicción, que puede realizarse mediante las publicaciones anuales de bufetes internacionales con presencia regional (Baker McKenzie, Garrigues, </w:t>
      </w:r>
      <w:proofErr w:type="spellStart"/>
      <w:r>
        <w:rPr>
          <w:color w:val="111111"/>
        </w:rPr>
        <w:t>Dentons</w:t>
      </w:r>
      <w:proofErr w:type="spellEnd"/>
      <w:r>
        <w:rPr>
          <w:color w:val="111111"/>
        </w:rPr>
        <w:t>) o mediante los informes de la Red de Asesoría al Sector Financiero del Banco Mundial.</w:t>
      </w:r>
    </w:p>
    <w:p w14:paraId="721AC9D5" w14:textId="77777777" w:rsidR="00F17A45" w:rsidRDefault="00F17A45" w:rsidP="00933177">
      <w:pPr>
        <w:spacing w:before="140" w:after="140" w:line="320" w:lineRule="auto"/>
        <w:jc w:val="both"/>
        <w:rPr>
          <w:color w:val="111111"/>
        </w:rPr>
      </w:pPr>
    </w:p>
    <w:p w14:paraId="781FA8C1" w14:textId="77777777" w:rsidR="00F17A45" w:rsidRDefault="00F17A45" w:rsidP="00933177">
      <w:pPr>
        <w:spacing w:before="140" w:after="140" w:line="32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1900"/>
        <w:gridCol w:w="1900"/>
        <w:gridCol w:w="1560"/>
      </w:tblGrid>
      <w:tr w:rsidR="00933177" w14:paraId="023805D3" w14:textId="77777777" w:rsidTr="00800E51">
        <w:tc>
          <w:tcPr>
            <w:tcW w:w="21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1891B0C7" w14:textId="77777777" w:rsidR="00933177" w:rsidRDefault="00933177" w:rsidP="001F40FE">
            <w:r>
              <w:rPr>
                <w:b/>
                <w:bCs/>
                <w:color w:val="FFFFFF"/>
                <w:sz w:val="20"/>
                <w:szCs w:val="20"/>
              </w:rPr>
              <w:lastRenderedPageBreak/>
              <w:t>Pregunta regulatoria clave</w:t>
            </w:r>
          </w:p>
        </w:tc>
        <w:tc>
          <w:tcPr>
            <w:tcW w:w="19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28378342" w14:textId="77777777" w:rsidR="00933177" w:rsidRDefault="00933177" w:rsidP="001F40FE">
            <w:r>
              <w:rPr>
                <w:b/>
                <w:bCs/>
                <w:color w:val="FFFFFF"/>
                <w:sz w:val="20"/>
                <w:szCs w:val="20"/>
              </w:rPr>
              <w:t>Intermediación Bancaria (IB)</w:t>
            </w:r>
          </w:p>
        </w:tc>
        <w:tc>
          <w:tcPr>
            <w:tcW w:w="19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74B340F5" w14:textId="77777777" w:rsidR="00933177" w:rsidRDefault="00933177" w:rsidP="001F40FE">
            <w:r>
              <w:rPr>
                <w:b/>
                <w:bCs/>
                <w:color w:val="FFFFFF"/>
                <w:sz w:val="20"/>
                <w:szCs w:val="20"/>
              </w:rPr>
              <w:t>Pagos y Flujos (PF)</w:t>
            </w:r>
          </w:p>
        </w:tc>
        <w:tc>
          <w:tcPr>
            <w:tcW w:w="19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1BCFE9DF" w14:textId="77777777" w:rsidR="00933177" w:rsidRDefault="00933177" w:rsidP="001F40FE">
            <w:r>
              <w:rPr>
                <w:b/>
                <w:bCs/>
                <w:color w:val="FFFFFF"/>
                <w:sz w:val="20"/>
                <w:szCs w:val="20"/>
              </w:rPr>
              <w:t>Activos Digitales (AD)</w:t>
            </w:r>
          </w:p>
        </w:tc>
        <w:tc>
          <w:tcPr>
            <w:tcW w:w="156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124BD506" w14:textId="77777777" w:rsidR="00933177" w:rsidRDefault="00933177" w:rsidP="001F40FE">
            <w:r>
              <w:rPr>
                <w:b/>
                <w:bCs/>
                <w:color w:val="FFFFFF"/>
                <w:sz w:val="20"/>
                <w:szCs w:val="20"/>
              </w:rPr>
              <w:t>Bancos Digitales / CIB</w:t>
            </w:r>
          </w:p>
        </w:tc>
      </w:tr>
      <w:tr w:rsidR="00933177" w14:paraId="0FD31362" w14:textId="77777777" w:rsidTr="00800E51">
        <w:tc>
          <w:tcPr>
            <w:tcW w:w="21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A441D6F" w14:textId="77777777" w:rsidR="00933177" w:rsidRDefault="00933177" w:rsidP="001F40FE">
            <w:r>
              <w:rPr>
                <w:color w:val="111111"/>
                <w:sz w:val="20"/>
                <w:szCs w:val="20"/>
              </w:rPr>
              <w:t>¿Permite el país la IED en banca comercial con control del entrante?</w:t>
            </w:r>
          </w:p>
        </w:tc>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22A047D" w14:textId="77777777" w:rsidR="00933177" w:rsidRDefault="00933177" w:rsidP="001F40FE">
            <w:r>
              <w:rPr>
                <w:color w:val="111111"/>
                <w:sz w:val="20"/>
                <w:szCs w:val="20"/>
              </w:rPr>
              <w:t xml:space="preserve">Crítica — determina viabilidad de </w:t>
            </w:r>
            <w:proofErr w:type="spellStart"/>
            <w:r>
              <w:rPr>
                <w:color w:val="111111"/>
                <w:sz w:val="20"/>
                <w:szCs w:val="20"/>
              </w:rPr>
              <w:t>greenfield</w:t>
            </w:r>
            <w:proofErr w:type="spellEnd"/>
            <w:r>
              <w:rPr>
                <w:color w:val="111111"/>
                <w:sz w:val="20"/>
                <w:szCs w:val="20"/>
              </w:rPr>
              <w:t xml:space="preserve"> o adquisición mayoritaria</w:t>
            </w:r>
          </w:p>
        </w:tc>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0FB261A" w14:textId="77777777" w:rsidR="00933177" w:rsidRDefault="00933177" w:rsidP="001F40FE">
            <w:r>
              <w:rPr>
                <w:color w:val="111111"/>
                <w:sz w:val="20"/>
                <w:szCs w:val="20"/>
              </w:rPr>
              <w:t>Relevante para licencias de procesamiento</w:t>
            </w:r>
          </w:p>
        </w:tc>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DF15C22" w14:textId="77777777" w:rsidR="00933177" w:rsidRDefault="00933177" w:rsidP="001F40FE">
            <w:r>
              <w:rPr>
                <w:color w:val="111111"/>
                <w:sz w:val="20"/>
                <w:szCs w:val="20"/>
              </w:rPr>
              <w:t>Relevante para custodia de activos</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F685007" w14:textId="77777777" w:rsidR="00933177" w:rsidRDefault="00933177" w:rsidP="001F40FE">
            <w:r>
              <w:rPr>
                <w:color w:val="111111"/>
                <w:sz w:val="20"/>
                <w:szCs w:val="20"/>
              </w:rPr>
              <w:t>Crítica para BD; relevante para CIB</w:t>
            </w:r>
          </w:p>
        </w:tc>
      </w:tr>
      <w:tr w:rsidR="00933177" w14:paraId="47FB032A" w14:textId="77777777" w:rsidTr="00800E51">
        <w:tc>
          <w:tcPr>
            <w:tcW w:w="21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F9B4D60" w14:textId="77777777" w:rsidR="00933177" w:rsidRDefault="00933177" w:rsidP="001F40FE">
            <w:r>
              <w:rPr>
                <w:color w:val="111111"/>
                <w:sz w:val="20"/>
                <w:szCs w:val="20"/>
              </w:rPr>
              <w:t xml:space="preserve">¿Existe marco regulatorio para activos digitales, </w:t>
            </w:r>
            <w:proofErr w:type="spellStart"/>
            <w:r>
              <w:rPr>
                <w:color w:val="111111"/>
                <w:sz w:val="20"/>
                <w:szCs w:val="20"/>
              </w:rPr>
              <w:t>criptoactivos</w:t>
            </w:r>
            <w:proofErr w:type="spellEnd"/>
            <w:r>
              <w:rPr>
                <w:color w:val="111111"/>
                <w:sz w:val="20"/>
                <w:szCs w:val="20"/>
              </w:rPr>
              <w:t xml:space="preserve"> o CBDC?</w:t>
            </w:r>
          </w:p>
        </w:tc>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3F42D3F" w14:textId="77777777" w:rsidR="00933177" w:rsidRDefault="00933177" w:rsidP="001F40FE">
            <w:r>
              <w:rPr>
                <w:color w:val="111111"/>
                <w:sz w:val="20"/>
                <w:szCs w:val="20"/>
              </w:rPr>
              <w:t>Secundario</w:t>
            </w:r>
          </w:p>
        </w:tc>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978ADC3" w14:textId="77777777" w:rsidR="00933177" w:rsidRDefault="00933177" w:rsidP="001F40FE">
            <w:r>
              <w:rPr>
                <w:color w:val="111111"/>
                <w:sz w:val="20"/>
                <w:szCs w:val="20"/>
              </w:rPr>
              <w:t xml:space="preserve">Relevante para </w:t>
            </w:r>
            <w:proofErr w:type="spellStart"/>
            <w:r>
              <w:rPr>
                <w:color w:val="111111"/>
                <w:sz w:val="20"/>
                <w:szCs w:val="20"/>
              </w:rPr>
              <w:t>stablecoins</w:t>
            </w:r>
            <w:proofErr w:type="spellEnd"/>
            <w:r>
              <w:rPr>
                <w:color w:val="111111"/>
                <w:sz w:val="20"/>
                <w:szCs w:val="20"/>
              </w:rPr>
              <w:t xml:space="preserve"> en remesas</w:t>
            </w:r>
          </w:p>
        </w:tc>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5AF16FD" w14:textId="77777777" w:rsidR="00933177" w:rsidRDefault="00933177" w:rsidP="001F40FE">
            <w:r>
              <w:rPr>
                <w:color w:val="111111"/>
                <w:sz w:val="20"/>
                <w:szCs w:val="20"/>
              </w:rPr>
              <w:t>Crítica — determina viabilidad del modelo de negocio</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911B935" w14:textId="77777777" w:rsidR="00933177" w:rsidRDefault="00933177" w:rsidP="001F40FE">
            <w:r>
              <w:rPr>
                <w:color w:val="111111"/>
                <w:sz w:val="20"/>
                <w:szCs w:val="20"/>
              </w:rPr>
              <w:t>Relevante para BD digital-</w:t>
            </w:r>
            <w:proofErr w:type="spellStart"/>
            <w:r>
              <w:rPr>
                <w:color w:val="111111"/>
                <w:sz w:val="20"/>
                <w:szCs w:val="20"/>
              </w:rPr>
              <w:t>first</w:t>
            </w:r>
            <w:proofErr w:type="spellEnd"/>
          </w:p>
        </w:tc>
      </w:tr>
      <w:tr w:rsidR="00933177" w14:paraId="063450ED" w14:textId="77777777" w:rsidTr="00800E51">
        <w:tc>
          <w:tcPr>
            <w:tcW w:w="21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3B54518" w14:textId="77777777" w:rsidR="00933177" w:rsidRDefault="00933177" w:rsidP="001F40FE">
            <w:r>
              <w:rPr>
                <w:color w:val="111111"/>
                <w:sz w:val="20"/>
                <w:szCs w:val="20"/>
              </w:rPr>
              <w:t xml:space="preserve">¿Reconoce el país la figura de </w:t>
            </w:r>
            <w:proofErr w:type="spellStart"/>
            <w:r>
              <w:rPr>
                <w:color w:val="111111"/>
                <w:sz w:val="20"/>
                <w:szCs w:val="20"/>
              </w:rPr>
              <w:t>neobanco</w:t>
            </w:r>
            <w:proofErr w:type="spellEnd"/>
            <w:r>
              <w:rPr>
                <w:color w:val="111111"/>
                <w:sz w:val="20"/>
                <w:szCs w:val="20"/>
              </w:rPr>
              <w:t>, banco digital o entidad de pago electrónico?</w:t>
            </w:r>
          </w:p>
        </w:tc>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C284D3C" w14:textId="77777777" w:rsidR="00933177" w:rsidRDefault="00933177" w:rsidP="001F40FE">
            <w:r>
              <w:rPr>
                <w:color w:val="111111"/>
                <w:sz w:val="20"/>
                <w:szCs w:val="20"/>
              </w:rPr>
              <w:t>Secundario — puede ser alternativa de entrada</w:t>
            </w:r>
          </w:p>
        </w:tc>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127D463" w14:textId="77777777" w:rsidR="00933177" w:rsidRDefault="00933177" w:rsidP="001F40FE">
            <w:r>
              <w:rPr>
                <w:color w:val="111111"/>
                <w:sz w:val="20"/>
                <w:szCs w:val="20"/>
              </w:rPr>
              <w:t>Crítica para modelos de pago móvil</w:t>
            </w:r>
          </w:p>
        </w:tc>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00B886C" w14:textId="77777777" w:rsidR="00933177" w:rsidRDefault="00933177" w:rsidP="001F40FE">
            <w:r>
              <w:rPr>
                <w:color w:val="111111"/>
                <w:sz w:val="20"/>
                <w:szCs w:val="20"/>
              </w:rPr>
              <w:t xml:space="preserve">Relevante para billeteras digitales de </w:t>
            </w:r>
            <w:proofErr w:type="spellStart"/>
            <w:r>
              <w:rPr>
                <w:color w:val="111111"/>
                <w:sz w:val="20"/>
                <w:szCs w:val="20"/>
              </w:rPr>
              <w:t>criptoactivos</w:t>
            </w:r>
            <w:proofErr w:type="spellEnd"/>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57D6264" w14:textId="77777777" w:rsidR="00933177" w:rsidRDefault="00933177" w:rsidP="001F40FE">
            <w:r>
              <w:rPr>
                <w:color w:val="111111"/>
                <w:sz w:val="20"/>
                <w:szCs w:val="20"/>
              </w:rPr>
              <w:t>Crítica para Bancos Digitales</w:t>
            </w:r>
          </w:p>
        </w:tc>
      </w:tr>
      <w:tr w:rsidR="00933177" w14:paraId="6F9EEC09" w14:textId="77777777" w:rsidTr="00800E51">
        <w:tc>
          <w:tcPr>
            <w:tcW w:w="21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0114939" w14:textId="77777777" w:rsidR="00933177" w:rsidRDefault="00933177" w:rsidP="001F40FE">
            <w:r>
              <w:rPr>
                <w:color w:val="111111"/>
                <w:sz w:val="20"/>
                <w:szCs w:val="20"/>
              </w:rPr>
              <w:t>¿Existen restricciones a la repatriación de utilidades o dividendos?</w:t>
            </w:r>
          </w:p>
        </w:tc>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232E13A" w14:textId="77777777" w:rsidR="00933177" w:rsidRDefault="00933177" w:rsidP="001F40FE">
            <w:r>
              <w:rPr>
                <w:color w:val="111111"/>
                <w:sz w:val="20"/>
                <w:szCs w:val="20"/>
              </w:rPr>
              <w:t>Crítica para todas las líneas — afecta el modelo financiero de inversión</w:t>
            </w:r>
          </w:p>
        </w:tc>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4F75FE4" w14:textId="77777777" w:rsidR="00933177" w:rsidRDefault="00933177" w:rsidP="001F40FE">
            <w:r>
              <w:rPr>
                <w:color w:val="111111"/>
                <w:sz w:val="20"/>
                <w:szCs w:val="20"/>
              </w:rPr>
              <w:t>Crítica</w:t>
            </w:r>
          </w:p>
        </w:tc>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1265DEF" w14:textId="77777777" w:rsidR="00933177" w:rsidRDefault="00933177" w:rsidP="001F40FE">
            <w:r>
              <w:rPr>
                <w:color w:val="111111"/>
                <w:sz w:val="20"/>
                <w:szCs w:val="20"/>
              </w:rPr>
              <w:t>Crítica</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7EE64D4" w14:textId="77777777" w:rsidR="00933177" w:rsidRDefault="00933177" w:rsidP="001F40FE">
            <w:r>
              <w:rPr>
                <w:color w:val="111111"/>
                <w:sz w:val="20"/>
                <w:szCs w:val="20"/>
              </w:rPr>
              <w:t>Crítica</w:t>
            </w:r>
          </w:p>
        </w:tc>
      </w:tr>
      <w:tr w:rsidR="00933177" w14:paraId="2DB518D1" w14:textId="77777777" w:rsidTr="00800E51">
        <w:tc>
          <w:tcPr>
            <w:tcW w:w="21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ED1F900" w14:textId="77777777" w:rsidR="00933177" w:rsidRDefault="00933177" w:rsidP="001F40FE">
            <w:r>
              <w:rPr>
                <w:color w:val="111111"/>
                <w:sz w:val="20"/>
                <w:szCs w:val="20"/>
              </w:rPr>
              <w:t>¿El regulador local ha otorgado licencias a bancos extranjeros en los últimos 5 años?</w:t>
            </w:r>
          </w:p>
        </w:tc>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84A45DA" w14:textId="77777777" w:rsidR="00933177" w:rsidRDefault="00933177" w:rsidP="001F40FE">
            <w:r>
              <w:rPr>
                <w:color w:val="111111"/>
                <w:sz w:val="20"/>
                <w:szCs w:val="20"/>
              </w:rPr>
              <w:t>Alta señal de apertura regulatoria para IB</w:t>
            </w:r>
          </w:p>
        </w:tc>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4666F4B" w14:textId="77777777" w:rsidR="00933177" w:rsidRDefault="00933177" w:rsidP="001F40FE">
            <w:r>
              <w:rPr>
                <w:color w:val="111111"/>
                <w:sz w:val="20"/>
                <w:szCs w:val="20"/>
              </w:rPr>
              <w:t>Indicador de predictibilidad regulatoria</w:t>
            </w:r>
          </w:p>
        </w:tc>
        <w:tc>
          <w:tcPr>
            <w:tcW w:w="19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8C88BCE" w14:textId="77777777" w:rsidR="00933177" w:rsidRDefault="00933177" w:rsidP="001F40FE">
            <w:r>
              <w:rPr>
                <w:color w:val="111111"/>
                <w:sz w:val="20"/>
                <w:szCs w:val="20"/>
              </w:rPr>
              <w:t>Señal sobre postura del regulador frente a nuevos modelos</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0A8258A" w14:textId="77777777" w:rsidR="00933177" w:rsidRDefault="00933177" w:rsidP="001F40FE">
            <w:r>
              <w:rPr>
                <w:color w:val="111111"/>
                <w:sz w:val="20"/>
                <w:szCs w:val="20"/>
              </w:rPr>
              <w:t>Señal para BD y CIB</w:t>
            </w:r>
          </w:p>
        </w:tc>
      </w:tr>
    </w:tbl>
    <w:p w14:paraId="1785E32B" w14:textId="77777777" w:rsidR="00933177" w:rsidRDefault="00933177" w:rsidP="00933177">
      <w:pPr>
        <w:spacing w:after="100"/>
      </w:pPr>
    </w:p>
    <w:p w14:paraId="0668A8EA" w14:textId="77777777" w:rsidR="00933177" w:rsidRDefault="00933177" w:rsidP="00933177">
      <w:pPr>
        <w:spacing w:before="140" w:after="140" w:line="320" w:lineRule="auto"/>
        <w:jc w:val="both"/>
      </w:pPr>
      <w:r>
        <w:rPr>
          <w:color w:val="111111"/>
        </w:rPr>
        <w:t xml:space="preserve">El resultado de esta evaluación es una matriz de viabilidad regulatoria básica: para cada mercado del universo </w:t>
      </w:r>
      <w:proofErr w:type="spellStart"/>
      <w:r>
        <w:rPr>
          <w:color w:val="111111"/>
        </w:rPr>
        <w:t>post-exclusiones</w:t>
      </w:r>
      <w:proofErr w:type="spellEnd"/>
      <w:r>
        <w:rPr>
          <w:color w:val="111111"/>
        </w:rPr>
        <w:t xml:space="preserve"> absolutas, se registra qué líneas de negocio de </w:t>
      </w:r>
      <w:proofErr w:type="spellStart"/>
      <w:r>
        <w:rPr>
          <w:color w:val="111111"/>
        </w:rPr>
        <w:t>Cibest</w:t>
      </w:r>
      <w:proofErr w:type="spellEnd"/>
      <w:r>
        <w:rPr>
          <w:color w:val="111111"/>
        </w:rPr>
        <w:t xml:space="preserve"> son regulatoriamente viables, cuáles son posiblemente viables bajo modelos alternativos (corresponsalía, alianza, </w:t>
      </w:r>
      <w:proofErr w:type="spellStart"/>
      <w:r>
        <w:rPr>
          <w:color w:val="111111"/>
        </w:rPr>
        <w:t>sandbox</w:t>
      </w:r>
      <w:proofErr w:type="spellEnd"/>
      <w:r>
        <w:rPr>
          <w:color w:val="111111"/>
        </w:rPr>
        <w:t xml:space="preserve"> regulatorio), y cuáles son actualmente inviables. Esta matriz es un input directo de la fase de señales diferenciadas por </w:t>
      </w:r>
      <w:proofErr w:type="gramStart"/>
      <w:r>
        <w:rPr>
          <w:color w:val="111111"/>
        </w:rPr>
        <w:t>línea</w:t>
      </w:r>
      <w:proofErr w:type="gramEnd"/>
      <w:r>
        <w:rPr>
          <w:color w:val="111111"/>
        </w:rPr>
        <w:t xml:space="preserve"> de negocio en el modelo RADAR </w:t>
      </w:r>
      <w:proofErr w:type="spellStart"/>
      <w:r>
        <w:rPr>
          <w:color w:val="111111"/>
        </w:rPr>
        <w:t>Cibest</w:t>
      </w:r>
      <w:proofErr w:type="spellEnd"/>
      <w:r>
        <w:rPr>
          <w:color w:val="111111"/>
        </w:rPr>
        <w:t xml:space="preserve">: </w:t>
      </w:r>
      <w:r w:rsidRPr="00A76C5A">
        <w:rPr>
          <w:color w:val="111111"/>
          <w:highlight w:val="yellow"/>
        </w:rPr>
        <w:t>si una línea de negocio es regulatoriamente inviable en un mercado, ese mercado recibe automáticamente una clasificación de 'No Prioritario' para esa línea, independientemente de su score cuantitativo general.</w:t>
      </w:r>
    </w:p>
    <w:p w14:paraId="7824C6A3" w14:textId="77777777" w:rsidR="00933177" w:rsidRDefault="00933177" w:rsidP="00933177">
      <w:pPr>
        <w:spacing w:after="100"/>
      </w:pPr>
    </w:p>
    <w:p w14:paraId="396702CC" w14:textId="77777777" w:rsidR="00F17A45" w:rsidRDefault="00F17A45" w:rsidP="00933177">
      <w:pPr>
        <w:spacing w:after="100"/>
      </w:pPr>
    </w:p>
    <w:p w14:paraId="0878A9D9" w14:textId="77777777" w:rsidR="00F17A45" w:rsidRDefault="00F17A45" w:rsidP="00933177">
      <w:pPr>
        <w:spacing w:after="100"/>
      </w:pPr>
    </w:p>
    <w:p w14:paraId="4DDC4FBD" w14:textId="77777777" w:rsidR="00F17A45" w:rsidRDefault="00F17A45" w:rsidP="00933177">
      <w:pPr>
        <w:spacing w:after="100"/>
      </w:pPr>
    </w:p>
    <w:p w14:paraId="35EE57D4" w14:textId="77777777" w:rsidR="00F17A45" w:rsidRDefault="00F17A45" w:rsidP="00933177">
      <w:pPr>
        <w:spacing w:after="100"/>
      </w:pPr>
    </w:p>
    <w:p w14:paraId="35E54CCF" w14:textId="77777777" w:rsidR="00933177" w:rsidRDefault="00933177" w:rsidP="00933177">
      <w:pPr>
        <w:pStyle w:val="Ttulo2"/>
        <w:pBdr>
          <w:bottom w:val="single" w:sz="4" w:space="4" w:color="E8B931"/>
        </w:pBdr>
      </w:pPr>
      <w:bookmarkStart w:id="28" w:name="_Toc232659577"/>
      <w:proofErr w:type="gramStart"/>
      <w:r>
        <w:lastRenderedPageBreak/>
        <w:t>4.4  Entregables</w:t>
      </w:r>
      <w:proofErr w:type="gramEnd"/>
      <w:r>
        <w:t>, participantes y tiempo</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33177" w14:paraId="6D238526"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38C062C3" w14:textId="77777777" w:rsidR="00933177" w:rsidRDefault="00933177" w:rsidP="001F40FE">
            <w:r>
              <w:rPr>
                <w:b/>
                <w:bCs/>
                <w:color w:val="FFFFFF"/>
                <w:sz w:val="20"/>
                <w:szCs w:val="20"/>
              </w:rPr>
              <w:t>Elemento</w:t>
            </w:r>
          </w:p>
        </w:tc>
        <w:tc>
          <w:tcPr>
            <w:tcW w:w="716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4799AA35" w14:textId="77777777" w:rsidR="00933177" w:rsidRDefault="00933177" w:rsidP="001F40FE">
            <w:r>
              <w:rPr>
                <w:b/>
                <w:bCs/>
                <w:color w:val="FFFFFF"/>
                <w:sz w:val="20"/>
                <w:szCs w:val="20"/>
              </w:rPr>
              <w:t>Descripción</w:t>
            </w:r>
          </w:p>
        </w:tc>
      </w:tr>
      <w:tr w:rsidR="00933177" w14:paraId="4B488793"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6B7F11A" w14:textId="77777777" w:rsidR="00933177" w:rsidRDefault="00933177" w:rsidP="001F40FE">
            <w:r>
              <w:rPr>
                <w:b/>
                <w:bCs/>
                <w:color w:val="111111"/>
                <w:sz w:val="20"/>
                <w:szCs w:val="20"/>
              </w:rPr>
              <w:t>Entregable principal</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9A9344E" w14:textId="77777777" w:rsidR="00933177" w:rsidRDefault="00933177" w:rsidP="001F40FE">
            <w:r>
              <w:rPr>
                <w:color w:val="111111"/>
                <w:sz w:val="20"/>
                <w:szCs w:val="20"/>
              </w:rPr>
              <w:t xml:space="preserve">Lista documentada de mercados incluidos en el universo analítico de RADAR </w:t>
            </w:r>
            <w:proofErr w:type="spellStart"/>
            <w:r>
              <w:rPr>
                <w:color w:val="111111"/>
                <w:sz w:val="20"/>
                <w:szCs w:val="20"/>
              </w:rPr>
              <w:t>Cibest</w:t>
            </w:r>
            <w:proofErr w:type="spellEnd"/>
            <w:r>
              <w:rPr>
                <w:color w:val="111111"/>
                <w:sz w:val="20"/>
                <w:szCs w:val="20"/>
              </w:rPr>
              <w:t xml:space="preserve">, con justificación de cada exclusión. Para los mercados excluidos: indicar el criterio de exclusión, la fuente de verificación y la fecha de verificación. Para los mercados incluidos: indicar su clasificación de viabilidad regulatoria por </w:t>
            </w:r>
            <w:proofErr w:type="gramStart"/>
            <w:r>
              <w:rPr>
                <w:color w:val="111111"/>
                <w:sz w:val="20"/>
                <w:szCs w:val="20"/>
              </w:rPr>
              <w:t>línea</w:t>
            </w:r>
            <w:proofErr w:type="gramEnd"/>
            <w:r>
              <w:rPr>
                <w:color w:val="111111"/>
                <w:sz w:val="20"/>
                <w:szCs w:val="20"/>
              </w:rPr>
              <w:t xml:space="preserve"> de negocio (viable / posiblemente viable / no viable actualmente).</w:t>
            </w:r>
          </w:p>
        </w:tc>
      </w:tr>
      <w:tr w:rsidR="00933177" w14:paraId="2DCFBF38"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885FA2E" w14:textId="77777777" w:rsidR="00933177" w:rsidRDefault="00933177" w:rsidP="001F40FE">
            <w:r>
              <w:rPr>
                <w:b/>
                <w:bCs/>
                <w:color w:val="111111"/>
                <w:sz w:val="20"/>
                <w:szCs w:val="20"/>
              </w:rPr>
              <w:t>Entregable complementario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6DB8025" w14:textId="77777777" w:rsidR="00933177" w:rsidRDefault="00933177" w:rsidP="001F40FE">
            <w:r>
              <w:rPr>
                <w:color w:val="111111"/>
                <w:sz w:val="20"/>
                <w:szCs w:val="20"/>
              </w:rPr>
              <w:t xml:space="preserve">Matriz de viabilidad regulatoria básica: filas = mercados incluidos en el universo, columnas = cinco líneas de negocio de </w:t>
            </w:r>
            <w:proofErr w:type="spellStart"/>
            <w:r>
              <w:rPr>
                <w:color w:val="111111"/>
                <w:sz w:val="20"/>
                <w:szCs w:val="20"/>
              </w:rPr>
              <w:t>Cibest</w:t>
            </w:r>
            <w:proofErr w:type="spellEnd"/>
            <w:r>
              <w:rPr>
                <w:color w:val="111111"/>
                <w:sz w:val="20"/>
                <w:szCs w:val="20"/>
              </w:rPr>
              <w:t xml:space="preserve">, celdas = clasificación de viabilidad con nota de fuente. Este documento es un input formal de la configuración del motor de reglas de RADAR </w:t>
            </w:r>
            <w:proofErr w:type="spellStart"/>
            <w:r>
              <w:rPr>
                <w:color w:val="111111"/>
                <w:sz w:val="20"/>
                <w:szCs w:val="20"/>
              </w:rPr>
              <w:t>Cibest</w:t>
            </w:r>
            <w:proofErr w:type="spellEnd"/>
            <w:r>
              <w:rPr>
                <w:color w:val="111111"/>
                <w:sz w:val="20"/>
                <w:szCs w:val="20"/>
              </w:rPr>
              <w:t>.</w:t>
            </w:r>
          </w:p>
        </w:tc>
      </w:tr>
      <w:tr w:rsidR="00933177" w14:paraId="7545CF00"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5E78E87" w14:textId="77777777" w:rsidR="00933177" w:rsidRDefault="00933177" w:rsidP="001F40FE">
            <w:r>
              <w:rPr>
                <w:b/>
                <w:bCs/>
                <w:color w:val="111111"/>
                <w:sz w:val="20"/>
                <w:szCs w:val="20"/>
              </w:rPr>
              <w:t>Participantes</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F5399F2" w14:textId="77777777" w:rsidR="00933177" w:rsidRDefault="00933177" w:rsidP="001F40FE">
            <w:r>
              <w:rPr>
                <w:color w:val="111111"/>
                <w:sz w:val="20"/>
                <w:szCs w:val="20"/>
              </w:rPr>
              <w:t xml:space="preserve">líderes de RADAR </w:t>
            </w:r>
            <w:proofErr w:type="spellStart"/>
            <w:r>
              <w:rPr>
                <w:color w:val="111111"/>
                <w:sz w:val="20"/>
                <w:szCs w:val="20"/>
              </w:rPr>
              <w:t>Cibest</w:t>
            </w:r>
            <w:proofErr w:type="spellEnd"/>
            <w:r>
              <w:rPr>
                <w:color w:val="111111"/>
                <w:sz w:val="20"/>
                <w:szCs w:val="20"/>
              </w:rPr>
              <w:t xml:space="preserve"> (investigación y síntesis primaria). Asesor legal externo con experiencia en regulación financiera latinoamericana (revisión de la clasificación de viabilidad regulatoria). Director de Estrategia Corporativa (aprobación). No se requiere participación del Comité Ejecutivo en esta fase.</w:t>
            </w:r>
          </w:p>
        </w:tc>
      </w:tr>
      <w:tr w:rsidR="00933177" w14:paraId="50A87DAF"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2231708" w14:textId="77777777" w:rsidR="00933177" w:rsidRDefault="00933177" w:rsidP="001F40FE">
            <w:r>
              <w:rPr>
                <w:b/>
                <w:bCs/>
                <w:color w:val="111111"/>
                <w:sz w:val="20"/>
                <w:szCs w:val="20"/>
              </w:rPr>
              <w:t>Tiempo estimado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7375443" w14:textId="77777777" w:rsidR="00933177" w:rsidRDefault="00933177" w:rsidP="001F40FE">
            <w:r>
              <w:rPr>
                <w:color w:val="111111"/>
                <w:sz w:val="20"/>
                <w:szCs w:val="20"/>
              </w:rPr>
              <w:t>1 a 2 semanas. La mayoría de los criterios de exclusión absoluta se verifican en 2-3 días con fuentes públicas. La evaluación de viabilidad regulatoria básica requiere 5-8 días adicionales, incluyendo la consulta con asesor legal. Esta fase puede ejecutarse en paralelo con el trabajo de configuración inicial del modelo RADAR.</w:t>
            </w:r>
          </w:p>
        </w:tc>
      </w:tr>
      <w:tr w:rsidR="00933177" w14:paraId="33531EB2"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AEA7944" w14:textId="77777777" w:rsidR="00933177" w:rsidRDefault="00933177" w:rsidP="001F40FE">
            <w:r>
              <w:rPr>
                <w:b/>
                <w:bCs/>
                <w:color w:val="111111"/>
                <w:sz w:val="20"/>
                <w:szCs w:val="20"/>
              </w:rPr>
              <w:t>Fuentes clave</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03B059D" w14:textId="3794DE6F" w:rsidR="00933177" w:rsidRDefault="00933177" w:rsidP="001F40FE">
            <w:r>
              <w:rPr>
                <w:color w:val="111111"/>
                <w:sz w:val="20"/>
                <w:szCs w:val="20"/>
              </w:rPr>
              <w:t xml:space="preserve">OFAC: https://ofac.treasury.gov/ | FMI-WEO: https://www.imf.org/en/Publications/WEO | Banco Mundial BEE: https://www.worldbank.org/en/programs/business-enabling-environment | CAF Regulación Fintech: https://www.caf.com | Baker McKenzie </w:t>
            </w:r>
            <w:proofErr w:type="spellStart"/>
            <w:r>
              <w:rPr>
                <w:color w:val="111111"/>
                <w:sz w:val="20"/>
                <w:szCs w:val="20"/>
              </w:rPr>
              <w:t>Financial</w:t>
            </w:r>
            <w:proofErr w:type="spellEnd"/>
            <w:r>
              <w:rPr>
                <w:color w:val="111111"/>
                <w:sz w:val="20"/>
                <w:szCs w:val="20"/>
              </w:rPr>
              <w:t xml:space="preserve"> </w:t>
            </w:r>
            <w:proofErr w:type="spellStart"/>
            <w:r>
              <w:rPr>
                <w:color w:val="111111"/>
                <w:sz w:val="20"/>
                <w:szCs w:val="20"/>
              </w:rPr>
              <w:t>Regulatory</w:t>
            </w:r>
            <w:proofErr w:type="spellEnd"/>
            <w:r>
              <w:rPr>
                <w:color w:val="111111"/>
                <w:sz w:val="20"/>
                <w:szCs w:val="20"/>
              </w:rPr>
              <w:t xml:space="preserve"> Guide: </w:t>
            </w:r>
            <w:hyperlink r:id="rId11" w:history="1">
              <w:r w:rsidR="007911DB" w:rsidRPr="00416949">
                <w:rPr>
                  <w:rStyle w:val="Hipervnculo"/>
                  <w:sz w:val="20"/>
                  <w:szCs w:val="20"/>
                </w:rPr>
                <w:t>https://www.bakermckenzie.com/en/insight/publications</w:t>
              </w:r>
            </w:hyperlink>
          </w:p>
        </w:tc>
      </w:tr>
    </w:tbl>
    <w:p w14:paraId="16CD5128" w14:textId="77777777" w:rsidR="00933177" w:rsidRDefault="00933177" w:rsidP="00933177">
      <w:r>
        <w:br w:type="page"/>
      </w:r>
    </w:p>
    <w:p w14:paraId="5DAF31BD" w14:textId="77777777" w:rsidR="00933177" w:rsidRPr="0006009F" w:rsidRDefault="00933177" w:rsidP="00933177">
      <w:pPr>
        <w:pStyle w:val="Ttulo1"/>
        <w:ind w:left="200" w:right="200"/>
        <w:rPr>
          <w:color w:val="auto"/>
        </w:rPr>
      </w:pPr>
      <w:bookmarkStart w:id="29" w:name="_Toc232659578"/>
      <w:r w:rsidRPr="0006009F">
        <w:rPr>
          <w:color w:val="auto"/>
        </w:rPr>
        <w:lastRenderedPageBreak/>
        <w:t>Sección 5 — Fase 3: El Modelo Cuantitativo RADAR Cibest — Arquitectura, Outputs y Validación</w:t>
      </w:r>
      <w:bookmarkEnd w:id="29"/>
    </w:p>
    <w:p w14:paraId="25140112" w14:textId="77777777" w:rsidR="00933177" w:rsidRDefault="00933177" w:rsidP="00933177">
      <w:pPr>
        <w:spacing w:after="100"/>
      </w:pPr>
    </w:p>
    <w:p w14:paraId="0B79C81D" w14:textId="20A52249" w:rsidR="00933177" w:rsidRDefault="00933177" w:rsidP="00933177">
      <w:pPr>
        <w:spacing w:before="140" w:after="140" w:line="320" w:lineRule="auto"/>
        <w:jc w:val="both"/>
      </w:pPr>
      <w:r>
        <w:rPr>
          <w:color w:val="111111"/>
        </w:rPr>
        <w:t xml:space="preserve">Esta sección es el núcleo técnico del </w:t>
      </w:r>
      <w:r w:rsidR="00AA01B4">
        <w:rPr>
          <w:color w:val="111111"/>
        </w:rPr>
        <w:t>documento</w:t>
      </w:r>
      <w:r>
        <w:rPr>
          <w:color w:val="111111"/>
        </w:rPr>
        <w:t xml:space="preserve">. Explica el sistema RADAR </w:t>
      </w:r>
      <w:proofErr w:type="spellStart"/>
      <w:r>
        <w:rPr>
          <w:color w:val="111111"/>
        </w:rPr>
        <w:t>Cibest</w:t>
      </w:r>
      <w:proofErr w:type="spellEnd"/>
      <w:r>
        <w:rPr>
          <w:color w:val="111111"/>
        </w:rPr>
        <w:t xml:space="preserve"> al Comité Ejecutivo y a la Junta Directiva de manera que sean capaces de entender qué hace el modelo, qué significa cada uno de sus outputs, y por qué confiar —y por qué no confiar incondicionalmente— en sus resultados. Al mismo tiempo, orienta al equipo técnico de estrategia con suficiente detalle sobre los principios que guían cada decisión de diseño del modelo. La regla de presentación de esta sección, y del documento en general, es que los nombres de las técnicas matemáticas específicas que componen el modelo no aparecen en el cuerpo del texto: son información técnica del equipo de estrategia, no información que el Comité Ejecutivo necesita para aprobar y usar el proceso. Lo que el Comité necesita entender es qué hacen esas técnicas, no cómo se llaman.</w:t>
      </w:r>
    </w:p>
    <w:p w14:paraId="59FEB954" w14:textId="77777777" w:rsidR="00933177" w:rsidRDefault="00933177" w:rsidP="00933177">
      <w:pPr>
        <w:spacing w:after="100"/>
      </w:pPr>
    </w:p>
    <w:p w14:paraId="1C18BF95" w14:textId="77777777" w:rsidR="00933177" w:rsidRDefault="00933177" w:rsidP="00933177">
      <w:pPr>
        <w:pStyle w:val="Ttulo2"/>
        <w:pBdr>
          <w:bottom w:val="single" w:sz="4" w:space="4" w:color="E8B931"/>
        </w:pBdr>
      </w:pPr>
      <w:bookmarkStart w:id="30" w:name="_Toc232659579"/>
      <w:proofErr w:type="gramStart"/>
      <w:r>
        <w:t>5.1  Qué</w:t>
      </w:r>
      <w:proofErr w:type="gramEnd"/>
      <w:r>
        <w:t xml:space="preserve"> es RADAR </w:t>
      </w:r>
      <w:proofErr w:type="spellStart"/>
      <w:r>
        <w:t>Cibest</w:t>
      </w:r>
      <w:proofErr w:type="spellEnd"/>
      <w:r>
        <w:t xml:space="preserve"> y cuál es su rol en el proceso</w:t>
      </w:r>
      <w:bookmarkEnd w:id="30"/>
    </w:p>
    <w:p w14:paraId="7C7A7877" w14:textId="77777777" w:rsidR="00933177" w:rsidRDefault="00933177" w:rsidP="00933177">
      <w:pPr>
        <w:spacing w:before="140" w:after="140" w:line="320" w:lineRule="auto"/>
        <w:jc w:val="both"/>
      </w:pPr>
      <w:r>
        <w:rPr>
          <w:b/>
          <w:bCs/>
          <w:color w:val="111111"/>
        </w:rPr>
        <w:t xml:space="preserve">RADAR </w:t>
      </w:r>
      <w:proofErr w:type="spellStart"/>
      <w:r>
        <w:rPr>
          <w:b/>
          <w:bCs/>
          <w:color w:val="111111"/>
        </w:rPr>
        <w:t>Cibest</w:t>
      </w:r>
      <w:proofErr w:type="spellEnd"/>
      <w:r>
        <w:rPr>
          <w:b/>
          <w:bCs/>
          <w:color w:val="111111"/>
        </w:rPr>
        <w:t xml:space="preserve"> (Ranking de Atractivo y Diagnóstico Analítico Regional) </w:t>
      </w:r>
      <w:r>
        <w:rPr>
          <w:color w:val="111111"/>
        </w:rPr>
        <w:t xml:space="preserve">es el sistema de producción de inteligencia cuantitativa del proceso de Selección Internacional de Mercados. Su función es producir, de forma sistemática, reproducible y basada en evidencia, </w:t>
      </w:r>
      <w:r w:rsidRPr="00573D47">
        <w:rPr>
          <w:color w:val="111111"/>
          <w:highlight w:val="yellow"/>
        </w:rPr>
        <w:t xml:space="preserve">tres tipos de output simultáneos: un ordenamiento de los mercados del universo definido según su atractivo para Grupo </w:t>
      </w:r>
      <w:proofErr w:type="spellStart"/>
      <w:r w:rsidRPr="00573D47">
        <w:rPr>
          <w:color w:val="111111"/>
          <w:highlight w:val="yellow"/>
        </w:rPr>
        <w:t>Cibest</w:t>
      </w:r>
      <w:proofErr w:type="spellEnd"/>
      <w:r w:rsidRPr="00573D47">
        <w:rPr>
          <w:color w:val="111111"/>
          <w:highlight w:val="yellow"/>
        </w:rPr>
        <w:t>, un diagnóstico de fortalezas y debilidades de cada mercado en las dimensiones relevantes, y señales diferenciadas de oportunidad para cada una de las cinco líneas de negocio.</w:t>
      </w:r>
      <w:r>
        <w:rPr>
          <w:color w:val="111111"/>
        </w:rPr>
        <w:t xml:space="preserve"> La distinción entre estos tres tipos de output no es trivial: el ordenamiento general responde a la pregunta '¿cuáles son los mejores mercados para </w:t>
      </w:r>
      <w:proofErr w:type="spellStart"/>
      <w:r>
        <w:rPr>
          <w:color w:val="111111"/>
        </w:rPr>
        <w:t>Cibest</w:t>
      </w:r>
      <w:proofErr w:type="spellEnd"/>
      <w:r>
        <w:rPr>
          <w:color w:val="111111"/>
        </w:rPr>
        <w:t xml:space="preserve"> en conjunto?', el perfil de fortalezas y debilidades responde a '¿por qué ese mercado es atractivo o no, y en qué dimensiones?', y las señales por </w:t>
      </w:r>
      <w:proofErr w:type="gramStart"/>
      <w:r>
        <w:rPr>
          <w:color w:val="111111"/>
        </w:rPr>
        <w:t>línea</w:t>
      </w:r>
      <w:proofErr w:type="gramEnd"/>
      <w:r>
        <w:rPr>
          <w:color w:val="111111"/>
        </w:rPr>
        <w:t xml:space="preserve"> de negocio responden a '¿para cuál de mis cinco negocios específicos es este mercado una oportunidad?'.</w:t>
      </w:r>
    </w:p>
    <w:p w14:paraId="342E356C" w14:textId="13D4FBE7" w:rsidR="00933177" w:rsidRDefault="00933177" w:rsidP="00DB3950">
      <w:pPr>
        <w:spacing w:before="140" w:after="140" w:line="320" w:lineRule="auto"/>
        <w:jc w:val="both"/>
      </w:pPr>
      <w:r>
        <w:rPr>
          <w:color w:val="111111"/>
        </w:rPr>
        <w:t xml:space="preserve">La distinción más importante que el Comité Ejecutivo debe retener sobre RADAR </w:t>
      </w:r>
      <w:proofErr w:type="spellStart"/>
      <w:r>
        <w:rPr>
          <w:color w:val="111111"/>
        </w:rPr>
        <w:t>Cibest</w:t>
      </w:r>
      <w:proofErr w:type="spellEnd"/>
      <w:r>
        <w:rPr>
          <w:color w:val="111111"/>
        </w:rPr>
        <w:t xml:space="preserve"> es la siguiente: </w:t>
      </w:r>
      <w:r w:rsidRPr="00C976B7">
        <w:rPr>
          <w:color w:val="111111"/>
          <w:highlight w:val="yellow"/>
        </w:rPr>
        <w:t>RADAR es el sistema de producción de inteligencia cuantitativa que informa al sistema de toma de decisiones, no el sistema de toma de decisiones en sí mismo. El modelo produce evidencia ordenada y estructurada; la decisión la toman personas con contexto estratégico, conocimiento relacional e información cualitativa que el modelo, por construcción, no puede capturar. Tratar el output de RADAR como una recomendación de entrada a un mercado es un uso incorrecto del modelo. Tratarlo como el punto de partida más sólido disponible para el análisis estratégico cualitativo y la deliberación directiva es el uso correcto</w:t>
      </w:r>
      <w:r>
        <w:rPr>
          <w:color w:val="111111"/>
        </w:rPr>
        <w:t>.</w:t>
      </w:r>
    </w:p>
    <w:p w14:paraId="6BC43E02" w14:textId="77777777" w:rsidR="00933177" w:rsidRDefault="00933177" w:rsidP="00933177">
      <w:pPr>
        <w:pStyle w:val="Ttulo2"/>
        <w:pBdr>
          <w:bottom w:val="single" w:sz="4" w:space="4" w:color="E8B931"/>
        </w:pBdr>
      </w:pPr>
      <w:bookmarkStart w:id="31" w:name="_Toc232659580"/>
      <w:proofErr w:type="gramStart"/>
      <w:r>
        <w:lastRenderedPageBreak/>
        <w:t>5.2  Arquitectura</w:t>
      </w:r>
      <w:proofErr w:type="gramEnd"/>
      <w:r>
        <w:t xml:space="preserve"> del modelo: los tres pilares del enfoque </w:t>
      </w:r>
      <w:proofErr w:type="spellStart"/>
      <w:r>
        <w:t>multicriteria</w:t>
      </w:r>
      <w:proofErr w:type="spellEnd"/>
      <w:r>
        <w:t xml:space="preserve"> híbrido</w:t>
      </w:r>
      <w:bookmarkEnd w:id="31"/>
    </w:p>
    <w:p w14:paraId="628BCCE5" w14:textId="77777777" w:rsidR="00933177" w:rsidRDefault="00933177" w:rsidP="00933177">
      <w:pPr>
        <w:spacing w:before="140" w:after="140" w:line="320" w:lineRule="auto"/>
        <w:jc w:val="both"/>
      </w:pPr>
      <w:r>
        <w:rPr>
          <w:color w:val="111111"/>
        </w:rPr>
        <w:t xml:space="preserve">El modelo RADAR </w:t>
      </w:r>
      <w:proofErr w:type="spellStart"/>
      <w:r>
        <w:rPr>
          <w:color w:val="111111"/>
        </w:rPr>
        <w:t>Cibest</w:t>
      </w:r>
      <w:proofErr w:type="spellEnd"/>
      <w:r>
        <w:rPr>
          <w:color w:val="111111"/>
        </w:rPr>
        <w:t xml:space="preserve"> implementa un enfoque multicriterio híbrido que incorpora la percepción ponderada de la alta dirección. Su arquitectura descansa en tres pilares que operan de manera secuencial y complementaria. El primer pilar captura qué valora la dirección de </w:t>
      </w:r>
      <w:proofErr w:type="spellStart"/>
      <w:r>
        <w:rPr>
          <w:color w:val="111111"/>
        </w:rPr>
        <w:t>Cibest</w:t>
      </w:r>
      <w:proofErr w:type="spellEnd"/>
      <w:r>
        <w:rPr>
          <w:color w:val="111111"/>
        </w:rPr>
        <w:t xml:space="preserve"> al evaluar un mercado. El segundo pilar aplica esa valoración a los datos objetivos de cada país para producir un ranking. El tercero captura la proximidad de cada mercado con Colombia. La integración de los tres pilares produce el score RADAR, que es la medida compuesta de atractivo de cada mercado. A </w:t>
      </w:r>
      <w:proofErr w:type="gramStart"/>
      <w:r>
        <w:rPr>
          <w:color w:val="111111"/>
        </w:rPr>
        <w:t>continuación</w:t>
      </w:r>
      <w:proofErr w:type="gramEnd"/>
      <w:r>
        <w:rPr>
          <w:color w:val="111111"/>
        </w:rPr>
        <w:t xml:space="preserve"> se describe cada pilar en detalle.</w:t>
      </w:r>
    </w:p>
    <w:p w14:paraId="284060A8" w14:textId="77777777" w:rsidR="00933177" w:rsidRDefault="00933177" w:rsidP="00933177">
      <w:pPr>
        <w:spacing w:after="100"/>
      </w:pPr>
    </w:p>
    <w:p w14:paraId="48C8E359" w14:textId="77777777" w:rsidR="00933177" w:rsidRDefault="00933177" w:rsidP="00933177">
      <w:pPr>
        <w:pStyle w:val="Ttulo3"/>
      </w:pPr>
      <w:bookmarkStart w:id="32" w:name="_Toc232659581"/>
      <w:r>
        <w:t xml:space="preserve">Pilar 1 — Ponderación con percepción directiva: qué valora más la dirección de </w:t>
      </w:r>
      <w:proofErr w:type="spellStart"/>
      <w:r>
        <w:t>Cibest</w:t>
      </w:r>
      <w:bookmarkEnd w:id="32"/>
      <w:proofErr w:type="spellEnd"/>
    </w:p>
    <w:p w14:paraId="5DC6B0C3" w14:textId="77777777" w:rsidR="00933177" w:rsidRDefault="00933177" w:rsidP="00933177">
      <w:pPr>
        <w:spacing w:before="140" w:after="140" w:line="320" w:lineRule="auto"/>
        <w:jc w:val="both"/>
      </w:pPr>
      <w:r>
        <w:rPr>
          <w:color w:val="111111"/>
        </w:rPr>
        <w:t xml:space="preserve">El primer pilar del modelo captura la visión estratégica de la alta dirección sobre qué dimensiones del atractivo de un mercado son más importantes para Grupo </w:t>
      </w:r>
      <w:proofErr w:type="spellStart"/>
      <w:r>
        <w:rPr>
          <w:color w:val="111111"/>
        </w:rPr>
        <w:t>Cibest</w:t>
      </w:r>
      <w:proofErr w:type="spellEnd"/>
      <w:r>
        <w:rPr>
          <w:color w:val="111111"/>
        </w:rPr>
        <w:t xml:space="preserve"> en su objetivo de internacionalización. Esta captura se realiza mediante un ejercicio estructurado de priorización que el equipo de Estrategia Corporativa facilita con el Comité Ejecutivo. En ese ejercicio, los ejecutivos expresan la importancia relativa de las cinco dimensiones del modelo — Macroeconómica, Financiera, Institucional, Tecnológica y Proximidad con Colombia — mediante comparaciones por pares: se les pregunta, para cada par posible de dimensiones, cuál consideran más importante para la internacionalización de </w:t>
      </w:r>
      <w:proofErr w:type="spellStart"/>
      <w:r>
        <w:rPr>
          <w:color w:val="111111"/>
        </w:rPr>
        <w:t>Cibest</w:t>
      </w:r>
      <w:proofErr w:type="spellEnd"/>
      <w:r>
        <w:rPr>
          <w:color w:val="111111"/>
        </w:rPr>
        <w:t xml:space="preserve"> y en qué medida.</w:t>
      </w:r>
    </w:p>
    <w:p w14:paraId="2A78041B" w14:textId="77777777" w:rsidR="00933177" w:rsidRDefault="00933177" w:rsidP="00933177">
      <w:pPr>
        <w:spacing w:before="140" w:after="140" w:line="320" w:lineRule="auto"/>
        <w:jc w:val="both"/>
      </w:pPr>
      <w:r>
        <w:rPr>
          <w:color w:val="111111"/>
        </w:rPr>
        <w:t xml:space="preserve">Este proceso de elicitación produce un conjunto de pesos matemáticamente derivados de las preferencias declaradas por los ejecutivos, no definidos unilateralmente por el equipo técnico. La consistencia matemática de esas preferencias se valida formalmente: si el Comité declara que la dimensión Macroeconómica es más importante que la Financiera, y la Financiera más importante que la Institucional, pero también que la Institucional es más importante que la Macroeconómica, se detecta una inconsistencia que se devuelve al ejecutivo para revisión antes de calcular los pesos definitivos. Este mecanismo de validación de consistencia es una garantía de calidad del proceso deliberativo, no una corrección técnica: le dice al ejecutivo que sus propias preferencias son </w:t>
      </w:r>
      <w:proofErr w:type="spellStart"/>
      <w:r>
        <w:rPr>
          <w:color w:val="111111"/>
        </w:rPr>
        <w:t>autocontradictorias</w:t>
      </w:r>
      <w:proofErr w:type="spellEnd"/>
      <w:r>
        <w:rPr>
          <w:color w:val="111111"/>
        </w:rPr>
        <w:t xml:space="preserve"> y le pide que las revise.</w:t>
      </w:r>
    </w:p>
    <w:p w14:paraId="59423C6D" w14:textId="77777777" w:rsidR="00933177" w:rsidRDefault="00933177" w:rsidP="00933177">
      <w:pPr>
        <w:spacing w:before="140" w:after="140" w:line="320" w:lineRule="auto"/>
        <w:jc w:val="both"/>
      </w:pPr>
      <w:r>
        <w:rPr>
          <w:color w:val="111111"/>
        </w:rPr>
        <w:t xml:space="preserve">El pilar de ponderación directiva es el elemento más estratégico del modelo porque es el que conecta la visión de la alta dirección con el análisis cuantitativo. Unos pesos mal calibrados — ya sea porque el proceso de elicitación fue superficial, porque los ejecutivos respondieron sin reflexión suficiente, o porque los pesos no fueron validados en su consistencia — producen un ranking que no refleja las prioridades reales de </w:t>
      </w:r>
      <w:proofErr w:type="spellStart"/>
      <w:r>
        <w:rPr>
          <w:color w:val="111111"/>
        </w:rPr>
        <w:t>Cibest</w:t>
      </w:r>
      <w:proofErr w:type="spellEnd"/>
      <w:r>
        <w:rPr>
          <w:color w:val="111111"/>
        </w:rPr>
        <w:t xml:space="preserve">, independientemente de la calidad de los datos. La bibliografía de referencia para el método de ponderación utilizado en RADAR </w:t>
      </w:r>
      <w:proofErr w:type="spellStart"/>
      <w:r>
        <w:rPr>
          <w:color w:val="111111"/>
        </w:rPr>
        <w:t>Cibest</w:t>
      </w:r>
      <w:proofErr w:type="spellEnd"/>
      <w:r>
        <w:rPr>
          <w:color w:val="111111"/>
        </w:rPr>
        <w:t xml:space="preserve"> </w:t>
      </w:r>
      <w:r>
        <w:rPr>
          <w:color w:val="111111"/>
        </w:rPr>
        <w:lastRenderedPageBreak/>
        <w:t>es: Rezaei, J. (2015). Best-Worst Method: A New Multi-</w:t>
      </w:r>
      <w:proofErr w:type="spellStart"/>
      <w:r>
        <w:rPr>
          <w:color w:val="111111"/>
        </w:rPr>
        <w:t>Criteria</w:t>
      </w:r>
      <w:proofErr w:type="spellEnd"/>
      <w:r>
        <w:rPr>
          <w:color w:val="111111"/>
        </w:rPr>
        <w:t xml:space="preserve"> </w:t>
      </w:r>
      <w:proofErr w:type="spellStart"/>
      <w:r>
        <w:rPr>
          <w:color w:val="111111"/>
        </w:rPr>
        <w:t>Decision-Making</w:t>
      </w:r>
      <w:proofErr w:type="spellEnd"/>
      <w:r>
        <w:rPr>
          <w:color w:val="111111"/>
        </w:rPr>
        <w:t xml:space="preserve"> Method </w:t>
      </w:r>
      <w:proofErr w:type="spellStart"/>
      <w:r>
        <w:rPr>
          <w:color w:val="111111"/>
        </w:rPr>
        <w:t>for</w:t>
      </w:r>
      <w:proofErr w:type="spellEnd"/>
      <w:r>
        <w:rPr>
          <w:color w:val="111111"/>
        </w:rPr>
        <w:t xml:space="preserve"> </w:t>
      </w:r>
      <w:proofErr w:type="spellStart"/>
      <w:r>
        <w:rPr>
          <w:color w:val="111111"/>
        </w:rPr>
        <w:t>Complex</w:t>
      </w:r>
      <w:proofErr w:type="spellEnd"/>
      <w:r>
        <w:rPr>
          <w:color w:val="111111"/>
        </w:rPr>
        <w:t xml:space="preserve"> </w:t>
      </w:r>
      <w:proofErr w:type="spellStart"/>
      <w:r>
        <w:rPr>
          <w:color w:val="111111"/>
        </w:rPr>
        <w:t>Decisions</w:t>
      </w:r>
      <w:proofErr w:type="spellEnd"/>
      <w:r>
        <w:rPr>
          <w:color w:val="111111"/>
        </w:rPr>
        <w:t>. Omega, 53, 49-57 [https://doi.org/10.1016/j.omega.2014.11.009].</w:t>
      </w:r>
    </w:p>
    <w:p w14:paraId="5D14F96A" w14:textId="77777777" w:rsidR="00933177" w:rsidRDefault="00933177" w:rsidP="00933177">
      <w:pPr>
        <w:spacing w:after="100"/>
      </w:pPr>
    </w:p>
    <w:p w14:paraId="08B12CDB" w14:textId="77777777" w:rsidR="00933177" w:rsidRDefault="00933177" w:rsidP="00933177">
      <w:pPr>
        <w:pStyle w:val="Ttulo3"/>
      </w:pPr>
      <w:bookmarkStart w:id="33" w:name="_Toc232659582"/>
      <w:r>
        <w:t>Pilar 2 — Ranking cuantitativo: cómo los datos objetivos posicionan a cada mercado</w:t>
      </w:r>
      <w:bookmarkEnd w:id="33"/>
    </w:p>
    <w:p w14:paraId="10127CC4" w14:textId="77777777" w:rsidR="00933177" w:rsidRDefault="00933177" w:rsidP="00933177">
      <w:pPr>
        <w:spacing w:before="140" w:after="140" w:line="320" w:lineRule="auto"/>
        <w:jc w:val="both"/>
      </w:pPr>
      <w:r>
        <w:rPr>
          <w:color w:val="111111"/>
        </w:rPr>
        <w:t xml:space="preserve">El segundo pilar aplica los pesos directivos derivados en el Pilar 1 a los datos observados de cada país en las treinta y cinco variables del modelo, produciendo tres outputs simultáneos: un score compuesto de atractivo para cada país, un perfil de fortalezas y debilidades por dimensión, y un ranking de los países del universo. El proceso técnico de construcción de este ranking sigue una metodología de ranking por comparación con soluciones de referencia: cada país es evaluado en función de su cercanía al mercado ideal hipotético — aquel que obtiene el mejor valor posible en todas las variables simultáneamente — y su lejanía del mercado </w:t>
      </w:r>
      <w:proofErr w:type="spellStart"/>
      <w:r>
        <w:rPr>
          <w:color w:val="111111"/>
        </w:rPr>
        <w:t>anti-ideal</w:t>
      </w:r>
      <w:proofErr w:type="spellEnd"/>
      <w:r>
        <w:rPr>
          <w:color w:val="111111"/>
        </w:rPr>
        <w:t xml:space="preserve"> — el que obtiene el peor valor posible. Un país que está más cerca del ideal y más lejos del </w:t>
      </w:r>
      <w:proofErr w:type="spellStart"/>
      <w:r>
        <w:rPr>
          <w:color w:val="111111"/>
        </w:rPr>
        <w:t>anti-ideal</w:t>
      </w:r>
      <w:proofErr w:type="spellEnd"/>
      <w:r>
        <w:rPr>
          <w:color w:val="111111"/>
        </w:rPr>
        <w:t xml:space="preserve"> obtiene un score más alto. Esta aproximación tiene la ventaja de ser intuitivamente interpretable: un mercado bien posicionado es aquel que se acerca a las mejores condiciones posibles en todas las dimensiones que la dirección valora, no solo en las que a priori parecen más obvias.</w:t>
      </w:r>
    </w:p>
    <w:p w14:paraId="30492F50" w14:textId="77777777" w:rsidR="00933177" w:rsidRDefault="00933177" w:rsidP="00933177">
      <w:pPr>
        <w:spacing w:before="140" w:after="140" w:line="320" w:lineRule="auto"/>
        <w:jc w:val="both"/>
      </w:pPr>
      <w:r>
        <w:rPr>
          <w:color w:val="111111"/>
        </w:rPr>
        <w:t xml:space="preserve">El ranking cuantitativo se ejecuta cinco veces en paralelo, una por cada línea de negocio de </w:t>
      </w:r>
      <w:proofErr w:type="spellStart"/>
      <w:r>
        <w:rPr>
          <w:color w:val="111111"/>
        </w:rPr>
        <w:t>Cibest</w:t>
      </w:r>
      <w:proofErr w:type="spellEnd"/>
      <w:r>
        <w:rPr>
          <w:color w:val="111111"/>
        </w:rPr>
        <w:t xml:space="preserve">. Cada ejecución utiliza el mismo conjunto de treinta y cinco </w:t>
      </w:r>
      <w:proofErr w:type="gramStart"/>
      <w:r>
        <w:rPr>
          <w:color w:val="111111"/>
        </w:rPr>
        <w:t>variables</w:t>
      </w:r>
      <w:proofErr w:type="gramEnd"/>
      <w:r>
        <w:rPr>
          <w:color w:val="111111"/>
        </w:rPr>
        <w:t xml:space="preserve"> pero con una codificación de relevancia diferente: para cada variable y cada línea de negocio, el modelo aplica una codificación A (alta relevancia — la variable es específicamente diferenciadora para esa línea) o B (relevancia base — la variable es pertinente pero no diferenciadora). Esta codificación produce señales de atractivo que pueden variar significativamente entre líneas de negocio para el mismo mercado: un país puede estar en el puesto octavo del ranking </w:t>
      </w:r>
      <w:proofErr w:type="gramStart"/>
      <w:r>
        <w:rPr>
          <w:color w:val="111111"/>
        </w:rPr>
        <w:t>general</w:t>
      </w:r>
      <w:proofErr w:type="gramEnd"/>
      <w:r>
        <w:rPr>
          <w:color w:val="111111"/>
        </w:rPr>
        <w:t xml:space="preserve"> pero en el primero para la línea de Activos Digitales si sus condiciones específicas — marco regulatorio de </w:t>
      </w:r>
      <w:proofErr w:type="spellStart"/>
      <w:r>
        <w:rPr>
          <w:color w:val="111111"/>
        </w:rPr>
        <w:t>criptoactivos</w:t>
      </w:r>
      <w:proofErr w:type="spellEnd"/>
      <w:r>
        <w:rPr>
          <w:color w:val="111111"/>
        </w:rPr>
        <w:t xml:space="preserve">, penetración de internet, disposición cultural hacia activos digitales — son excepcionalmente favorables para esa línea. La bibliografía de referencia para el método de ranking utilizado en RADAR </w:t>
      </w:r>
      <w:proofErr w:type="spellStart"/>
      <w:r>
        <w:rPr>
          <w:color w:val="111111"/>
        </w:rPr>
        <w:t>Cibest</w:t>
      </w:r>
      <w:proofErr w:type="spellEnd"/>
      <w:r>
        <w:rPr>
          <w:color w:val="111111"/>
        </w:rPr>
        <w:t xml:space="preserve"> es: Hwang, C.L. &amp; Yoon, K. (1981). </w:t>
      </w:r>
      <w:proofErr w:type="spellStart"/>
      <w:r>
        <w:rPr>
          <w:color w:val="111111"/>
        </w:rPr>
        <w:t>Multiple</w:t>
      </w:r>
      <w:proofErr w:type="spellEnd"/>
      <w:r>
        <w:rPr>
          <w:color w:val="111111"/>
        </w:rPr>
        <w:t xml:space="preserve"> Attribute </w:t>
      </w:r>
      <w:proofErr w:type="spellStart"/>
      <w:r>
        <w:rPr>
          <w:color w:val="111111"/>
        </w:rPr>
        <w:t>Decision</w:t>
      </w:r>
      <w:proofErr w:type="spellEnd"/>
      <w:r>
        <w:rPr>
          <w:color w:val="111111"/>
        </w:rPr>
        <w:t xml:space="preserve"> </w:t>
      </w:r>
      <w:proofErr w:type="spellStart"/>
      <w:r>
        <w:rPr>
          <w:color w:val="111111"/>
        </w:rPr>
        <w:t>Making</w:t>
      </w:r>
      <w:proofErr w:type="spellEnd"/>
      <w:r>
        <w:rPr>
          <w:color w:val="111111"/>
        </w:rPr>
        <w:t xml:space="preserve">: </w:t>
      </w:r>
      <w:proofErr w:type="spellStart"/>
      <w:r>
        <w:rPr>
          <w:color w:val="111111"/>
        </w:rPr>
        <w:t>Methods</w:t>
      </w:r>
      <w:proofErr w:type="spellEnd"/>
      <w:r>
        <w:rPr>
          <w:color w:val="111111"/>
        </w:rPr>
        <w:t xml:space="preserve"> and </w:t>
      </w:r>
      <w:proofErr w:type="spellStart"/>
      <w:r>
        <w:rPr>
          <w:color w:val="111111"/>
        </w:rPr>
        <w:t>Applications</w:t>
      </w:r>
      <w:proofErr w:type="spellEnd"/>
      <w:r>
        <w:rPr>
          <w:color w:val="111111"/>
        </w:rPr>
        <w:t>. Springer-</w:t>
      </w:r>
      <w:proofErr w:type="spellStart"/>
      <w:r>
        <w:rPr>
          <w:color w:val="111111"/>
        </w:rPr>
        <w:t>Verlag</w:t>
      </w:r>
      <w:proofErr w:type="spellEnd"/>
      <w:r>
        <w:rPr>
          <w:color w:val="111111"/>
        </w:rPr>
        <w:t xml:space="preserve"> [https://doi.org/10.1007/978-3-642-48318-9].</w:t>
      </w:r>
    </w:p>
    <w:p w14:paraId="02A8EE2D" w14:textId="77777777" w:rsidR="00933177" w:rsidRDefault="00933177" w:rsidP="00933177">
      <w:pPr>
        <w:spacing w:after="100"/>
      </w:pPr>
    </w:p>
    <w:p w14:paraId="25C5ED38" w14:textId="77777777" w:rsidR="00933177" w:rsidRDefault="00933177" w:rsidP="00933177">
      <w:pPr>
        <w:pStyle w:val="Ttulo3"/>
      </w:pPr>
      <w:bookmarkStart w:id="34" w:name="_Toc232659583"/>
      <w:r>
        <w:t>Pilar 3 — Proximidad con Colombia: el factor gravitacional del modelo</w:t>
      </w:r>
      <w:bookmarkEnd w:id="34"/>
    </w:p>
    <w:p w14:paraId="352A5204" w14:textId="77777777" w:rsidR="00933177" w:rsidRDefault="00933177" w:rsidP="00933177">
      <w:pPr>
        <w:spacing w:before="140" w:after="140" w:line="320" w:lineRule="auto"/>
        <w:jc w:val="both"/>
      </w:pPr>
      <w:r>
        <w:rPr>
          <w:color w:val="111111"/>
        </w:rPr>
        <w:t xml:space="preserve">El tercer pilar captura la afinidad geográfica, cultural, lingüística, institucional y migratoria entre Colombia y cada mercado destino. Está fundamentado en la teoría gravitacional del comercio e inversión internacional, que desde su formulación original por Tinbergen (1962) ha acumulado décadas de evidencia empírica demostrando que la distancia en múltiples dimensiones — no solo geográfica — es un predictor robusto de la intensidad de los flujos de comercio, inversión y </w:t>
      </w:r>
      <w:r>
        <w:rPr>
          <w:color w:val="111111"/>
        </w:rPr>
        <w:lastRenderedPageBreak/>
        <w:t xml:space="preserve">migración entre países. La relevancia para </w:t>
      </w:r>
      <w:proofErr w:type="spellStart"/>
      <w:r>
        <w:rPr>
          <w:color w:val="111111"/>
        </w:rPr>
        <w:t>Cibest</w:t>
      </w:r>
      <w:proofErr w:type="spellEnd"/>
      <w:r>
        <w:rPr>
          <w:color w:val="111111"/>
        </w:rPr>
        <w:t xml:space="preserve"> es directa: cuanto mayor es la proximidad entre Colombia y un mercado destino, menores son los costos de establecimiento, menores las barreras culturales y lingüísticas con clientes y reguladores, mayor la masa de colombianos en ese destino como clientes potenciales del corredor de remesas, y mayor la probabilidad de que las prácticas de negocio de </w:t>
      </w:r>
      <w:proofErr w:type="spellStart"/>
      <w:r>
        <w:rPr>
          <w:color w:val="111111"/>
        </w:rPr>
        <w:t>Cibest</w:t>
      </w:r>
      <w:proofErr w:type="spellEnd"/>
      <w:r>
        <w:rPr>
          <w:color w:val="111111"/>
        </w:rPr>
        <w:t xml:space="preserve"> sean transferibles con ajustes menores.</w:t>
      </w:r>
    </w:p>
    <w:p w14:paraId="339937AC" w14:textId="77777777" w:rsidR="00933177" w:rsidRDefault="00933177" w:rsidP="00933177">
      <w:pPr>
        <w:spacing w:before="140" w:after="140" w:line="320" w:lineRule="auto"/>
        <w:jc w:val="both"/>
      </w:pPr>
      <w:r>
        <w:rPr>
          <w:color w:val="111111"/>
        </w:rPr>
        <w:t xml:space="preserve">Las referencias que sustentan este pilar incluyen: Tinbergen, J. (1962). </w:t>
      </w:r>
      <w:proofErr w:type="spellStart"/>
      <w:r>
        <w:rPr>
          <w:color w:val="111111"/>
        </w:rPr>
        <w:t>Shaping</w:t>
      </w:r>
      <w:proofErr w:type="spellEnd"/>
      <w:r>
        <w:rPr>
          <w:color w:val="111111"/>
        </w:rPr>
        <w:t xml:space="preserve"> </w:t>
      </w:r>
      <w:proofErr w:type="spellStart"/>
      <w:r>
        <w:rPr>
          <w:color w:val="111111"/>
        </w:rPr>
        <w:t>the</w:t>
      </w:r>
      <w:proofErr w:type="spellEnd"/>
      <w:r>
        <w:rPr>
          <w:color w:val="111111"/>
        </w:rPr>
        <w:t xml:space="preserve"> World Economy: </w:t>
      </w:r>
      <w:proofErr w:type="spellStart"/>
      <w:r>
        <w:rPr>
          <w:color w:val="111111"/>
        </w:rPr>
        <w:t>Suggestions</w:t>
      </w:r>
      <w:proofErr w:type="spellEnd"/>
      <w:r>
        <w:rPr>
          <w:color w:val="111111"/>
        </w:rPr>
        <w:t xml:space="preserve"> </w:t>
      </w:r>
      <w:proofErr w:type="spellStart"/>
      <w:r>
        <w:rPr>
          <w:color w:val="111111"/>
        </w:rPr>
        <w:t>for</w:t>
      </w:r>
      <w:proofErr w:type="spellEnd"/>
      <w:r>
        <w:rPr>
          <w:color w:val="111111"/>
        </w:rPr>
        <w:t xml:space="preserve"> </w:t>
      </w:r>
      <w:proofErr w:type="spellStart"/>
      <w:proofErr w:type="gramStart"/>
      <w:r>
        <w:rPr>
          <w:color w:val="111111"/>
        </w:rPr>
        <w:t>an</w:t>
      </w:r>
      <w:proofErr w:type="spellEnd"/>
      <w:r>
        <w:rPr>
          <w:color w:val="111111"/>
        </w:rPr>
        <w:t xml:space="preserve"> International</w:t>
      </w:r>
      <w:proofErr w:type="gramEnd"/>
      <w:r>
        <w:rPr>
          <w:color w:val="111111"/>
        </w:rPr>
        <w:t xml:space="preserve"> </w:t>
      </w:r>
      <w:proofErr w:type="spellStart"/>
      <w:r>
        <w:rPr>
          <w:color w:val="111111"/>
        </w:rPr>
        <w:t>Economic</w:t>
      </w:r>
      <w:proofErr w:type="spellEnd"/>
      <w:r>
        <w:rPr>
          <w:color w:val="111111"/>
        </w:rPr>
        <w:t xml:space="preserve"> Policy. </w:t>
      </w:r>
      <w:proofErr w:type="spellStart"/>
      <w:r>
        <w:rPr>
          <w:color w:val="111111"/>
        </w:rPr>
        <w:t>Twentieth</w:t>
      </w:r>
      <w:proofErr w:type="spellEnd"/>
      <w:r>
        <w:rPr>
          <w:color w:val="111111"/>
        </w:rPr>
        <w:t xml:space="preserve"> Century Fund; Anderson, J.E. &amp; van Wincoop, E. (2003). </w:t>
      </w:r>
      <w:proofErr w:type="spellStart"/>
      <w:r>
        <w:rPr>
          <w:color w:val="111111"/>
        </w:rPr>
        <w:t>Gravity</w:t>
      </w:r>
      <w:proofErr w:type="spellEnd"/>
      <w:r>
        <w:rPr>
          <w:color w:val="111111"/>
        </w:rPr>
        <w:t xml:space="preserve"> </w:t>
      </w:r>
      <w:proofErr w:type="spellStart"/>
      <w:r>
        <w:rPr>
          <w:color w:val="111111"/>
        </w:rPr>
        <w:t>with</w:t>
      </w:r>
      <w:proofErr w:type="spellEnd"/>
      <w:r>
        <w:rPr>
          <w:color w:val="111111"/>
        </w:rPr>
        <w:t xml:space="preserve"> Gravitas: A </w:t>
      </w:r>
      <w:proofErr w:type="spellStart"/>
      <w:r>
        <w:rPr>
          <w:color w:val="111111"/>
        </w:rPr>
        <w:t>Solution</w:t>
      </w:r>
      <w:proofErr w:type="spellEnd"/>
      <w:r>
        <w:rPr>
          <w:color w:val="111111"/>
        </w:rPr>
        <w:t xml:space="preserve"> </w:t>
      </w:r>
      <w:proofErr w:type="spellStart"/>
      <w:r>
        <w:rPr>
          <w:color w:val="111111"/>
        </w:rPr>
        <w:t>to</w:t>
      </w:r>
      <w:proofErr w:type="spellEnd"/>
      <w:r>
        <w:rPr>
          <w:color w:val="111111"/>
        </w:rPr>
        <w:t xml:space="preserve"> </w:t>
      </w:r>
      <w:proofErr w:type="spellStart"/>
      <w:r>
        <w:rPr>
          <w:color w:val="111111"/>
        </w:rPr>
        <w:t>the</w:t>
      </w:r>
      <w:proofErr w:type="spellEnd"/>
      <w:r>
        <w:rPr>
          <w:color w:val="111111"/>
        </w:rPr>
        <w:t xml:space="preserve"> Border </w:t>
      </w:r>
      <w:proofErr w:type="spellStart"/>
      <w:r>
        <w:rPr>
          <w:color w:val="111111"/>
        </w:rPr>
        <w:t>Puzzle</w:t>
      </w:r>
      <w:proofErr w:type="spellEnd"/>
      <w:r>
        <w:rPr>
          <w:color w:val="111111"/>
        </w:rPr>
        <w:t xml:space="preserve">. American </w:t>
      </w:r>
      <w:proofErr w:type="spellStart"/>
      <w:r>
        <w:rPr>
          <w:color w:val="111111"/>
        </w:rPr>
        <w:t>Economic</w:t>
      </w:r>
      <w:proofErr w:type="spellEnd"/>
      <w:r>
        <w:rPr>
          <w:color w:val="111111"/>
        </w:rPr>
        <w:t xml:space="preserve"> </w:t>
      </w:r>
      <w:proofErr w:type="spellStart"/>
      <w:r>
        <w:rPr>
          <w:color w:val="111111"/>
        </w:rPr>
        <w:t>Review</w:t>
      </w:r>
      <w:proofErr w:type="spellEnd"/>
      <w:r>
        <w:rPr>
          <w:color w:val="111111"/>
        </w:rPr>
        <w:t xml:space="preserve">, 93(1), 170-192 [https://doi.org/10.1257/000282803321455214]; y Head, K. &amp; Mayer, T. (2014). </w:t>
      </w:r>
      <w:proofErr w:type="spellStart"/>
      <w:r>
        <w:rPr>
          <w:color w:val="111111"/>
        </w:rPr>
        <w:t>Gravity</w:t>
      </w:r>
      <w:proofErr w:type="spellEnd"/>
      <w:r>
        <w:rPr>
          <w:color w:val="111111"/>
        </w:rPr>
        <w:t xml:space="preserve"> </w:t>
      </w:r>
      <w:proofErr w:type="spellStart"/>
      <w:r>
        <w:rPr>
          <w:color w:val="111111"/>
        </w:rPr>
        <w:t>Equations</w:t>
      </w:r>
      <w:proofErr w:type="spellEnd"/>
      <w:r>
        <w:rPr>
          <w:color w:val="111111"/>
        </w:rPr>
        <w:t xml:space="preserve">: </w:t>
      </w:r>
      <w:proofErr w:type="spellStart"/>
      <w:r>
        <w:rPr>
          <w:color w:val="111111"/>
        </w:rPr>
        <w:t>Workhorse</w:t>
      </w:r>
      <w:proofErr w:type="spellEnd"/>
      <w:r>
        <w:rPr>
          <w:color w:val="111111"/>
        </w:rPr>
        <w:t xml:space="preserve">, </w:t>
      </w:r>
      <w:proofErr w:type="spellStart"/>
      <w:r>
        <w:rPr>
          <w:color w:val="111111"/>
        </w:rPr>
        <w:t>Toolkit</w:t>
      </w:r>
      <w:proofErr w:type="spellEnd"/>
      <w:r>
        <w:rPr>
          <w:color w:val="111111"/>
        </w:rPr>
        <w:t xml:space="preserve">, and </w:t>
      </w:r>
      <w:proofErr w:type="spellStart"/>
      <w:r>
        <w:rPr>
          <w:color w:val="111111"/>
        </w:rPr>
        <w:t>Cookbook</w:t>
      </w:r>
      <w:proofErr w:type="spellEnd"/>
      <w:r>
        <w:rPr>
          <w:color w:val="111111"/>
        </w:rPr>
        <w:t>. En Gopinath, G. et al. (</w:t>
      </w:r>
      <w:proofErr w:type="spellStart"/>
      <w:r>
        <w:rPr>
          <w:color w:val="111111"/>
        </w:rPr>
        <w:t>eds</w:t>
      </w:r>
      <w:proofErr w:type="spellEnd"/>
      <w:r>
        <w:rPr>
          <w:color w:val="111111"/>
        </w:rPr>
        <w:t xml:space="preserve">). </w:t>
      </w:r>
      <w:proofErr w:type="spellStart"/>
      <w:r>
        <w:rPr>
          <w:color w:val="111111"/>
        </w:rPr>
        <w:t>Handbook</w:t>
      </w:r>
      <w:proofErr w:type="spellEnd"/>
      <w:r>
        <w:rPr>
          <w:color w:val="111111"/>
        </w:rPr>
        <w:t xml:space="preserve"> </w:t>
      </w:r>
      <w:proofErr w:type="spellStart"/>
      <w:r>
        <w:rPr>
          <w:color w:val="111111"/>
        </w:rPr>
        <w:t>of</w:t>
      </w:r>
      <w:proofErr w:type="spellEnd"/>
      <w:r>
        <w:rPr>
          <w:color w:val="111111"/>
        </w:rPr>
        <w:t xml:space="preserve"> International </w:t>
      </w:r>
      <w:proofErr w:type="spellStart"/>
      <w:r>
        <w:rPr>
          <w:color w:val="111111"/>
        </w:rPr>
        <w:t>Economics</w:t>
      </w:r>
      <w:proofErr w:type="spellEnd"/>
      <w:r>
        <w:rPr>
          <w:color w:val="111111"/>
        </w:rPr>
        <w:t>, Vol. 4. Elsevier.</w:t>
      </w:r>
    </w:p>
    <w:p w14:paraId="17F9A19F" w14:textId="77777777" w:rsidR="00933177" w:rsidRDefault="00933177" w:rsidP="00933177">
      <w:pPr>
        <w:spacing w:after="100"/>
      </w:pPr>
    </w:p>
    <w:p w14:paraId="5EBA05F6" w14:textId="77777777" w:rsidR="00933177" w:rsidRDefault="00933177" w:rsidP="00933177">
      <w:pPr>
        <w:pStyle w:val="Ttulo3"/>
      </w:pPr>
      <w:bookmarkStart w:id="35" w:name="_Toc232659584"/>
      <w:r>
        <w:t xml:space="preserve">Integración de los tres pilares: el score RADAR </w:t>
      </w:r>
      <w:proofErr w:type="spellStart"/>
      <w:r>
        <w:t>Cibest</w:t>
      </w:r>
      <w:bookmarkEnd w:id="35"/>
      <w:proofErr w:type="spellEnd"/>
    </w:p>
    <w:p w14:paraId="218386DC" w14:textId="77777777" w:rsidR="00933177" w:rsidRDefault="00933177" w:rsidP="00933177">
      <w:pPr>
        <w:spacing w:before="140" w:after="140" w:line="320" w:lineRule="auto"/>
        <w:jc w:val="both"/>
      </w:pPr>
      <w:r>
        <w:rPr>
          <w:color w:val="111111"/>
        </w:rPr>
        <w:t xml:space="preserve">El score RADAR de cada mercado para cada línea de negocio integra los tres pilares mediante una fórmula de combinación ponderada diseñada para reflejar la importancia relativa de cada componente en la decisión de internacionalización. El componente dominante es el ranking cuantitativo derivado del cruce de los pesos directivos con los datos objetivos de cada país, que da cuenta del 55% del score final: es el núcleo analítico del modelo. El segundo componente en importancia es el índice de proximidad con Colombia, que representa el 30% del score: su peso relativamente alto refleja la evidencia empírica de que la distancia en sus múltiples dimensiones es un predictor robusto de los costos de internacionalización para una empresa de las características de </w:t>
      </w:r>
      <w:proofErr w:type="spellStart"/>
      <w:r>
        <w:rPr>
          <w:color w:val="111111"/>
        </w:rPr>
        <w:t>Cibest</w:t>
      </w:r>
      <w:proofErr w:type="spellEnd"/>
      <w:r>
        <w:rPr>
          <w:color w:val="111111"/>
        </w:rPr>
        <w:t>. El tercer componente, con un peso del 15%, es la tendencia dinámica de las variables del modelo: no solo cómo está el mercado hoy, sino cómo está evolucionando. Un mercado en trayectoria de mejora sostenida puede ser más atractivo que uno estático con mejor posición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3177" w14:paraId="6DFD45C1" w14:textId="77777777" w:rsidTr="00800E51">
        <w:tc>
          <w:tcPr>
            <w:tcW w:w="9360" w:type="dxa"/>
            <w:tcBorders>
              <w:top w:val="single" w:sz="1" w:space="0" w:color="0D1B2A"/>
              <w:left w:val="single" w:sz="1" w:space="0" w:color="0D1B2A"/>
              <w:bottom w:val="single" w:sz="1" w:space="0" w:color="0D1B2A"/>
              <w:right w:val="single" w:sz="1" w:space="0" w:color="0D1B2A"/>
            </w:tcBorders>
            <w:shd w:val="clear" w:color="auto" w:fill="F2F4F6"/>
            <w:tcMar>
              <w:top w:w="140" w:type="dxa"/>
              <w:left w:w="220" w:type="dxa"/>
              <w:bottom w:w="140" w:type="dxa"/>
              <w:right w:w="220" w:type="dxa"/>
            </w:tcMar>
          </w:tcPr>
          <w:p w14:paraId="4DD96D41" w14:textId="77777777" w:rsidR="00933177" w:rsidRDefault="00933177" w:rsidP="001F40FE">
            <w:pPr>
              <w:spacing w:after="80"/>
            </w:pPr>
            <w:proofErr w:type="gramStart"/>
            <w:r>
              <w:rPr>
                <w:b/>
                <w:bCs/>
                <w:caps/>
                <w:color w:val="0D1B2A"/>
                <w:sz w:val="20"/>
                <w:szCs w:val="20"/>
              </w:rPr>
              <w:t>📐  Fórmula</w:t>
            </w:r>
            <w:proofErr w:type="gramEnd"/>
            <w:r>
              <w:rPr>
                <w:b/>
                <w:bCs/>
                <w:caps/>
                <w:color w:val="0D1B2A"/>
                <w:sz w:val="20"/>
                <w:szCs w:val="20"/>
              </w:rPr>
              <w:t xml:space="preserve"> del Score RADAR Cibest</w:t>
            </w:r>
          </w:p>
          <w:p w14:paraId="29412D75" w14:textId="219E93A3" w:rsidR="00933177" w:rsidRDefault="00933177" w:rsidP="001F40FE">
            <w:pPr>
              <w:spacing w:after="60"/>
              <w:jc w:val="both"/>
            </w:pPr>
            <w:proofErr w:type="gramStart"/>
            <w:r>
              <w:rPr>
                <w:color w:val="1A1A1A"/>
                <w:sz w:val="20"/>
                <w:szCs w:val="20"/>
              </w:rPr>
              <w:t>RADAR(</w:t>
            </w:r>
            <w:proofErr w:type="gramEnd"/>
            <w:r>
              <w:rPr>
                <w:color w:val="1A1A1A"/>
                <w:sz w:val="20"/>
                <w:szCs w:val="20"/>
              </w:rPr>
              <w:t>j, l</w:t>
            </w:r>
            <w:proofErr w:type="gramStart"/>
            <w:r>
              <w:rPr>
                <w:color w:val="1A1A1A"/>
                <w:sz w:val="20"/>
                <w:szCs w:val="20"/>
              </w:rPr>
              <w:t>)  =</w:t>
            </w:r>
            <w:proofErr w:type="gramEnd"/>
            <w:r>
              <w:rPr>
                <w:color w:val="1A1A1A"/>
                <w:sz w:val="20"/>
                <w:szCs w:val="20"/>
              </w:rPr>
              <w:t xml:space="preserve">  0.</w:t>
            </w:r>
            <w:r w:rsidR="00CF156F">
              <w:rPr>
                <w:color w:val="1A1A1A"/>
                <w:sz w:val="20"/>
                <w:szCs w:val="20"/>
              </w:rPr>
              <w:t>6</w:t>
            </w:r>
            <w:r>
              <w:rPr>
                <w:color w:val="1A1A1A"/>
                <w:sz w:val="20"/>
                <w:szCs w:val="20"/>
              </w:rPr>
              <w:t xml:space="preserve"> · CC_</w:t>
            </w:r>
            <w:proofErr w:type="gramStart"/>
            <w:r>
              <w:rPr>
                <w:color w:val="1A1A1A"/>
                <w:sz w:val="20"/>
                <w:szCs w:val="20"/>
              </w:rPr>
              <w:t>TOPSIS(</w:t>
            </w:r>
            <w:proofErr w:type="gramEnd"/>
            <w:r>
              <w:rPr>
                <w:color w:val="1A1A1A"/>
                <w:sz w:val="20"/>
                <w:szCs w:val="20"/>
              </w:rPr>
              <w:t>j, l</w:t>
            </w:r>
            <w:proofErr w:type="gramStart"/>
            <w:r>
              <w:rPr>
                <w:color w:val="1A1A1A"/>
                <w:sz w:val="20"/>
                <w:szCs w:val="20"/>
              </w:rPr>
              <w:t>)  +</w:t>
            </w:r>
            <w:proofErr w:type="gramEnd"/>
            <w:r>
              <w:rPr>
                <w:color w:val="1A1A1A"/>
                <w:sz w:val="20"/>
                <w:szCs w:val="20"/>
              </w:rPr>
              <w:t xml:space="preserve">  0.3 · IPC(</w:t>
            </w:r>
            <w:proofErr w:type="gramStart"/>
            <w:r>
              <w:rPr>
                <w:color w:val="1A1A1A"/>
                <w:sz w:val="20"/>
                <w:szCs w:val="20"/>
              </w:rPr>
              <w:t>j)  +</w:t>
            </w:r>
            <w:proofErr w:type="gramEnd"/>
            <w:r>
              <w:rPr>
                <w:color w:val="1A1A1A"/>
                <w:sz w:val="20"/>
                <w:szCs w:val="20"/>
              </w:rPr>
              <w:t xml:space="preserve">  0.1 · </w:t>
            </w:r>
            <w:proofErr w:type="gramStart"/>
            <w:r>
              <w:rPr>
                <w:color w:val="1A1A1A"/>
                <w:sz w:val="20"/>
                <w:szCs w:val="20"/>
              </w:rPr>
              <w:t>Tendencia(</w:t>
            </w:r>
            <w:proofErr w:type="gramEnd"/>
            <w:r>
              <w:rPr>
                <w:color w:val="1A1A1A"/>
                <w:sz w:val="20"/>
                <w:szCs w:val="20"/>
              </w:rPr>
              <w:t>j, l)</w:t>
            </w:r>
          </w:p>
          <w:p w14:paraId="4479A8FC" w14:textId="77777777" w:rsidR="00933177" w:rsidRDefault="00933177" w:rsidP="001F40FE">
            <w:pPr>
              <w:spacing w:after="60"/>
              <w:jc w:val="both"/>
            </w:pPr>
            <w:r>
              <w:rPr>
                <w:color w:val="1A1A1A"/>
                <w:sz w:val="20"/>
                <w:szCs w:val="20"/>
              </w:rPr>
              <w:t>Donde: j = mercado evaluado | l = línea de negocio | CC_TOPSIS = score de ranking cuantitativo (cruce de pesos directivos × datos objetivos) | IPC = Índice de Proximidad con Colombia (dimensión D5 del modelo) | Tendencia = componente dinámico de evolución de las variables.</w:t>
            </w:r>
          </w:p>
          <w:p w14:paraId="0A54B054" w14:textId="77777777" w:rsidR="00933177" w:rsidRDefault="00933177" w:rsidP="001F40FE">
            <w:pPr>
              <w:spacing w:after="60"/>
              <w:jc w:val="both"/>
            </w:pPr>
            <w:r>
              <w:rPr>
                <w:color w:val="1A1A1A"/>
                <w:sz w:val="20"/>
                <w:szCs w:val="20"/>
              </w:rPr>
              <w:t xml:space="preserve">El score RADAR se expresa en una escala normalizada de 0 a 1. Los scores superiores a 0.70 identifican mercados de alta prioridad; los comprendidos entre 0.50 y 0.70 identifican mercados de prioridad media con señales diferenciadas por </w:t>
            </w:r>
            <w:proofErr w:type="gramStart"/>
            <w:r>
              <w:rPr>
                <w:color w:val="1A1A1A"/>
                <w:sz w:val="20"/>
                <w:szCs w:val="20"/>
              </w:rPr>
              <w:t>línea</w:t>
            </w:r>
            <w:proofErr w:type="gramEnd"/>
            <w:r>
              <w:rPr>
                <w:color w:val="1A1A1A"/>
                <w:sz w:val="20"/>
                <w:szCs w:val="20"/>
              </w:rPr>
              <w:t xml:space="preserve"> de negocio; los inferiores a 0.50 corresponden a mercados de seguimiento o de baja prioridad para el horizonte estratégico actual.</w:t>
            </w:r>
          </w:p>
        </w:tc>
      </w:tr>
    </w:tbl>
    <w:p w14:paraId="2869E2A5" w14:textId="77777777" w:rsidR="00933177" w:rsidRDefault="00933177" w:rsidP="00933177">
      <w:pPr>
        <w:spacing w:after="100"/>
      </w:pPr>
    </w:p>
    <w:p w14:paraId="01288C37" w14:textId="59500490" w:rsidR="00933177" w:rsidRDefault="00933177" w:rsidP="00933177">
      <w:pPr>
        <w:spacing w:before="140" w:after="140" w:line="320" w:lineRule="auto"/>
        <w:jc w:val="both"/>
      </w:pPr>
      <w:r>
        <w:rPr>
          <w:color w:val="111111"/>
        </w:rPr>
        <w:t xml:space="preserve">Es importante que el Comité Ejecutivo comprenda que los pesos del </w:t>
      </w:r>
      <w:r w:rsidR="00DC4236">
        <w:rPr>
          <w:color w:val="111111"/>
        </w:rPr>
        <w:t>60</w:t>
      </w:r>
      <w:r>
        <w:rPr>
          <w:color w:val="111111"/>
        </w:rPr>
        <w:t>%, 30% y 1</w:t>
      </w:r>
      <w:r w:rsidR="00DC4236">
        <w:rPr>
          <w:color w:val="111111"/>
        </w:rPr>
        <w:t>0</w:t>
      </w:r>
      <w:r>
        <w:rPr>
          <w:color w:val="111111"/>
        </w:rPr>
        <w:t xml:space="preserve">% no son parámetros técnicos fijos: son decisiones metodológicas tomadas por el equipo de Estrategia </w:t>
      </w:r>
      <w:r>
        <w:rPr>
          <w:color w:val="111111"/>
        </w:rPr>
        <w:lastRenderedPageBreak/>
        <w:t xml:space="preserve">Corporativa con base en la literatura académica y en la naturaleza del proceso de internacionalización de </w:t>
      </w:r>
      <w:proofErr w:type="spellStart"/>
      <w:r>
        <w:rPr>
          <w:color w:val="111111"/>
        </w:rPr>
        <w:t>Cibest</w:t>
      </w:r>
      <w:proofErr w:type="spellEnd"/>
      <w:r>
        <w:rPr>
          <w:color w:val="111111"/>
        </w:rPr>
        <w:t>. Pueden y deben ser revisados si el Comité tiene razones estratégicas para darle más o menos peso al factor de proximidad o al factor de tendencia. El análisis de sensibilidad descrito en la Sección 5.7 evalúa precisamente cuánto cambian los resultados del ranking cuando se modifican estos pesos.</w:t>
      </w:r>
    </w:p>
    <w:p w14:paraId="0B97DD45" w14:textId="77777777" w:rsidR="00933177" w:rsidRDefault="00933177" w:rsidP="00933177">
      <w:pPr>
        <w:spacing w:after="100"/>
      </w:pPr>
    </w:p>
    <w:p w14:paraId="5C1057E3" w14:textId="77777777" w:rsidR="00933177" w:rsidRDefault="00933177" w:rsidP="00933177">
      <w:pPr>
        <w:pStyle w:val="Ttulo2"/>
        <w:pBdr>
          <w:bottom w:val="single" w:sz="4" w:space="4" w:color="E8B931"/>
        </w:pBdr>
      </w:pPr>
      <w:bookmarkStart w:id="36" w:name="_Toc232659585"/>
      <w:proofErr w:type="gramStart"/>
      <w:r>
        <w:t>5.3  El</w:t>
      </w:r>
      <w:proofErr w:type="gramEnd"/>
      <w:r>
        <w:t xml:space="preserve"> diccionario de variables: treinta y cinco indicadores en cinco dimensiones</w:t>
      </w:r>
      <w:bookmarkEnd w:id="36"/>
    </w:p>
    <w:p w14:paraId="7A08912A" w14:textId="77777777" w:rsidR="00933177" w:rsidRDefault="00933177" w:rsidP="00933177">
      <w:pPr>
        <w:spacing w:before="140" w:after="140" w:line="320" w:lineRule="auto"/>
        <w:jc w:val="both"/>
      </w:pPr>
      <w:r>
        <w:rPr>
          <w:color w:val="111111"/>
        </w:rPr>
        <w:t xml:space="preserve">El modelo RADAR </w:t>
      </w:r>
      <w:proofErr w:type="spellStart"/>
      <w:r>
        <w:rPr>
          <w:color w:val="111111"/>
        </w:rPr>
        <w:t>Cibest</w:t>
      </w:r>
      <w:proofErr w:type="spellEnd"/>
      <w:r>
        <w:rPr>
          <w:color w:val="111111"/>
        </w:rPr>
        <w:t xml:space="preserve"> evalúa cada mercado a través de treinta y cinco variables organizadas en cinco dimensiones. La selección de estas variables fue el resultado de una revisión sistemática de literatura que examinó más de doscientas referencias académicas y aplicó criterios estrictos de elegibilidad: relevancia teórica documentada, disponibilidad de datos para todos los mercados del universo, discriminación estadística suficiente entre países, no redundancia con otras variables del modelo, y dirección de impacto interpretable. A </w:t>
      </w:r>
      <w:proofErr w:type="gramStart"/>
      <w:r>
        <w:rPr>
          <w:color w:val="111111"/>
        </w:rPr>
        <w:t>continuación</w:t>
      </w:r>
      <w:proofErr w:type="gramEnd"/>
      <w:r>
        <w:rPr>
          <w:color w:val="111111"/>
        </w:rPr>
        <w:t xml:space="preserve"> se presentan las cinco dimensiones con sus variables y fuentes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8"/>
        <w:gridCol w:w="2218"/>
        <w:gridCol w:w="2698"/>
        <w:gridCol w:w="3006"/>
      </w:tblGrid>
      <w:tr w:rsidR="00933177" w14:paraId="67CFFCA3"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35B5FDC8" w14:textId="77777777" w:rsidR="00933177" w:rsidRDefault="00933177" w:rsidP="001F40FE">
            <w:r>
              <w:rPr>
                <w:b/>
                <w:bCs/>
                <w:color w:val="FFFFFF"/>
                <w:sz w:val="20"/>
                <w:szCs w:val="20"/>
              </w:rPr>
              <w:t>Dim.</w:t>
            </w:r>
          </w:p>
        </w:tc>
        <w:tc>
          <w:tcPr>
            <w:tcW w:w="264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21D5AF82" w14:textId="77777777" w:rsidR="00933177" w:rsidRDefault="00933177" w:rsidP="001F40FE">
            <w:r>
              <w:rPr>
                <w:b/>
                <w:bCs/>
                <w:color w:val="FFFFFF"/>
                <w:sz w:val="20"/>
                <w:szCs w:val="20"/>
              </w:rPr>
              <w:t>Variable</w:t>
            </w:r>
          </w:p>
        </w:tc>
        <w:tc>
          <w:tcPr>
            <w:tcW w:w="4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1DBADD81" w14:textId="77777777" w:rsidR="00933177" w:rsidRDefault="00933177" w:rsidP="001F40FE">
            <w:r>
              <w:rPr>
                <w:b/>
                <w:bCs/>
                <w:color w:val="FFFFFF"/>
                <w:sz w:val="20"/>
                <w:szCs w:val="20"/>
              </w:rPr>
              <w:t>Descripción y relevancia para la internacionalización</w:t>
            </w:r>
          </w:p>
        </w:tc>
        <w:tc>
          <w:tcPr>
            <w:tcW w:w="132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24D05816" w14:textId="77777777" w:rsidR="00933177" w:rsidRDefault="00933177" w:rsidP="001F40FE">
            <w:r>
              <w:rPr>
                <w:b/>
                <w:bCs/>
                <w:color w:val="FFFFFF"/>
                <w:sz w:val="20"/>
                <w:szCs w:val="20"/>
              </w:rPr>
              <w:t>Fuente</w:t>
            </w:r>
          </w:p>
        </w:tc>
      </w:tr>
      <w:tr w:rsidR="00933177" w14:paraId="61C037A4"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EBF3FB"/>
            <w:tcMar>
              <w:top w:w="80" w:type="dxa"/>
              <w:left w:w="130" w:type="dxa"/>
              <w:bottom w:w="80" w:type="dxa"/>
              <w:right w:w="130" w:type="dxa"/>
            </w:tcMar>
          </w:tcPr>
          <w:p w14:paraId="311BDF58" w14:textId="77777777" w:rsidR="00933177" w:rsidRDefault="00933177" w:rsidP="001F40FE">
            <w:r>
              <w:rPr>
                <w:b/>
                <w:bCs/>
                <w:color w:val="111111"/>
                <w:sz w:val="20"/>
                <w:szCs w:val="20"/>
              </w:rPr>
              <w:t xml:space="preserve">D1 Macro (6 </w:t>
            </w:r>
            <w:proofErr w:type="spellStart"/>
            <w:r>
              <w:rPr>
                <w:b/>
                <w:bCs/>
                <w:color w:val="111111"/>
                <w:sz w:val="20"/>
                <w:szCs w:val="20"/>
              </w:rPr>
              <w:t>vars</w:t>
            </w:r>
            <w:proofErr w:type="spellEnd"/>
            <w:r>
              <w:rPr>
                <w:b/>
                <w:bCs/>
                <w:color w:val="111111"/>
                <w:sz w:val="20"/>
                <w:szCs w:val="20"/>
              </w:rPr>
              <w:t>)</w:t>
            </w:r>
          </w:p>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553FC8D" w14:textId="77777777" w:rsidR="00933177" w:rsidRDefault="00933177" w:rsidP="001F40FE">
            <w:r>
              <w:rPr>
                <w:color w:val="111111"/>
                <w:sz w:val="20"/>
                <w:szCs w:val="20"/>
              </w:rPr>
              <w:t>PIB en PPA (USD constante)</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20C6EEF" w14:textId="77777777" w:rsidR="00933177" w:rsidRDefault="00933177" w:rsidP="001F40FE">
            <w:r>
              <w:rPr>
                <w:color w:val="111111"/>
                <w:sz w:val="20"/>
                <w:szCs w:val="20"/>
              </w:rPr>
              <w:t>Tamaño absoluto del mercado. Proxy de la demanda potencial de servicios financieros.</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208AC21"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=2</w:t>
            </w:r>
          </w:p>
        </w:tc>
      </w:tr>
      <w:tr w:rsidR="00933177" w14:paraId="20EDB07B"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EBF3FB"/>
            <w:tcMar>
              <w:top w:w="80" w:type="dxa"/>
              <w:left w:w="130" w:type="dxa"/>
              <w:bottom w:w="80" w:type="dxa"/>
              <w:right w:w="130" w:type="dxa"/>
            </w:tcMar>
          </w:tcPr>
          <w:p w14:paraId="26237DA0"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A971DF2" w14:textId="77777777" w:rsidR="00933177" w:rsidRDefault="00933177" w:rsidP="001F40FE">
            <w:r>
              <w:rPr>
                <w:color w:val="111111"/>
                <w:sz w:val="20"/>
                <w:szCs w:val="20"/>
              </w:rPr>
              <w:t>PIB per cápita en PPA</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26496F1" w14:textId="77777777" w:rsidR="00933177" w:rsidRDefault="00933177" w:rsidP="001F40FE">
            <w:r>
              <w:rPr>
                <w:color w:val="111111"/>
                <w:sz w:val="20"/>
                <w:szCs w:val="20"/>
              </w:rPr>
              <w:t>Capacidad adquisitiva y propensión al consumo de servicios financieros formales.</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7FF8712"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=2</w:t>
            </w:r>
          </w:p>
        </w:tc>
      </w:tr>
      <w:tr w:rsidR="00933177" w14:paraId="247D9234"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EBF3FB"/>
            <w:tcMar>
              <w:top w:w="80" w:type="dxa"/>
              <w:left w:w="130" w:type="dxa"/>
              <w:bottom w:w="80" w:type="dxa"/>
              <w:right w:w="130" w:type="dxa"/>
            </w:tcMar>
          </w:tcPr>
          <w:p w14:paraId="59982ABC"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DAC5626" w14:textId="77777777" w:rsidR="00933177" w:rsidRDefault="00933177" w:rsidP="001F40FE">
            <w:r>
              <w:rPr>
                <w:color w:val="111111"/>
                <w:sz w:val="20"/>
                <w:szCs w:val="20"/>
              </w:rPr>
              <w:t>Tasa de crecimiento del PIB (%)</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771C035" w14:textId="77777777" w:rsidR="00933177" w:rsidRDefault="00933177" w:rsidP="001F40FE">
            <w:r>
              <w:rPr>
                <w:color w:val="111111"/>
                <w:sz w:val="20"/>
                <w:szCs w:val="20"/>
              </w:rPr>
              <w:t>Dinámica de la economía. Proxy del crecimiento del mercado financiero subyacente.</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1E760EA"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=2</w:t>
            </w:r>
          </w:p>
        </w:tc>
      </w:tr>
      <w:tr w:rsidR="00933177" w14:paraId="27F49C33"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EBF3FB"/>
            <w:tcMar>
              <w:top w:w="80" w:type="dxa"/>
              <w:left w:w="130" w:type="dxa"/>
              <w:bottom w:w="80" w:type="dxa"/>
              <w:right w:w="130" w:type="dxa"/>
            </w:tcMar>
          </w:tcPr>
          <w:p w14:paraId="005E9A48"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85167EA" w14:textId="77777777" w:rsidR="00933177" w:rsidRDefault="00933177" w:rsidP="001F40FE">
            <w:r>
              <w:rPr>
                <w:color w:val="111111"/>
                <w:sz w:val="20"/>
                <w:szCs w:val="20"/>
              </w:rPr>
              <w:t>Inflación (IPC, % anual)</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60C58D8" w14:textId="77777777" w:rsidR="00933177" w:rsidRDefault="00933177" w:rsidP="001F40FE">
            <w:r>
              <w:rPr>
                <w:color w:val="111111"/>
                <w:sz w:val="20"/>
                <w:szCs w:val="20"/>
              </w:rPr>
              <w:t xml:space="preserve">Estabilidad macroeconómica. Relevancia A para Activos Digitales: inflación alta activa la demanda de </w:t>
            </w:r>
            <w:proofErr w:type="spellStart"/>
            <w:r>
              <w:rPr>
                <w:color w:val="111111"/>
                <w:sz w:val="20"/>
                <w:szCs w:val="20"/>
              </w:rPr>
              <w:t>stablecoins</w:t>
            </w:r>
            <w:proofErr w:type="spellEnd"/>
            <w:r>
              <w:rPr>
                <w:color w:val="111111"/>
                <w:sz w:val="20"/>
                <w:szCs w:val="20"/>
              </w:rPr>
              <w:t xml:space="preserve"> como cobertura.</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2B940B7"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=2</w:t>
            </w:r>
          </w:p>
        </w:tc>
      </w:tr>
      <w:tr w:rsidR="00933177" w14:paraId="0E07417E"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EBF3FB"/>
            <w:tcMar>
              <w:top w:w="80" w:type="dxa"/>
              <w:left w:w="130" w:type="dxa"/>
              <w:bottom w:w="80" w:type="dxa"/>
              <w:right w:w="130" w:type="dxa"/>
            </w:tcMar>
          </w:tcPr>
          <w:p w14:paraId="6E1923B2"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57B5554" w14:textId="77777777" w:rsidR="00933177" w:rsidRDefault="00933177" w:rsidP="001F40FE">
            <w:r>
              <w:rPr>
                <w:color w:val="111111"/>
                <w:sz w:val="20"/>
                <w:szCs w:val="20"/>
              </w:rPr>
              <w:t>Balanza de cuenta corriente (% PIB)</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785667B" w14:textId="77777777" w:rsidR="00933177" w:rsidRDefault="00933177" w:rsidP="001F40FE">
            <w:r>
              <w:rPr>
                <w:color w:val="111111"/>
                <w:sz w:val="20"/>
                <w:szCs w:val="20"/>
              </w:rPr>
              <w:t>Sostenibilidad macroeconómica. Proxy de la vulnerabilidad externa del mercado.</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3B97D42"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=2</w:t>
            </w:r>
          </w:p>
        </w:tc>
      </w:tr>
      <w:tr w:rsidR="00933177" w14:paraId="3BBF6B30"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EBF3FB"/>
            <w:tcMar>
              <w:top w:w="80" w:type="dxa"/>
              <w:left w:w="130" w:type="dxa"/>
              <w:bottom w:w="80" w:type="dxa"/>
              <w:right w:w="130" w:type="dxa"/>
            </w:tcMar>
          </w:tcPr>
          <w:p w14:paraId="4768438F"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5F4950D" w14:textId="77777777" w:rsidR="00933177" w:rsidRDefault="00933177" w:rsidP="001F40FE">
            <w:r>
              <w:rPr>
                <w:color w:val="111111"/>
                <w:sz w:val="20"/>
                <w:szCs w:val="20"/>
              </w:rPr>
              <w:t>Volumen de remesas recibidas (% PIB)</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306CDDF" w14:textId="77777777" w:rsidR="00933177" w:rsidRDefault="00933177" w:rsidP="001F40FE">
            <w:r>
              <w:rPr>
                <w:color w:val="111111"/>
                <w:sz w:val="20"/>
                <w:szCs w:val="20"/>
              </w:rPr>
              <w:t>Proxy del corredor de remesas potencial. Relevancia A para Pagos y Flujos.</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71495B1"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=2</w:t>
            </w:r>
          </w:p>
        </w:tc>
      </w:tr>
      <w:tr w:rsidR="00933177" w14:paraId="5DED3FB1"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EBF7EE"/>
            <w:tcMar>
              <w:top w:w="80" w:type="dxa"/>
              <w:left w:w="130" w:type="dxa"/>
              <w:bottom w:w="80" w:type="dxa"/>
              <w:right w:w="130" w:type="dxa"/>
            </w:tcMar>
          </w:tcPr>
          <w:p w14:paraId="397FD9A5" w14:textId="77777777" w:rsidR="00933177" w:rsidRDefault="00933177" w:rsidP="001F40FE">
            <w:r>
              <w:rPr>
                <w:b/>
                <w:bCs/>
                <w:color w:val="111111"/>
                <w:sz w:val="20"/>
                <w:szCs w:val="20"/>
              </w:rPr>
              <w:t xml:space="preserve">D2 Financiera (9 </w:t>
            </w:r>
            <w:proofErr w:type="spellStart"/>
            <w:r>
              <w:rPr>
                <w:b/>
                <w:bCs/>
                <w:color w:val="111111"/>
                <w:sz w:val="20"/>
                <w:szCs w:val="20"/>
              </w:rPr>
              <w:t>vars</w:t>
            </w:r>
            <w:proofErr w:type="spellEnd"/>
            <w:r>
              <w:rPr>
                <w:b/>
                <w:bCs/>
                <w:color w:val="111111"/>
                <w:sz w:val="20"/>
                <w:szCs w:val="20"/>
              </w:rPr>
              <w:t>)</w:t>
            </w:r>
          </w:p>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8CD542C" w14:textId="77777777" w:rsidR="00933177" w:rsidRDefault="00933177" w:rsidP="001F40FE">
            <w:r>
              <w:rPr>
                <w:color w:val="111111"/>
                <w:sz w:val="20"/>
                <w:szCs w:val="20"/>
              </w:rPr>
              <w:t>Crédito privado / PIB (%)</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82315E4" w14:textId="77777777" w:rsidR="00933177" w:rsidRDefault="00933177" w:rsidP="001F40FE">
            <w:r>
              <w:rPr>
                <w:color w:val="111111"/>
                <w:sz w:val="20"/>
                <w:szCs w:val="20"/>
              </w:rPr>
              <w:t>Profundidad financiera. Proxy del tamaño del mercado de intermediación bancaria.</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50BBA0B"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=32 (GFDD)</w:t>
            </w:r>
          </w:p>
        </w:tc>
      </w:tr>
      <w:tr w:rsidR="00933177" w14:paraId="58083E2A"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EBF7EE"/>
            <w:tcMar>
              <w:top w:w="80" w:type="dxa"/>
              <w:left w:w="130" w:type="dxa"/>
              <w:bottom w:w="80" w:type="dxa"/>
              <w:right w:w="130" w:type="dxa"/>
            </w:tcMar>
          </w:tcPr>
          <w:p w14:paraId="71B14157"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82490DB" w14:textId="77777777" w:rsidR="00933177" w:rsidRDefault="00933177" w:rsidP="001F40FE">
            <w:r>
              <w:rPr>
                <w:color w:val="111111"/>
                <w:sz w:val="20"/>
                <w:szCs w:val="20"/>
              </w:rPr>
              <w:t>Depósitos bancarios / PIB (%)</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DD5EAE9" w14:textId="77777777" w:rsidR="00933177" w:rsidRDefault="00933177" w:rsidP="001F40FE">
            <w:r>
              <w:rPr>
                <w:color w:val="111111"/>
                <w:sz w:val="20"/>
                <w:szCs w:val="20"/>
              </w:rPr>
              <w:t>Desarrollo del sistema de captación. Indicador de madurez del mercado bancario.</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2A1E62E"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=32</w:t>
            </w:r>
          </w:p>
        </w:tc>
      </w:tr>
      <w:tr w:rsidR="00933177" w14:paraId="7D663180"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EBF7EE"/>
            <w:tcMar>
              <w:top w:w="80" w:type="dxa"/>
              <w:left w:w="130" w:type="dxa"/>
              <w:bottom w:w="80" w:type="dxa"/>
              <w:right w:w="130" w:type="dxa"/>
            </w:tcMar>
          </w:tcPr>
          <w:p w14:paraId="4F45A7B9"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E405593" w14:textId="77777777" w:rsidR="00933177" w:rsidRDefault="00933177" w:rsidP="001F40FE">
            <w:r>
              <w:rPr>
                <w:color w:val="111111"/>
                <w:sz w:val="20"/>
                <w:szCs w:val="20"/>
              </w:rPr>
              <w:t>Margen de intermediación (spread tasas, %)</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51FBB6C" w14:textId="77777777" w:rsidR="00933177" w:rsidRDefault="00933177" w:rsidP="001F40FE">
            <w:r>
              <w:rPr>
                <w:color w:val="111111"/>
                <w:sz w:val="20"/>
                <w:szCs w:val="20"/>
              </w:rPr>
              <w:t>Rentabilidad potencial del negocio bancario. Mercados con spread alto son más rentables para entrantes eficientes.</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D6601F6"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=32</w:t>
            </w:r>
          </w:p>
        </w:tc>
      </w:tr>
      <w:tr w:rsidR="00933177" w14:paraId="4177C56E"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EBF7EE"/>
            <w:tcMar>
              <w:top w:w="80" w:type="dxa"/>
              <w:left w:w="130" w:type="dxa"/>
              <w:bottom w:w="80" w:type="dxa"/>
              <w:right w:w="130" w:type="dxa"/>
            </w:tcMar>
          </w:tcPr>
          <w:p w14:paraId="5485F482"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202068E" w14:textId="77777777" w:rsidR="00933177" w:rsidRDefault="00933177" w:rsidP="001F40FE">
            <w:r>
              <w:rPr>
                <w:color w:val="111111"/>
                <w:sz w:val="20"/>
                <w:szCs w:val="20"/>
              </w:rPr>
              <w:t>Índice de concentración bancaria (C5 o HHI)</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2C23B92" w14:textId="77777777" w:rsidR="00933177" w:rsidRDefault="00933177" w:rsidP="001F40FE">
            <w:r>
              <w:rPr>
                <w:color w:val="111111"/>
                <w:sz w:val="20"/>
                <w:szCs w:val="20"/>
              </w:rPr>
              <w:t>Estructura competitiva. Alta concentración puede significar barrera de entrada o mercado con incumbentes rentables pero vulnerables.</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0741C8B"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=32</w:t>
            </w:r>
          </w:p>
        </w:tc>
      </w:tr>
      <w:tr w:rsidR="00933177" w14:paraId="52A953B9"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EBF7EE"/>
            <w:tcMar>
              <w:top w:w="80" w:type="dxa"/>
              <w:left w:w="130" w:type="dxa"/>
              <w:bottom w:w="80" w:type="dxa"/>
              <w:right w:w="130" w:type="dxa"/>
            </w:tcMar>
          </w:tcPr>
          <w:p w14:paraId="2ADDEAFF"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E8D10E8" w14:textId="77777777" w:rsidR="00933177" w:rsidRDefault="00933177" w:rsidP="001F40FE">
            <w:r>
              <w:rPr>
                <w:color w:val="111111"/>
                <w:sz w:val="20"/>
                <w:szCs w:val="20"/>
              </w:rPr>
              <w:t>Capitalización bursátil / PIB (%)</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4CE46B6" w14:textId="77777777" w:rsidR="00933177" w:rsidRDefault="00933177" w:rsidP="001F40FE">
            <w:r>
              <w:rPr>
                <w:color w:val="111111"/>
                <w:sz w:val="20"/>
                <w:szCs w:val="20"/>
              </w:rPr>
              <w:t>Desarrollo del mercado de capitales. Relevancia A para IB, BD y CIB.</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87B70F6"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=32</w:t>
            </w:r>
          </w:p>
        </w:tc>
      </w:tr>
      <w:tr w:rsidR="00933177" w14:paraId="5F257978"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EBF7EE"/>
            <w:tcMar>
              <w:top w:w="80" w:type="dxa"/>
              <w:left w:w="130" w:type="dxa"/>
              <w:bottom w:w="80" w:type="dxa"/>
              <w:right w:w="130" w:type="dxa"/>
            </w:tcMar>
          </w:tcPr>
          <w:p w14:paraId="44FDCF8D"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8102AEA" w14:textId="77777777" w:rsidR="00933177" w:rsidRDefault="00933177" w:rsidP="001F40FE">
            <w:r>
              <w:rPr>
                <w:color w:val="111111"/>
                <w:sz w:val="20"/>
                <w:szCs w:val="20"/>
              </w:rPr>
              <w:t>Índice de inclusión financiera (cuentas bancarias / 1.000 adultos)</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F4B32EA" w14:textId="77777777" w:rsidR="00933177" w:rsidRDefault="00933177" w:rsidP="001F40FE">
            <w:r>
              <w:rPr>
                <w:color w:val="111111"/>
                <w:sz w:val="20"/>
                <w:szCs w:val="20"/>
              </w:rPr>
              <w:t>Penetración del sistema financiero formal. Alto valor indica mercado maduro; bajo valor indica oportunidad de inclusión.</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2ED2808"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=32</w:t>
            </w:r>
          </w:p>
        </w:tc>
      </w:tr>
      <w:tr w:rsidR="00933177" w14:paraId="2851FA49"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EBF7EE"/>
            <w:tcMar>
              <w:top w:w="80" w:type="dxa"/>
              <w:left w:w="130" w:type="dxa"/>
              <w:bottom w:w="80" w:type="dxa"/>
              <w:right w:w="130" w:type="dxa"/>
            </w:tcMar>
          </w:tcPr>
          <w:p w14:paraId="3BB1E423"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289E0A4" w14:textId="77777777" w:rsidR="00933177" w:rsidRDefault="00933177" w:rsidP="001F40FE">
            <w:r>
              <w:rPr>
                <w:color w:val="111111"/>
                <w:sz w:val="20"/>
                <w:szCs w:val="20"/>
              </w:rPr>
              <w:t>Activos bancarios / PIB (%)</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E7BC9D1" w14:textId="77777777" w:rsidR="00933177" w:rsidRDefault="00933177" w:rsidP="001F40FE">
            <w:r>
              <w:rPr>
                <w:color w:val="111111"/>
                <w:sz w:val="20"/>
                <w:szCs w:val="20"/>
              </w:rPr>
              <w:t>Tamaño total del sistema bancario como proporción de la economía.</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DFA59C1"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=32</w:t>
            </w:r>
          </w:p>
        </w:tc>
      </w:tr>
      <w:tr w:rsidR="00933177" w14:paraId="631E8F93"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EBF7EE"/>
            <w:tcMar>
              <w:top w:w="80" w:type="dxa"/>
              <w:left w:w="130" w:type="dxa"/>
              <w:bottom w:w="80" w:type="dxa"/>
              <w:right w:w="130" w:type="dxa"/>
            </w:tcMar>
          </w:tcPr>
          <w:p w14:paraId="6BFB8CB2"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C518220" w14:textId="77777777" w:rsidR="00933177" w:rsidRDefault="00933177" w:rsidP="001F40FE">
            <w:r>
              <w:rPr>
                <w:color w:val="111111"/>
                <w:sz w:val="20"/>
                <w:szCs w:val="20"/>
              </w:rPr>
              <w:t>ROA del sistema bancario (%)</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DF9CA09" w14:textId="77777777" w:rsidR="00933177" w:rsidRDefault="00933177" w:rsidP="001F40FE">
            <w:r>
              <w:rPr>
                <w:color w:val="111111"/>
                <w:sz w:val="20"/>
                <w:szCs w:val="20"/>
              </w:rPr>
              <w:t>Rentabilidad sistémica del sector bancario. Proxy de los márgenes alcanzables para un entrante eficiente.</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2C88EE5"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=32</w:t>
            </w:r>
          </w:p>
        </w:tc>
      </w:tr>
      <w:tr w:rsidR="00933177" w14:paraId="3EE63969"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EBF7EE"/>
            <w:tcMar>
              <w:top w:w="80" w:type="dxa"/>
              <w:left w:w="130" w:type="dxa"/>
              <w:bottom w:w="80" w:type="dxa"/>
              <w:right w:w="130" w:type="dxa"/>
            </w:tcMar>
          </w:tcPr>
          <w:p w14:paraId="2676F6F0"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CEC1B52" w14:textId="77777777" w:rsidR="00933177" w:rsidRDefault="00933177" w:rsidP="001F40FE">
            <w:r>
              <w:rPr>
                <w:color w:val="111111"/>
                <w:sz w:val="20"/>
                <w:szCs w:val="20"/>
              </w:rPr>
              <w:t>Cartera vencida / cartera total (NPL ratio, %)</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8E0F33A" w14:textId="77777777" w:rsidR="00933177" w:rsidRDefault="00933177" w:rsidP="001F40FE">
            <w:r>
              <w:rPr>
                <w:color w:val="111111"/>
                <w:sz w:val="20"/>
                <w:szCs w:val="20"/>
              </w:rPr>
              <w:t>Calidad del sistema crediticio. NPL alto indica riesgo de crédito elevado en el mercado.</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8DFDB1F"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=32</w:t>
            </w:r>
          </w:p>
        </w:tc>
      </w:tr>
      <w:tr w:rsidR="00933177" w14:paraId="37E2025E"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FF8E7"/>
            <w:tcMar>
              <w:top w:w="80" w:type="dxa"/>
              <w:left w:w="130" w:type="dxa"/>
              <w:bottom w:w="80" w:type="dxa"/>
              <w:right w:w="130" w:type="dxa"/>
            </w:tcMar>
          </w:tcPr>
          <w:p w14:paraId="21354272" w14:textId="77777777" w:rsidR="00933177" w:rsidRDefault="00933177" w:rsidP="001F40FE">
            <w:r>
              <w:rPr>
                <w:b/>
                <w:bCs/>
                <w:color w:val="111111"/>
                <w:sz w:val="20"/>
                <w:szCs w:val="20"/>
              </w:rPr>
              <w:t xml:space="preserve">D3 Institucional (8 </w:t>
            </w:r>
            <w:proofErr w:type="spellStart"/>
            <w:r>
              <w:rPr>
                <w:b/>
                <w:bCs/>
                <w:color w:val="111111"/>
                <w:sz w:val="20"/>
                <w:szCs w:val="20"/>
              </w:rPr>
              <w:t>vars</w:t>
            </w:r>
            <w:proofErr w:type="spellEnd"/>
            <w:r>
              <w:rPr>
                <w:b/>
                <w:bCs/>
                <w:color w:val="111111"/>
                <w:sz w:val="20"/>
                <w:szCs w:val="20"/>
              </w:rPr>
              <w:t>)</w:t>
            </w:r>
          </w:p>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342C5F7" w14:textId="77777777" w:rsidR="00933177" w:rsidRDefault="00933177" w:rsidP="001F40FE">
            <w:r>
              <w:rPr>
                <w:color w:val="111111"/>
                <w:sz w:val="20"/>
                <w:szCs w:val="20"/>
              </w:rPr>
              <w:t>WGI: Voz y Rendición de Cuentas</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3B15134" w14:textId="77777777" w:rsidR="00933177" w:rsidRDefault="00933177" w:rsidP="001F40FE">
            <w:r>
              <w:rPr>
                <w:color w:val="111111"/>
                <w:sz w:val="20"/>
                <w:szCs w:val="20"/>
              </w:rPr>
              <w:t>Libertades civiles y políticas. Indicador del entorno democrático e institucional.</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484DB68"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w:t>
            </w:r>
          </w:p>
        </w:tc>
      </w:tr>
      <w:tr w:rsidR="00933177" w14:paraId="11E2ED92"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FF8E7"/>
            <w:tcMar>
              <w:top w:w="80" w:type="dxa"/>
              <w:left w:w="130" w:type="dxa"/>
              <w:bottom w:w="80" w:type="dxa"/>
              <w:right w:w="130" w:type="dxa"/>
            </w:tcMar>
          </w:tcPr>
          <w:p w14:paraId="7481A4F7"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CA28940" w14:textId="77777777" w:rsidR="00933177" w:rsidRDefault="00933177" w:rsidP="001F40FE">
            <w:r>
              <w:rPr>
                <w:color w:val="111111"/>
                <w:sz w:val="20"/>
                <w:szCs w:val="20"/>
              </w:rPr>
              <w:t>WGI: Estabilidad Política</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27816EB" w14:textId="77777777" w:rsidR="00933177" w:rsidRDefault="00933177" w:rsidP="001F40FE">
            <w:r>
              <w:rPr>
                <w:color w:val="111111"/>
                <w:sz w:val="20"/>
                <w:szCs w:val="20"/>
              </w:rPr>
              <w:t>Riesgo de inestabilidad política y violencia. Crítico para decisiones de inversión a largo plazo.</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41417D5"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w:t>
            </w:r>
          </w:p>
        </w:tc>
      </w:tr>
      <w:tr w:rsidR="00933177" w14:paraId="28513C19"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FF8E7"/>
            <w:tcMar>
              <w:top w:w="80" w:type="dxa"/>
              <w:left w:w="130" w:type="dxa"/>
              <w:bottom w:w="80" w:type="dxa"/>
              <w:right w:w="130" w:type="dxa"/>
            </w:tcMar>
          </w:tcPr>
          <w:p w14:paraId="49C0AD71"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FCA92C0" w14:textId="77777777" w:rsidR="00933177" w:rsidRDefault="00933177" w:rsidP="001F40FE">
            <w:r>
              <w:rPr>
                <w:color w:val="111111"/>
                <w:sz w:val="20"/>
                <w:szCs w:val="20"/>
              </w:rPr>
              <w:t>WGI: Efectividad del Gobierno</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96CD3A0" w14:textId="77777777" w:rsidR="00933177" w:rsidRDefault="00933177" w:rsidP="001F40FE">
            <w:r>
              <w:rPr>
                <w:color w:val="111111"/>
                <w:sz w:val="20"/>
                <w:szCs w:val="20"/>
              </w:rPr>
              <w:t>Calidad de servicios públicos y capacidad del gobierno de implementar políticas.</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EFF6EF9"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w:t>
            </w:r>
          </w:p>
        </w:tc>
      </w:tr>
      <w:tr w:rsidR="00933177" w14:paraId="7D4B5063"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FF8E7"/>
            <w:tcMar>
              <w:top w:w="80" w:type="dxa"/>
              <w:left w:w="130" w:type="dxa"/>
              <w:bottom w:w="80" w:type="dxa"/>
              <w:right w:w="130" w:type="dxa"/>
            </w:tcMar>
          </w:tcPr>
          <w:p w14:paraId="4F7B4573"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72439B9" w14:textId="77777777" w:rsidR="00933177" w:rsidRDefault="00933177" w:rsidP="001F40FE">
            <w:r>
              <w:rPr>
                <w:color w:val="111111"/>
                <w:sz w:val="20"/>
                <w:szCs w:val="20"/>
              </w:rPr>
              <w:t>WGI: Calidad Regulatoria</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3C74C17" w14:textId="77777777" w:rsidR="00933177" w:rsidRDefault="00933177" w:rsidP="001F40FE">
            <w:r>
              <w:rPr>
                <w:color w:val="111111"/>
                <w:sz w:val="20"/>
                <w:szCs w:val="20"/>
              </w:rPr>
              <w:t>Capacidad del gobierno de formular e implementar regulación que promueva el desarrollo del sector privado.</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FBEFF0D"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w:t>
            </w:r>
          </w:p>
        </w:tc>
      </w:tr>
      <w:tr w:rsidR="00933177" w14:paraId="066BE4A6"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FF8E7"/>
            <w:tcMar>
              <w:top w:w="80" w:type="dxa"/>
              <w:left w:w="130" w:type="dxa"/>
              <w:bottom w:w="80" w:type="dxa"/>
              <w:right w:w="130" w:type="dxa"/>
            </w:tcMar>
          </w:tcPr>
          <w:p w14:paraId="4D57EEC9"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1706292" w14:textId="77777777" w:rsidR="00933177" w:rsidRDefault="00933177" w:rsidP="001F40FE">
            <w:r>
              <w:rPr>
                <w:color w:val="111111"/>
                <w:sz w:val="20"/>
                <w:szCs w:val="20"/>
              </w:rPr>
              <w:t>WGI: Estado de Derecho</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F8254CE" w14:textId="77777777" w:rsidR="00933177" w:rsidRDefault="00933177" w:rsidP="001F40FE">
            <w:r>
              <w:rPr>
                <w:color w:val="111111"/>
                <w:sz w:val="20"/>
                <w:szCs w:val="20"/>
              </w:rPr>
              <w:t>Confianza en las reglas de la sociedad, contratos, derechos de propiedad y tribunales.</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5FC2D8B"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w:t>
            </w:r>
          </w:p>
        </w:tc>
      </w:tr>
      <w:tr w:rsidR="00933177" w14:paraId="62CFB9DF"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FF8E7"/>
            <w:tcMar>
              <w:top w:w="80" w:type="dxa"/>
              <w:left w:w="130" w:type="dxa"/>
              <w:bottom w:w="80" w:type="dxa"/>
              <w:right w:w="130" w:type="dxa"/>
            </w:tcMar>
          </w:tcPr>
          <w:p w14:paraId="742F5BCA"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7E14A05" w14:textId="77777777" w:rsidR="00933177" w:rsidRDefault="00933177" w:rsidP="001F40FE">
            <w:r>
              <w:rPr>
                <w:color w:val="111111"/>
                <w:sz w:val="20"/>
                <w:szCs w:val="20"/>
              </w:rPr>
              <w:t>WGI: Control de la Corrupción</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8E1828C" w14:textId="77777777" w:rsidR="00933177" w:rsidRDefault="00933177" w:rsidP="001F40FE">
            <w:r>
              <w:rPr>
                <w:color w:val="111111"/>
                <w:sz w:val="20"/>
                <w:szCs w:val="20"/>
              </w:rPr>
              <w:t>Grado en que el poder público es ejercido para beneficio privado. Clave para la confianza institucional bancaria.</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E5A21CD"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w:t>
            </w:r>
          </w:p>
        </w:tc>
      </w:tr>
      <w:tr w:rsidR="00933177" w14:paraId="26A7AC4C"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FF8E7"/>
            <w:tcMar>
              <w:top w:w="80" w:type="dxa"/>
              <w:left w:w="130" w:type="dxa"/>
              <w:bottom w:w="80" w:type="dxa"/>
              <w:right w:w="130" w:type="dxa"/>
            </w:tcMar>
          </w:tcPr>
          <w:p w14:paraId="561A785A"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087F474" w14:textId="77777777" w:rsidR="00933177" w:rsidRDefault="00933177" w:rsidP="001F40FE">
            <w:r>
              <w:rPr>
                <w:color w:val="111111"/>
                <w:sz w:val="20"/>
                <w:szCs w:val="20"/>
              </w:rPr>
              <w:t>Prima de riesgo país (Damodaran)</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AB9E53A" w14:textId="77777777" w:rsidR="00933177" w:rsidRDefault="00933177" w:rsidP="001F40FE">
            <w:r>
              <w:rPr>
                <w:color w:val="111111"/>
                <w:sz w:val="20"/>
                <w:szCs w:val="20"/>
              </w:rPr>
              <w:t>Costo adicional de capital exigido por los mercados financieros internacionales. Relevancia A para TODAS las líneas de negocio — único indicador con esta distinción.</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89BA8CE" w14:textId="77777777" w:rsidR="00933177" w:rsidRDefault="00933177" w:rsidP="001F40FE">
            <w:r>
              <w:rPr>
                <w:color w:val="111111"/>
                <w:sz w:val="20"/>
                <w:szCs w:val="20"/>
              </w:rPr>
              <w:t>Damodaran Online [verificar URL actual]</w:t>
            </w:r>
          </w:p>
        </w:tc>
      </w:tr>
      <w:tr w:rsidR="00933177" w14:paraId="4E175845"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FF8E7"/>
            <w:tcMar>
              <w:top w:w="80" w:type="dxa"/>
              <w:left w:w="130" w:type="dxa"/>
              <w:bottom w:w="80" w:type="dxa"/>
              <w:right w:w="130" w:type="dxa"/>
            </w:tcMar>
          </w:tcPr>
          <w:p w14:paraId="0989A1B3"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00D0B73" w14:textId="77777777" w:rsidR="00933177" w:rsidRDefault="00933177" w:rsidP="001F40FE">
            <w:r>
              <w:rPr>
                <w:color w:val="111111"/>
                <w:sz w:val="20"/>
                <w:szCs w:val="20"/>
              </w:rPr>
              <w:t>Índice de Libertad Económica (Heritage EFI)</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F7CEFD4" w14:textId="77777777" w:rsidR="00933177" w:rsidRDefault="00933177" w:rsidP="001F40FE">
            <w:r>
              <w:rPr>
                <w:color w:val="111111"/>
                <w:sz w:val="20"/>
                <w:szCs w:val="20"/>
              </w:rPr>
              <w:t>Apertura del entorno económico para los negocios, incluyendo libertad financiera, comercial y de inversión.</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7096292" w14:textId="77777777" w:rsidR="00933177" w:rsidRDefault="00933177" w:rsidP="001F40FE">
            <w:r>
              <w:rPr>
                <w:color w:val="111111"/>
                <w:sz w:val="20"/>
                <w:szCs w:val="20"/>
              </w:rPr>
              <w:t xml:space="preserve">Heritage </w:t>
            </w:r>
            <w:proofErr w:type="spellStart"/>
            <w:r>
              <w:rPr>
                <w:color w:val="111111"/>
                <w:sz w:val="20"/>
                <w:szCs w:val="20"/>
              </w:rPr>
              <w:t>Foundation</w:t>
            </w:r>
            <w:proofErr w:type="spellEnd"/>
            <w:r>
              <w:rPr>
                <w:color w:val="111111"/>
                <w:sz w:val="20"/>
                <w:szCs w:val="20"/>
              </w:rPr>
              <w:t>: https://www.heritage.org/index/</w:t>
            </w:r>
          </w:p>
        </w:tc>
      </w:tr>
      <w:tr w:rsidR="00933177" w14:paraId="55EA4CDF"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2F4F6"/>
            <w:tcMar>
              <w:top w:w="80" w:type="dxa"/>
              <w:left w:w="130" w:type="dxa"/>
              <w:bottom w:w="80" w:type="dxa"/>
              <w:right w:w="130" w:type="dxa"/>
            </w:tcMar>
          </w:tcPr>
          <w:p w14:paraId="70A21F89" w14:textId="77777777" w:rsidR="00933177" w:rsidRDefault="00933177" w:rsidP="001F40FE">
            <w:r>
              <w:rPr>
                <w:b/>
                <w:bCs/>
                <w:color w:val="111111"/>
                <w:sz w:val="20"/>
                <w:szCs w:val="20"/>
              </w:rPr>
              <w:t xml:space="preserve">D4 Tecno- lógica (3 </w:t>
            </w:r>
            <w:proofErr w:type="spellStart"/>
            <w:r>
              <w:rPr>
                <w:b/>
                <w:bCs/>
                <w:color w:val="111111"/>
                <w:sz w:val="20"/>
                <w:szCs w:val="20"/>
              </w:rPr>
              <w:t>vars</w:t>
            </w:r>
            <w:proofErr w:type="spellEnd"/>
            <w:r>
              <w:rPr>
                <w:b/>
                <w:bCs/>
                <w:color w:val="111111"/>
                <w:sz w:val="20"/>
                <w:szCs w:val="20"/>
              </w:rPr>
              <w:t>)</w:t>
            </w:r>
          </w:p>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6A0CE1F" w14:textId="77777777" w:rsidR="00933177" w:rsidRDefault="00933177" w:rsidP="001F40FE">
            <w:r>
              <w:rPr>
                <w:color w:val="111111"/>
                <w:sz w:val="20"/>
                <w:szCs w:val="20"/>
              </w:rPr>
              <w:t>Penetración de internet (% población)</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2103EC6" w14:textId="77777777" w:rsidR="00933177" w:rsidRDefault="00933177" w:rsidP="001F40FE">
            <w:r>
              <w:rPr>
                <w:color w:val="111111"/>
                <w:sz w:val="20"/>
                <w:szCs w:val="20"/>
              </w:rPr>
              <w:t>Infraestructura digital básica. Requisito mínimo para cualquier modelo de negocio financiero digital.</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444FEA8"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=2</w:t>
            </w:r>
          </w:p>
        </w:tc>
      </w:tr>
      <w:tr w:rsidR="00933177" w14:paraId="564AE374"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2F4F6"/>
            <w:tcMar>
              <w:top w:w="80" w:type="dxa"/>
              <w:left w:w="130" w:type="dxa"/>
              <w:bottom w:w="80" w:type="dxa"/>
              <w:right w:w="130" w:type="dxa"/>
            </w:tcMar>
          </w:tcPr>
          <w:p w14:paraId="1893D8B0"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AEC8AF6" w14:textId="77777777" w:rsidR="00933177" w:rsidRDefault="00933177" w:rsidP="001F40FE">
            <w:r>
              <w:rPr>
                <w:color w:val="111111"/>
                <w:sz w:val="20"/>
                <w:szCs w:val="20"/>
              </w:rPr>
              <w:t>Penetración de telefonía móvil (suscripciones / 100 hab.)</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F9BF3F4" w14:textId="77777777" w:rsidR="00933177" w:rsidRDefault="00933177" w:rsidP="001F40FE">
            <w:r>
              <w:rPr>
                <w:color w:val="111111"/>
                <w:sz w:val="20"/>
                <w:szCs w:val="20"/>
              </w:rPr>
              <w:t>Infraestructura para banca móvil y pagos digitales. Crítico para Bancos Digitales y Pagos.</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CEAC9C1"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=2</w:t>
            </w:r>
          </w:p>
        </w:tc>
      </w:tr>
      <w:tr w:rsidR="00933177" w14:paraId="1B5E2E0B"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2F4F6"/>
            <w:tcMar>
              <w:top w:w="80" w:type="dxa"/>
              <w:left w:w="130" w:type="dxa"/>
              <w:bottom w:w="80" w:type="dxa"/>
              <w:right w:w="130" w:type="dxa"/>
            </w:tcMar>
          </w:tcPr>
          <w:p w14:paraId="1204BA2D"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A670C70" w14:textId="77777777" w:rsidR="00933177" w:rsidRDefault="00933177" w:rsidP="001F40FE">
            <w:r>
              <w:rPr>
                <w:color w:val="111111"/>
                <w:sz w:val="20"/>
                <w:szCs w:val="20"/>
              </w:rPr>
              <w:t>Pagos digitales (% adultos que realizaron/recibieron pagos digitales)</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E551874" w14:textId="77777777" w:rsidR="00933177" w:rsidRDefault="00933177" w:rsidP="001F40FE">
            <w:r>
              <w:rPr>
                <w:color w:val="111111"/>
                <w:sz w:val="20"/>
                <w:szCs w:val="20"/>
              </w:rPr>
              <w:t xml:space="preserve">Adopción real de medios de pago digitales. Proxy de la disposición del mercado para productos digitales de </w:t>
            </w:r>
            <w:proofErr w:type="spellStart"/>
            <w:r>
              <w:rPr>
                <w:color w:val="111111"/>
                <w:sz w:val="20"/>
                <w:szCs w:val="20"/>
              </w:rPr>
              <w:t>Cibest</w:t>
            </w:r>
            <w:proofErr w:type="spellEnd"/>
            <w:r>
              <w:rPr>
                <w:color w:val="111111"/>
                <w:sz w:val="20"/>
                <w:szCs w:val="20"/>
              </w:rPr>
              <w:t>.</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197E5F7" w14:textId="77777777" w:rsidR="00933177" w:rsidRDefault="00933177" w:rsidP="001F40FE">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=2</w:t>
            </w:r>
          </w:p>
        </w:tc>
      </w:tr>
      <w:tr w:rsidR="00933177" w14:paraId="07246EE1"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BEAEA"/>
            <w:tcMar>
              <w:top w:w="80" w:type="dxa"/>
              <w:left w:w="130" w:type="dxa"/>
              <w:bottom w:w="80" w:type="dxa"/>
              <w:right w:w="130" w:type="dxa"/>
            </w:tcMar>
          </w:tcPr>
          <w:p w14:paraId="07191266" w14:textId="77777777" w:rsidR="00933177" w:rsidRDefault="00933177" w:rsidP="001F40FE">
            <w:r>
              <w:rPr>
                <w:b/>
                <w:bCs/>
                <w:color w:val="111111"/>
                <w:sz w:val="20"/>
                <w:szCs w:val="20"/>
              </w:rPr>
              <w:lastRenderedPageBreak/>
              <w:t xml:space="preserve">D5 Proxi- </w:t>
            </w:r>
            <w:proofErr w:type="spellStart"/>
            <w:r>
              <w:rPr>
                <w:b/>
                <w:bCs/>
                <w:color w:val="111111"/>
                <w:sz w:val="20"/>
                <w:szCs w:val="20"/>
              </w:rPr>
              <w:t>midad</w:t>
            </w:r>
            <w:proofErr w:type="spellEnd"/>
            <w:r>
              <w:rPr>
                <w:b/>
                <w:bCs/>
                <w:color w:val="111111"/>
                <w:sz w:val="20"/>
                <w:szCs w:val="20"/>
              </w:rPr>
              <w:t xml:space="preserve"> (9 </w:t>
            </w:r>
            <w:proofErr w:type="spellStart"/>
            <w:r>
              <w:rPr>
                <w:b/>
                <w:bCs/>
                <w:color w:val="111111"/>
                <w:sz w:val="20"/>
                <w:szCs w:val="20"/>
              </w:rPr>
              <w:t>vars</w:t>
            </w:r>
            <w:proofErr w:type="spellEnd"/>
            <w:r>
              <w:rPr>
                <w:b/>
                <w:bCs/>
                <w:color w:val="111111"/>
                <w:sz w:val="20"/>
                <w:szCs w:val="20"/>
              </w:rPr>
              <w:t>)</w:t>
            </w:r>
          </w:p>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7E38195" w14:textId="77777777" w:rsidR="00933177" w:rsidRDefault="00933177" w:rsidP="001F40FE">
            <w:r>
              <w:rPr>
                <w:color w:val="111111"/>
                <w:sz w:val="20"/>
                <w:szCs w:val="20"/>
              </w:rPr>
              <w:t>Distancia geográfica Colombia-mercado (km, CEPII)</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DEF299E" w14:textId="77777777" w:rsidR="00933177" w:rsidRDefault="00933177" w:rsidP="001F40FE">
            <w:r>
              <w:rPr>
                <w:color w:val="111111"/>
                <w:sz w:val="20"/>
                <w:szCs w:val="20"/>
              </w:rPr>
              <w:t xml:space="preserve">Costo logístico y de viaje para gestión de la operación. Fuente: CEPII </w:t>
            </w:r>
            <w:proofErr w:type="spellStart"/>
            <w:r>
              <w:rPr>
                <w:color w:val="111111"/>
                <w:sz w:val="20"/>
                <w:szCs w:val="20"/>
              </w:rPr>
              <w:t>GeoDist</w:t>
            </w:r>
            <w:proofErr w:type="spellEnd"/>
            <w:r>
              <w:rPr>
                <w:color w:val="111111"/>
                <w:sz w:val="20"/>
                <w:szCs w:val="20"/>
              </w:rPr>
              <w:t xml:space="preserve"> (CSV </w:t>
            </w:r>
            <w:proofErr w:type="spellStart"/>
            <w:r>
              <w:rPr>
                <w:color w:val="111111"/>
                <w:sz w:val="20"/>
                <w:szCs w:val="20"/>
              </w:rPr>
              <w:t>seed</w:t>
            </w:r>
            <w:proofErr w:type="spellEnd"/>
            <w:r>
              <w:rPr>
                <w:color w:val="111111"/>
                <w:sz w:val="20"/>
                <w:szCs w:val="20"/>
              </w:rPr>
              <w:t>).</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B1C48DE" w14:textId="77777777" w:rsidR="00933177" w:rsidRDefault="00933177" w:rsidP="001F40FE">
            <w:r>
              <w:rPr>
                <w:color w:val="111111"/>
                <w:sz w:val="20"/>
                <w:szCs w:val="20"/>
              </w:rPr>
              <w:t xml:space="preserve">CEPII </w:t>
            </w:r>
            <w:proofErr w:type="spellStart"/>
            <w:r>
              <w:rPr>
                <w:color w:val="111111"/>
                <w:sz w:val="20"/>
                <w:szCs w:val="20"/>
              </w:rPr>
              <w:t>geodist</w:t>
            </w:r>
            <w:proofErr w:type="spellEnd"/>
          </w:p>
        </w:tc>
      </w:tr>
      <w:tr w:rsidR="00933177" w14:paraId="403E6FE8"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BEAEA"/>
            <w:tcMar>
              <w:top w:w="80" w:type="dxa"/>
              <w:left w:w="130" w:type="dxa"/>
              <w:bottom w:w="80" w:type="dxa"/>
              <w:right w:w="130" w:type="dxa"/>
            </w:tcMar>
          </w:tcPr>
          <w:p w14:paraId="1BBE5587"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FE3E0D3" w14:textId="77777777" w:rsidR="00933177" w:rsidRDefault="00933177" w:rsidP="001F40FE">
            <w:r>
              <w:rPr>
                <w:color w:val="111111"/>
                <w:sz w:val="20"/>
                <w:szCs w:val="20"/>
              </w:rPr>
              <w:t>Idioma compartido (</w:t>
            </w:r>
            <w:proofErr w:type="spellStart"/>
            <w:r>
              <w:rPr>
                <w:color w:val="111111"/>
                <w:sz w:val="20"/>
                <w:szCs w:val="20"/>
              </w:rPr>
              <w:t>dummy</w:t>
            </w:r>
            <w:proofErr w:type="spellEnd"/>
            <w:r>
              <w:rPr>
                <w:color w:val="111111"/>
                <w:sz w:val="20"/>
                <w:szCs w:val="20"/>
              </w:rPr>
              <w:t>, CEPII)</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434F51E" w14:textId="77777777" w:rsidR="00933177" w:rsidRDefault="00933177" w:rsidP="001F40FE">
            <w:r>
              <w:rPr>
                <w:color w:val="111111"/>
                <w:sz w:val="20"/>
                <w:szCs w:val="20"/>
              </w:rPr>
              <w:t>Español como idioma común. Reduce costos de comunicación con clientes, reguladores y talento local.</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EAC3A1E" w14:textId="77777777" w:rsidR="00933177" w:rsidRDefault="00933177" w:rsidP="001F40FE">
            <w:r>
              <w:rPr>
                <w:color w:val="111111"/>
                <w:sz w:val="20"/>
                <w:szCs w:val="20"/>
              </w:rPr>
              <w:t xml:space="preserve">CEPII </w:t>
            </w:r>
            <w:proofErr w:type="spellStart"/>
            <w:r>
              <w:rPr>
                <w:color w:val="111111"/>
                <w:sz w:val="20"/>
                <w:szCs w:val="20"/>
              </w:rPr>
              <w:t>language</w:t>
            </w:r>
            <w:proofErr w:type="spellEnd"/>
          </w:p>
        </w:tc>
      </w:tr>
      <w:tr w:rsidR="00933177" w14:paraId="3A8D9A86"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BEAEA"/>
            <w:tcMar>
              <w:top w:w="80" w:type="dxa"/>
              <w:left w:w="130" w:type="dxa"/>
              <w:bottom w:w="80" w:type="dxa"/>
              <w:right w:w="130" w:type="dxa"/>
            </w:tcMar>
          </w:tcPr>
          <w:p w14:paraId="3657FD69"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8A16EB9" w14:textId="77777777" w:rsidR="00933177" w:rsidRDefault="00933177" w:rsidP="001F40FE">
            <w:r>
              <w:rPr>
                <w:color w:val="111111"/>
                <w:sz w:val="20"/>
                <w:szCs w:val="20"/>
              </w:rPr>
              <w:t>Salidas de colombianos al exterior (DANE/Migración Colombia)</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4219749" w14:textId="77777777" w:rsidR="00933177" w:rsidRDefault="00933177" w:rsidP="001F40FE">
            <w:r>
              <w:rPr>
                <w:color w:val="111111"/>
                <w:sz w:val="20"/>
                <w:szCs w:val="20"/>
              </w:rPr>
              <w:t>Proxy del tamaño de la diáspora colombiana en cada destino. Relevancia A para Pagos y Flujos (corredor de remesas) y CIB (</w:t>
            </w:r>
            <w:proofErr w:type="spellStart"/>
            <w:r>
              <w:rPr>
                <w:color w:val="111111"/>
                <w:sz w:val="20"/>
                <w:szCs w:val="20"/>
              </w:rPr>
              <w:t>client</w:t>
            </w:r>
            <w:proofErr w:type="spellEnd"/>
            <w:r>
              <w:rPr>
                <w:color w:val="111111"/>
                <w:sz w:val="20"/>
                <w:szCs w:val="20"/>
              </w:rPr>
              <w:t xml:space="preserve"> </w:t>
            </w:r>
            <w:proofErr w:type="spellStart"/>
            <w:r>
              <w:rPr>
                <w:color w:val="111111"/>
                <w:sz w:val="20"/>
                <w:szCs w:val="20"/>
              </w:rPr>
              <w:t>following</w:t>
            </w:r>
            <w:proofErr w:type="spellEnd"/>
            <w:r>
              <w:rPr>
                <w:color w:val="111111"/>
                <w:sz w:val="20"/>
                <w:szCs w:val="20"/>
              </w:rPr>
              <w:t>).</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7B58A75" w14:textId="77777777" w:rsidR="00933177" w:rsidRDefault="00933177" w:rsidP="001F40FE">
            <w:r>
              <w:rPr>
                <w:color w:val="111111"/>
                <w:sz w:val="20"/>
                <w:szCs w:val="20"/>
              </w:rPr>
              <w:t>DANE / Migración Colombia</w:t>
            </w:r>
          </w:p>
        </w:tc>
      </w:tr>
      <w:tr w:rsidR="00933177" w14:paraId="019D76C9"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BEAEA"/>
            <w:tcMar>
              <w:top w:w="80" w:type="dxa"/>
              <w:left w:w="130" w:type="dxa"/>
              <w:bottom w:w="80" w:type="dxa"/>
              <w:right w:w="130" w:type="dxa"/>
            </w:tcMar>
          </w:tcPr>
          <w:p w14:paraId="656DCF5C"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0B8DD9B" w14:textId="77777777" w:rsidR="00933177" w:rsidRDefault="00933177" w:rsidP="001F40FE">
            <w:r>
              <w:rPr>
                <w:color w:val="111111"/>
                <w:sz w:val="20"/>
                <w:szCs w:val="20"/>
              </w:rPr>
              <w:t>Hofstede: Distancia al Poder (PDI)</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F1A4D57" w14:textId="77777777" w:rsidR="00933177" w:rsidRDefault="00933177" w:rsidP="001F40FE">
            <w:r>
              <w:rPr>
                <w:color w:val="111111"/>
                <w:sz w:val="20"/>
                <w:szCs w:val="20"/>
              </w:rPr>
              <w:t>Variable independiente con dirección neutral — captura diferencia en jerarquía social, no califica como 'mejor' o 'peor'.</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F15C7C3" w14:textId="77777777" w:rsidR="00933177" w:rsidRDefault="00933177" w:rsidP="001F40FE">
            <w:r>
              <w:rPr>
                <w:color w:val="111111"/>
                <w:sz w:val="20"/>
                <w:szCs w:val="20"/>
              </w:rPr>
              <w:t xml:space="preserve">Hofstede </w:t>
            </w:r>
            <w:proofErr w:type="spellStart"/>
            <w:r>
              <w:rPr>
                <w:color w:val="111111"/>
                <w:sz w:val="20"/>
                <w:szCs w:val="20"/>
              </w:rPr>
              <w:t>Insights</w:t>
            </w:r>
            <w:proofErr w:type="spellEnd"/>
            <w:r>
              <w:rPr>
                <w:color w:val="111111"/>
                <w:sz w:val="20"/>
                <w:szCs w:val="20"/>
              </w:rPr>
              <w:t xml:space="preserve"> (CSV </w:t>
            </w:r>
            <w:proofErr w:type="spellStart"/>
            <w:r>
              <w:rPr>
                <w:color w:val="111111"/>
                <w:sz w:val="20"/>
                <w:szCs w:val="20"/>
              </w:rPr>
              <w:t>seed</w:t>
            </w:r>
            <w:proofErr w:type="spellEnd"/>
            <w:r>
              <w:rPr>
                <w:color w:val="111111"/>
                <w:sz w:val="20"/>
                <w:szCs w:val="20"/>
              </w:rPr>
              <w:t>)</w:t>
            </w:r>
          </w:p>
        </w:tc>
      </w:tr>
      <w:tr w:rsidR="00933177" w14:paraId="3168A1A4"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BEAEA"/>
            <w:tcMar>
              <w:top w:w="80" w:type="dxa"/>
              <w:left w:w="130" w:type="dxa"/>
              <w:bottom w:w="80" w:type="dxa"/>
              <w:right w:w="130" w:type="dxa"/>
            </w:tcMar>
          </w:tcPr>
          <w:p w14:paraId="10E2A2B6"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188E19B" w14:textId="77777777" w:rsidR="00933177" w:rsidRDefault="00933177" w:rsidP="001F40FE">
            <w:r>
              <w:rPr>
                <w:color w:val="111111"/>
                <w:sz w:val="20"/>
                <w:szCs w:val="20"/>
              </w:rPr>
              <w:t>Hofstede: Individualismo (IDV)</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B43D335" w14:textId="77777777" w:rsidR="00933177" w:rsidRDefault="00933177" w:rsidP="001F40FE">
            <w:r>
              <w:rPr>
                <w:color w:val="111111"/>
                <w:sz w:val="20"/>
                <w:szCs w:val="20"/>
              </w:rPr>
              <w:t>Variable independiente. Diferencia en preferencia colectivista vs. individualista afecta el diseño de productos y la comunicación.</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40A7CF5" w14:textId="77777777" w:rsidR="00933177" w:rsidRDefault="00933177" w:rsidP="001F40FE">
            <w:r>
              <w:rPr>
                <w:color w:val="111111"/>
                <w:sz w:val="20"/>
                <w:szCs w:val="20"/>
              </w:rPr>
              <w:t xml:space="preserve">Hofstede </w:t>
            </w:r>
            <w:proofErr w:type="spellStart"/>
            <w:r>
              <w:rPr>
                <w:color w:val="111111"/>
                <w:sz w:val="20"/>
                <w:szCs w:val="20"/>
              </w:rPr>
              <w:t>Insights</w:t>
            </w:r>
            <w:proofErr w:type="spellEnd"/>
          </w:p>
        </w:tc>
      </w:tr>
      <w:tr w:rsidR="00933177" w14:paraId="7AC482FB"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BEAEA"/>
            <w:tcMar>
              <w:top w:w="80" w:type="dxa"/>
              <w:left w:w="130" w:type="dxa"/>
              <w:bottom w:w="80" w:type="dxa"/>
              <w:right w:w="130" w:type="dxa"/>
            </w:tcMar>
          </w:tcPr>
          <w:p w14:paraId="160DD3DE"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B85A379" w14:textId="77777777" w:rsidR="00933177" w:rsidRDefault="00933177" w:rsidP="001F40FE">
            <w:r>
              <w:rPr>
                <w:color w:val="111111"/>
                <w:sz w:val="20"/>
                <w:szCs w:val="20"/>
              </w:rPr>
              <w:t>Hofstede: Masculinidad (MAS)</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0DD18CC" w14:textId="77777777" w:rsidR="00933177" w:rsidRDefault="00933177" w:rsidP="001F40FE">
            <w:r>
              <w:rPr>
                <w:color w:val="111111"/>
                <w:sz w:val="20"/>
                <w:szCs w:val="20"/>
              </w:rPr>
              <w:t>Variable independiente. Diferencia en orientación al logro vs. cooperación afecta la cultura organizacional de la operación.</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D0D1AA7" w14:textId="77777777" w:rsidR="00933177" w:rsidRDefault="00933177" w:rsidP="001F40FE">
            <w:r>
              <w:rPr>
                <w:color w:val="111111"/>
                <w:sz w:val="20"/>
                <w:szCs w:val="20"/>
              </w:rPr>
              <w:t xml:space="preserve">Hofstede </w:t>
            </w:r>
            <w:proofErr w:type="spellStart"/>
            <w:r>
              <w:rPr>
                <w:color w:val="111111"/>
                <w:sz w:val="20"/>
                <w:szCs w:val="20"/>
              </w:rPr>
              <w:t>Insights</w:t>
            </w:r>
            <w:proofErr w:type="spellEnd"/>
          </w:p>
        </w:tc>
      </w:tr>
      <w:tr w:rsidR="00933177" w14:paraId="5316A681"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BEAEA"/>
            <w:tcMar>
              <w:top w:w="80" w:type="dxa"/>
              <w:left w:w="130" w:type="dxa"/>
              <w:bottom w:w="80" w:type="dxa"/>
              <w:right w:w="130" w:type="dxa"/>
            </w:tcMar>
          </w:tcPr>
          <w:p w14:paraId="5FE1E35F"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7DCAE04" w14:textId="77777777" w:rsidR="00933177" w:rsidRDefault="00933177" w:rsidP="001F40FE">
            <w:r>
              <w:rPr>
                <w:color w:val="111111"/>
                <w:sz w:val="20"/>
                <w:szCs w:val="20"/>
              </w:rPr>
              <w:t>Hofstede: Evasión de Incertidumbre (UAI)</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80CCEFB" w14:textId="77777777" w:rsidR="00933177" w:rsidRDefault="00933177" w:rsidP="001F40FE">
            <w:r>
              <w:rPr>
                <w:color w:val="111111"/>
                <w:sz w:val="20"/>
                <w:szCs w:val="20"/>
              </w:rPr>
              <w:t>Variable independiente. Alta UAI indica menor tolerancia al riesgo e innovación financiera en el mercado local.</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E6D5304" w14:textId="77777777" w:rsidR="00933177" w:rsidRDefault="00933177" w:rsidP="001F40FE">
            <w:r>
              <w:rPr>
                <w:color w:val="111111"/>
                <w:sz w:val="20"/>
                <w:szCs w:val="20"/>
              </w:rPr>
              <w:t xml:space="preserve">Hofstede </w:t>
            </w:r>
            <w:proofErr w:type="spellStart"/>
            <w:r>
              <w:rPr>
                <w:color w:val="111111"/>
                <w:sz w:val="20"/>
                <w:szCs w:val="20"/>
              </w:rPr>
              <w:t>Insights</w:t>
            </w:r>
            <w:proofErr w:type="spellEnd"/>
          </w:p>
        </w:tc>
      </w:tr>
      <w:tr w:rsidR="00933177" w14:paraId="65AE7A30"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BEAEA"/>
            <w:tcMar>
              <w:top w:w="80" w:type="dxa"/>
              <w:left w:w="130" w:type="dxa"/>
              <w:bottom w:w="80" w:type="dxa"/>
              <w:right w:w="130" w:type="dxa"/>
            </w:tcMar>
          </w:tcPr>
          <w:p w14:paraId="26FE8BD7"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E477CF1" w14:textId="77777777" w:rsidR="00933177" w:rsidRDefault="00933177" w:rsidP="001F40FE">
            <w:r>
              <w:rPr>
                <w:color w:val="111111"/>
                <w:sz w:val="20"/>
                <w:szCs w:val="20"/>
              </w:rPr>
              <w:t>Hofstede: Orientación a Largo Plazo (LTO)</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790E81D" w14:textId="77777777" w:rsidR="00933177" w:rsidRDefault="00933177" w:rsidP="001F40FE">
            <w:r>
              <w:rPr>
                <w:color w:val="111111"/>
                <w:sz w:val="20"/>
                <w:szCs w:val="20"/>
              </w:rPr>
              <w:t>Variable independiente. Mercados con alta LTO favorecen la acumulación de ahorro y la planificación financiera a largo plazo.</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D259413" w14:textId="77777777" w:rsidR="00933177" w:rsidRDefault="00933177" w:rsidP="001F40FE">
            <w:r>
              <w:rPr>
                <w:color w:val="111111"/>
                <w:sz w:val="20"/>
                <w:szCs w:val="20"/>
              </w:rPr>
              <w:t xml:space="preserve">Hofstede </w:t>
            </w:r>
            <w:proofErr w:type="spellStart"/>
            <w:r>
              <w:rPr>
                <w:color w:val="111111"/>
                <w:sz w:val="20"/>
                <w:szCs w:val="20"/>
              </w:rPr>
              <w:t>Insights</w:t>
            </w:r>
            <w:proofErr w:type="spellEnd"/>
          </w:p>
        </w:tc>
      </w:tr>
      <w:tr w:rsidR="00933177" w14:paraId="02DDDAA5" w14:textId="77777777" w:rsidTr="00800E51">
        <w:tc>
          <w:tcPr>
            <w:tcW w:w="1200" w:type="dxa"/>
            <w:tcBorders>
              <w:top w:val="single" w:sz="1" w:space="0" w:color="D0D5DB"/>
              <w:left w:val="single" w:sz="1" w:space="0" w:color="D0D5DB"/>
              <w:bottom w:val="single" w:sz="1" w:space="0" w:color="D0D5DB"/>
              <w:right w:val="single" w:sz="1" w:space="0" w:color="D0D5DB"/>
            </w:tcBorders>
            <w:shd w:val="clear" w:color="auto" w:fill="FBEAEA"/>
            <w:tcMar>
              <w:top w:w="80" w:type="dxa"/>
              <w:left w:w="130" w:type="dxa"/>
              <w:bottom w:w="80" w:type="dxa"/>
              <w:right w:w="130" w:type="dxa"/>
            </w:tcMar>
          </w:tcPr>
          <w:p w14:paraId="719262BE" w14:textId="77777777" w:rsidR="00933177" w:rsidRDefault="00933177" w:rsidP="001F40FE"/>
        </w:tc>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7E31507" w14:textId="77777777" w:rsidR="00933177" w:rsidRDefault="00933177" w:rsidP="001F40FE">
            <w:r>
              <w:rPr>
                <w:color w:val="111111"/>
                <w:sz w:val="20"/>
                <w:szCs w:val="20"/>
              </w:rPr>
              <w:t>Hofstede: Indulgencia (IVR)</w:t>
            </w:r>
          </w:p>
        </w:tc>
        <w:tc>
          <w:tcPr>
            <w:tcW w:w="4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DAA66B6" w14:textId="77777777" w:rsidR="00933177" w:rsidRDefault="00933177" w:rsidP="001F40FE">
            <w:r>
              <w:rPr>
                <w:color w:val="111111"/>
                <w:sz w:val="20"/>
                <w:szCs w:val="20"/>
              </w:rPr>
              <w:t>Variable independiente. Alta indulgencia correlaciona con mayor consumo y menor ahorro preventivo.</w:t>
            </w:r>
          </w:p>
        </w:tc>
        <w:tc>
          <w:tcPr>
            <w:tcW w:w="13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D3344AA" w14:textId="77777777" w:rsidR="00933177" w:rsidRDefault="00933177" w:rsidP="001F40FE">
            <w:r>
              <w:rPr>
                <w:color w:val="111111"/>
                <w:sz w:val="20"/>
                <w:szCs w:val="20"/>
              </w:rPr>
              <w:t xml:space="preserve">Hofstede </w:t>
            </w:r>
            <w:proofErr w:type="spellStart"/>
            <w:r>
              <w:rPr>
                <w:color w:val="111111"/>
                <w:sz w:val="20"/>
                <w:szCs w:val="20"/>
              </w:rPr>
              <w:t>Insights</w:t>
            </w:r>
            <w:proofErr w:type="spellEnd"/>
          </w:p>
        </w:tc>
      </w:tr>
    </w:tbl>
    <w:p w14:paraId="141997DA" w14:textId="77777777" w:rsidR="00933177" w:rsidRDefault="00933177" w:rsidP="00933177">
      <w:pPr>
        <w:spacing w:after="100"/>
      </w:pPr>
    </w:p>
    <w:p w14:paraId="243F8638" w14:textId="77777777" w:rsidR="00933177" w:rsidRDefault="00933177" w:rsidP="00933177">
      <w:pPr>
        <w:spacing w:after="100"/>
      </w:pPr>
    </w:p>
    <w:p w14:paraId="340CE7C3" w14:textId="77777777" w:rsidR="00933177" w:rsidRDefault="00933177" w:rsidP="00933177">
      <w:pPr>
        <w:pStyle w:val="Ttulo2"/>
        <w:pBdr>
          <w:bottom w:val="single" w:sz="4" w:space="4" w:color="E8B931"/>
        </w:pBdr>
      </w:pPr>
      <w:bookmarkStart w:id="37" w:name="_Toc232659586"/>
      <w:proofErr w:type="gramStart"/>
      <w:r>
        <w:lastRenderedPageBreak/>
        <w:t>5.4  La</w:t>
      </w:r>
      <w:proofErr w:type="gramEnd"/>
      <w:r>
        <w:t xml:space="preserve"> codificación A/B de relevancia: cómo el modelo diferencia señales por </w:t>
      </w:r>
      <w:proofErr w:type="gramStart"/>
      <w:r>
        <w:t>línea</w:t>
      </w:r>
      <w:proofErr w:type="gramEnd"/>
      <w:r>
        <w:t xml:space="preserve"> de negocio</w:t>
      </w:r>
      <w:bookmarkEnd w:id="37"/>
    </w:p>
    <w:p w14:paraId="6E240060" w14:textId="77777777" w:rsidR="00933177" w:rsidRDefault="00933177" w:rsidP="00933177">
      <w:pPr>
        <w:spacing w:before="140" w:after="140" w:line="320" w:lineRule="auto"/>
        <w:jc w:val="both"/>
      </w:pPr>
      <w:r>
        <w:rPr>
          <w:color w:val="111111"/>
        </w:rPr>
        <w:t xml:space="preserve">La codificación de relevancia A/B es el mecanismo que permite a RADAR </w:t>
      </w:r>
      <w:proofErr w:type="spellStart"/>
      <w:r>
        <w:rPr>
          <w:color w:val="111111"/>
        </w:rPr>
        <w:t>Cibest</w:t>
      </w:r>
      <w:proofErr w:type="spellEnd"/>
      <w:r>
        <w:rPr>
          <w:color w:val="111111"/>
        </w:rPr>
        <w:t xml:space="preserve"> producir señales diferenciadas por </w:t>
      </w:r>
      <w:proofErr w:type="gramStart"/>
      <w:r>
        <w:rPr>
          <w:color w:val="111111"/>
        </w:rPr>
        <w:t>línea</w:t>
      </w:r>
      <w:proofErr w:type="gramEnd"/>
      <w:r>
        <w:rPr>
          <w:color w:val="111111"/>
        </w:rPr>
        <w:t xml:space="preserve"> de negocio a partir de un único conjunto de datos. La lógica es sencilla: una variable recibe codificación A para una línea de negocio si existe evidencia documentada en la literatura de que esa variable es específicamente diferenciadora para esa línea; es decir, que su valor en un mercado predice de manera particular el potencial de esa línea de negocio en ese mercado. Las variables con codificación B para una línea son pertinentes como contexto del mercado, pero no añaden señal diferenciadora para esa línea específica.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200"/>
        <w:gridCol w:w="1200"/>
        <w:gridCol w:w="1200"/>
        <w:gridCol w:w="1200"/>
        <w:gridCol w:w="1680"/>
      </w:tblGrid>
      <w:tr w:rsidR="00933177" w14:paraId="58CE5D18" w14:textId="77777777" w:rsidTr="00800E51">
        <w:tc>
          <w:tcPr>
            <w:tcW w:w="288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762F4939" w14:textId="77777777" w:rsidR="00933177" w:rsidRDefault="00933177" w:rsidP="001F40FE">
            <w:r>
              <w:rPr>
                <w:b/>
                <w:bCs/>
                <w:color w:val="FFFFFF"/>
                <w:sz w:val="20"/>
                <w:szCs w:val="20"/>
              </w:rPr>
              <w:t>Variable</w:t>
            </w:r>
          </w:p>
        </w:tc>
        <w:tc>
          <w:tcPr>
            <w:tcW w:w="1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0F1914B5" w14:textId="77777777" w:rsidR="00933177" w:rsidRDefault="00933177" w:rsidP="001F40FE">
            <w:r>
              <w:rPr>
                <w:b/>
                <w:bCs/>
                <w:color w:val="FFFFFF"/>
                <w:sz w:val="20"/>
                <w:szCs w:val="20"/>
              </w:rPr>
              <w:t>IB</w:t>
            </w:r>
          </w:p>
        </w:tc>
        <w:tc>
          <w:tcPr>
            <w:tcW w:w="1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503C271D" w14:textId="77777777" w:rsidR="00933177" w:rsidRDefault="00933177" w:rsidP="001F40FE">
            <w:r>
              <w:rPr>
                <w:b/>
                <w:bCs/>
                <w:color w:val="FFFFFF"/>
                <w:sz w:val="20"/>
                <w:szCs w:val="20"/>
              </w:rPr>
              <w:t>PT</w:t>
            </w:r>
          </w:p>
        </w:tc>
        <w:tc>
          <w:tcPr>
            <w:tcW w:w="1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2EB568B1" w14:textId="77777777" w:rsidR="00933177" w:rsidRDefault="00933177" w:rsidP="001F40FE">
            <w:r>
              <w:rPr>
                <w:b/>
                <w:bCs/>
                <w:color w:val="FFFFFF"/>
                <w:sz w:val="20"/>
                <w:szCs w:val="20"/>
              </w:rPr>
              <w:t>AD</w:t>
            </w:r>
          </w:p>
        </w:tc>
        <w:tc>
          <w:tcPr>
            <w:tcW w:w="1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007E0A06" w14:textId="77777777" w:rsidR="00933177" w:rsidRDefault="00933177" w:rsidP="001F40FE">
            <w:r>
              <w:rPr>
                <w:b/>
                <w:bCs/>
                <w:color w:val="FFFFFF"/>
                <w:sz w:val="20"/>
                <w:szCs w:val="20"/>
              </w:rPr>
              <w:t>BD</w:t>
            </w:r>
          </w:p>
        </w:tc>
        <w:tc>
          <w:tcPr>
            <w:tcW w:w="168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7E5332BC" w14:textId="77777777" w:rsidR="00933177" w:rsidRDefault="00933177" w:rsidP="001F40FE">
            <w:r>
              <w:rPr>
                <w:b/>
                <w:bCs/>
                <w:color w:val="FFFFFF"/>
                <w:sz w:val="20"/>
                <w:szCs w:val="20"/>
              </w:rPr>
              <w:t>CIB</w:t>
            </w:r>
          </w:p>
        </w:tc>
      </w:tr>
      <w:tr w:rsidR="00933177" w14:paraId="3F1242BB" w14:textId="77777777" w:rsidTr="00800E51">
        <w:tc>
          <w:tcPr>
            <w:tcW w:w="28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FD63E67" w14:textId="77777777" w:rsidR="00933177" w:rsidRDefault="00933177" w:rsidP="001F40FE">
            <w:r>
              <w:rPr>
                <w:color w:val="111111"/>
                <w:sz w:val="20"/>
                <w:szCs w:val="20"/>
              </w:rPr>
              <w:t>Inflación (IPC, % anual)</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924E9B5"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8269AFE"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C150518" w14:textId="77777777" w:rsidR="00933177" w:rsidRDefault="00933177" w:rsidP="001F40FE">
            <w:pPr>
              <w:jc w:val="center"/>
            </w:pPr>
            <w:r>
              <w:rPr>
                <w:b/>
                <w:bCs/>
                <w:color w:val="111111"/>
                <w:sz w:val="20"/>
                <w:szCs w:val="20"/>
              </w:rPr>
              <w:t>A*</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D716F9D" w14:textId="77777777" w:rsidR="00933177" w:rsidRDefault="00933177" w:rsidP="001F40FE">
            <w:pPr>
              <w:jc w:val="center"/>
            </w:pPr>
            <w:r>
              <w:rPr>
                <w:color w:val="111111"/>
                <w:sz w:val="20"/>
                <w:szCs w:val="20"/>
              </w:rPr>
              <w:t>B</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3D3CAA8" w14:textId="77777777" w:rsidR="00933177" w:rsidRDefault="00933177" w:rsidP="001F40FE">
            <w:pPr>
              <w:jc w:val="center"/>
            </w:pPr>
            <w:r>
              <w:rPr>
                <w:color w:val="111111"/>
                <w:sz w:val="20"/>
                <w:szCs w:val="20"/>
              </w:rPr>
              <w:t>B</w:t>
            </w:r>
          </w:p>
        </w:tc>
      </w:tr>
      <w:tr w:rsidR="00933177" w14:paraId="1D24C6D7" w14:textId="77777777" w:rsidTr="00800E51">
        <w:tc>
          <w:tcPr>
            <w:tcW w:w="28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A96E683" w14:textId="77777777" w:rsidR="00933177" w:rsidRDefault="00933177" w:rsidP="001F40FE">
            <w:r>
              <w:rPr>
                <w:color w:val="111111"/>
                <w:sz w:val="20"/>
                <w:szCs w:val="20"/>
              </w:rPr>
              <w:t>Volumen de remesas recibidas (% PIB)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A15FC9E"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88908BF" w14:textId="77777777" w:rsidR="00933177" w:rsidRDefault="00933177" w:rsidP="001F40FE">
            <w:pPr>
              <w:jc w:val="center"/>
            </w:pPr>
            <w:r>
              <w:rPr>
                <w:b/>
                <w:bCs/>
                <w:color w:val="111111"/>
                <w:sz w:val="20"/>
                <w:szCs w:val="20"/>
              </w:rPr>
              <w:t>A</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C216EF0"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9A9C814" w14:textId="77777777" w:rsidR="00933177" w:rsidRDefault="00933177" w:rsidP="001F40FE">
            <w:pPr>
              <w:jc w:val="center"/>
            </w:pPr>
            <w:r>
              <w:rPr>
                <w:color w:val="111111"/>
                <w:sz w:val="20"/>
                <w:szCs w:val="20"/>
              </w:rPr>
              <w:t>B</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16D6768" w14:textId="77777777" w:rsidR="00933177" w:rsidRDefault="00933177" w:rsidP="001F40FE">
            <w:pPr>
              <w:jc w:val="center"/>
            </w:pPr>
            <w:r>
              <w:rPr>
                <w:color w:val="111111"/>
                <w:sz w:val="20"/>
                <w:szCs w:val="20"/>
              </w:rPr>
              <w:t>B</w:t>
            </w:r>
          </w:p>
        </w:tc>
      </w:tr>
      <w:tr w:rsidR="00933177" w14:paraId="6A0C2382" w14:textId="77777777" w:rsidTr="00800E51">
        <w:tc>
          <w:tcPr>
            <w:tcW w:w="28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6ECF994" w14:textId="77777777" w:rsidR="00933177" w:rsidRDefault="00933177" w:rsidP="001F40FE">
            <w:r>
              <w:rPr>
                <w:color w:val="111111"/>
                <w:sz w:val="20"/>
                <w:szCs w:val="20"/>
              </w:rPr>
              <w:t>Prima de riesgo país (Damodaran)</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C2F6394" w14:textId="77777777" w:rsidR="00933177" w:rsidRDefault="00933177" w:rsidP="001F40FE">
            <w:pPr>
              <w:jc w:val="center"/>
            </w:pPr>
            <w:r>
              <w:rPr>
                <w:b/>
                <w:bCs/>
                <w:color w:val="111111"/>
                <w:sz w:val="20"/>
                <w:szCs w:val="20"/>
              </w:rPr>
              <w:t>A</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10C032C" w14:textId="77777777" w:rsidR="00933177" w:rsidRDefault="00933177" w:rsidP="001F40FE">
            <w:pPr>
              <w:jc w:val="center"/>
            </w:pPr>
            <w:r>
              <w:rPr>
                <w:b/>
                <w:bCs/>
                <w:color w:val="111111"/>
                <w:sz w:val="20"/>
                <w:szCs w:val="20"/>
              </w:rPr>
              <w:t>A</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4E2AA17" w14:textId="77777777" w:rsidR="00933177" w:rsidRDefault="00933177" w:rsidP="001F40FE">
            <w:pPr>
              <w:jc w:val="center"/>
            </w:pPr>
            <w:r>
              <w:rPr>
                <w:b/>
                <w:bCs/>
                <w:color w:val="111111"/>
                <w:sz w:val="20"/>
                <w:szCs w:val="20"/>
              </w:rPr>
              <w:t>A</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6A41EFB" w14:textId="77777777" w:rsidR="00933177" w:rsidRDefault="00933177" w:rsidP="001F40FE">
            <w:pPr>
              <w:jc w:val="center"/>
            </w:pPr>
            <w:r>
              <w:rPr>
                <w:b/>
                <w:bCs/>
                <w:color w:val="111111"/>
                <w:sz w:val="20"/>
                <w:szCs w:val="20"/>
              </w:rPr>
              <w:t>A</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14548F1" w14:textId="77777777" w:rsidR="00933177" w:rsidRDefault="00933177" w:rsidP="001F40FE">
            <w:pPr>
              <w:jc w:val="center"/>
            </w:pPr>
            <w:r>
              <w:rPr>
                <w:b/>
                <w:bCs/>
                <w:color w:val="111111"/>
                <w:sz w:val="20"/>
                <w:szCs w:val="20"/>
              </w:rPr>
              <w:t>A</w:t>
            </w:r>
          </w:p>
        </w:tc>
      </w:tr>
      <w:tr w:rsidR="00933177" w14:paraId="20FFA341" w14:textId="77777777" w:rsidTr="00800E51">
        <w:tc>
          <w:tcPr>
            <w:tcW w:w="28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EBB29E2" w14:textId="77777777" w:rsidR="00933177" w:rsidRDefault="00933177" w:rsidP="001F40FE">
            <w:r>
              <w:rPr>
                <w:color w:val="111111"/>
                <w:sz w:val="20"/>
                <w:szCs w:val="20"/>
              </w:rPr>
              <w:t>Capitalización bursátil / PIB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D42C661" w14:textId="77777777" w:rsidR="00933177" w:rsidRDefault="00933177" w:rsidP="001F40FE">
            <w:pPr>
              <w:jc w:val="center"/>
            </w:pPr>
            <w:r>
              <w:rPr>
                <w:b/>
                <w:bCs/>
                <w:color w:val="111111"/>
                <w:sz w:val="20"/>
                <w:szCs w:val="20"/>
              </w:rPr>
              <w:t>A</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5C133B5"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FE970A1"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992D470" w14:textId="77777777" w:rsidR="00933177" w:rsidRDefault="00933177" w:rsidP="001F40FE">
            <w:pPr>
              <w:jc w:val="center"/>
            </w:pPr>
            <w:r>
              <w:rPr>
                <w:b/>
                <w:bCs/>
                <w:color w:val="111111"/>
                <w:sz w:val="20"/>
                <w:szCs w:val="20"/>
              </w:rPr>
              <w:t>A</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0ECA195" w14:textId="77777777" w:rsidR="00933177" w:rsidRDefault="00933177" w:rsidP="001F40FE">
            <w:pPr>
              <w:jc w:val="center"/>
            </w:pPr>
            <w:r>
              <w:rPr>
                <w:b/>
                <w:bCs/>
                <w:color w:val="111111"/>
                <w:sz w:val="20"/>
                <w:szCs w:val="20"/>
              </w:rPr>
              <w:t>A</w:t>
            </w:r>
          </w:p>
        </w:tc>
      </w:tr>
      <w:tr w:rsidR="00933177" w14:paraId="755D28AB" w14:textId="77777777" w:rsidTr="00800E51">
        <w:tc>
          <w:tcPr>
            <w:tcW w:w="28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A26AB17" w14:textId="77777777" w:rsidR="00933177" w:rsidRDefault="00933177" w:rsidP="001F40FE">
            <w:r>
              <w:rPr>
                <w:color w:val="111111"/>
                <w:sz w:val="20"/>
                <w:szCs w:val="20"/>
              </w:rPr>
              <w:t>Salidas de colombianos al exterior</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87E46DC"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F710D8E" w14:textId="77777777" w:rsidR="00933177" w:rsidRDefault="00933177" w:rsidP="001F40FE">
            <w:pPr>
              <w:jc w:val="center"/>
            </w:pPr>
            <w:r>
              <w:rPr>
                <w:b/>
                <w:bCs/>
                <w:color w:val="111111"/>
                <w:sz w:val="20"/>
                <w:szCs w:val="20"/>
              </w:rPr>
              <w:t>A</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F220429"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706713C" w14:textId="77777777" w:rsidR="00933177" w:rsidRDefault="00933177" w:rsidP="001F40FE">
            <w:pPr>
              <w:jc w:val="center"/>
            </w:pPr>
            <w:r>
              <w:rPr>
                <w:color w:val="111111"/>
                <w:sz w:val="20"/>
                <w:szCs w:val="20"/>
              </w:rPr>
              <w:t>B</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D32EA8F" w14:textId="77777777" w:rsidR="00933177" w:rsidRDefault="00933177" w:rsidP="001F40FE">
            <w:pPr>
              <w:jc w:val="center"/>
            </w:pPr>
            <w:r>
              <w:rPr>
                <w:b/>
                <w:bCs/>
                <w:color w:val="111111"/>
                <w:sz w:val="20"/>
                <w:szCs w:val="20"/>
              </w:rPr>
              <w:t>A</w:t>
            </w:r>
          </w:p>
        </w:tc>
      </w:tr>
      <w:tr w:rsidR="00933177" w14:paraId="70E4A171" w14:textId="77777777" w:rsidTr="00800E51">
        <w:tc>
          <w:tcPr>
            <w:tcW w:w="28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1EE1538" w14:textId="77777777" w:rsidR="00933177" w:rsidRDefault="00933177" w:rsidP="001F40FE">
            <w:r>
              <w:rPr>
                <w:color w:val="111111"/>
                <w:sz w:val="20"/>
                <w:szCs w:val="20"/>
              </w:rPr>
              <w:t>Penetración de internet móvil</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5B0CACD"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A6102ED" w14:textId="77777777" w:rsidR="00933177" w:rsidRDefault="00933177" w:rsidP="001F40FE">
            <w:pPr>
              <w:jc w:val="center"/>
            </w:pPr>
            <w:r>
              <w:rPr>
                <w:b/>
                <w:bCs/>
                <w:color w:val="111111"/>
                <w:sz w:val="20"/>
                <w:szCs w:val="20"/>
              </w:rPr>
              <w:t>A</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6B9F9AB" w14:textId="77777777" w:rsidR="00933177" w:rsidRDefault="00933177" w:rsidP="001F40FE">
            <w:pPr>
              <w:jc w:val="center"/>
            </w:pPr>
            <w:r>
              <w:rPr>
                <w:b/>
                <w:bCs/>
                <w:color w:val="111111"/>
                <w:sz w:val="20"/>
                <w:szCs w:val="20"/>
              </w:rPr>
              <w:t>A</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7ABD81B" w14:textId="77777777" w:rsidR="00933177" w:rsidRDefault="00933177" w:rsidP="001F40FE">
            <w:pPr>
              <w:jc w:val="center"/>
            </w:pPr>
            <w:r>
              <w:rPr>
                <w:b/>
                <w:bCs/>
                <w:color w:val="111111"/>
                <w:sz w:val="20"/>
                <w:szCs w:val="20"/>
              </w:rPr>
              <w:t>A</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68E6C7C" w14:textId="77777777" w:rsidR="00933177" w:rsidRDefault="00933177" w:rsidP="001F40FE">
            <w:pPr>
              <w:jc w:val="center"/>
            </w:pPr>
            <w:r>
              <w:rPr>
                <w:color w:val="111111"/>
                <w:sz w:val="20"/>
                <w:szCs w:val="20"/>
              </w:rPr>
              <w:t>B</w:t>
            </w:r>
          </w:p>
        </w:tc>
      </w:tr>
      <w:tr w:rsidR="00933177" w14:paraId="0ECFC333" w14:textId="77777777" w:rsidTr="00800E51">
        <w:tc>
          <w:tcPr>
            <w:tcW w:w="28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E12686F" w14:textId="77777777" w:rsidR="00933177" w:rsidRDefault="00933177" w:rsidP="001F40FE">
            <w:r>
              <w:rPr>
                <w:color w:val="111111"/>
                <w:sz w:val="20"/>
                <w:szCs w:val="20"/>
              </w:rPr>
              <w:t>Margen de intermediación (spread)</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33D31E1" w14:textId="77777777" w:rsidR="00933177" w:rsidRDefault="00933177" w:rsidP="001F40FE">
            <w:pPr>
              <w:jc w:val="center"/>
            </w:pPr>
            <w:r>
              <w:rPr>
                <w:b/>
                <w:bCs/>
                <w:color w:val="111111"/>
                <w:sz w:val="20"/>
                <w:szCs w:val="20"/>
              </w:rPr>
              <w:t>A</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DAF707D"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E7B26AE"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587AEAF" w14:textId="77777777" w:rsidR="00933177" w:rsidRDefault="00933177" w:rsidP="001F40FE">
            <w:pPr>
              <w:jc w:val="center"/>
            </w:pPr>
            <w:r>
              <w:rPr>
                <w:color w:val="111111"/>
                <w:sz w:val="20"/>
                <w:szCs w:val="20"/>
              </w:rPr>
              <w:t>B</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14568BB" w14:textId="77777777" w:rsidR="00933177" w:rsidRDefault="00933177" w:rsidP="001F40FE">
            <w:pPr>
              <w:jc w:val="center"/>
            </w:pPr>
            <w:r>
              <w:rPr>
                <w:color w:val="111111"/>
                <w:sz w:val="20"/>
                <w:szCs w:val="20"/>
              </w:rPr>
              <w:t>B</w:t>
            </w:r>
          </w:p>
        </w:tc>
      </w:tr>
      <w:tr w:rsidR="00933177" w14:paraId="0D8954DD" w14:textId="77777777" w:rsidTr="00800E51">
        <w:tc>
          <w:tcPr>
            <w:tcW w:w="28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3803958" w14:textId="77777777" w:rsidR="00933177" w:rsidRDefault="00933177" w:rsidP="001F40FE">
            <w:r>
              <w:rPr>
                <w:color w:val="111111"/>
                <w:sz w:val="20"/>
                <w:szCs w:val="20"/>
              </w:rPr>
              <w:t>Índice de inclusión financiera</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924B92F" w14:textId="77777777" w:rsidR="00933177" w:rsidRDefault="00933177" w:rsidP="001F40FE">
            <w:pPr>
              <w:jc w:val="center"/>
            </w:pPr>
            <w:r>
              <w:rPr>
                <w:b/>
                <w:bCs/>
                <w:color w:val="111111"/>
                <w:sz w:val="20"/>
                <w:szCs w:val="20"/>
              </w:rPr>
              <w:t>A</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0E14693"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D5D2AAE"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A3B0E4E" w14:textId="77777777" w:rsidR="00933177" w:rsidRDefault="00933177" w:rsidP="001F40FE">
            <w:pPr>
              <w:jc w:val="center"/>
            </w:pPr>
            <w:r>
              <w:rPr>
                <w:b/>
                <w:bCs/>
                <w:color w:val="111111"/>
                <w:sz w:val="20"/>
                <w:szCs w:val="20"/>
              </w:rPr>
              <w:t>A</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6A0AFE8" w14:textId="77777777" w:rsidR="00933177" w:rsidRDefault="00933177" w:rsidP="001F40FE">
            <w:pPr>
              <w:jc w:val="center"/>
            </w:pPr>
            <w:r>
              <w:rPr>
                <w:color w:val="111111"/>
                <w:sz w:val="20"/>
                <w:szCs w:val="20"/>
              </w:rPr>
              <w:t>B</w:t>
            </w:r>
          </w:p>
        </w:tc>
      </w:tr>
      <w:tr w:rsidR="00933177" w14:paraId="325B4A79" w14:textId="77777777" w:rsidTr="00800E51">
        <w:tc>
          <w:tcPr>
            <w:tcW w:w="28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889663E" w14:textId="77777777" w:rsidR="00933177" w:rsidRDefault="00933177" w:rsidP="001F40FE">
            <w:r>
              <w:rPr>
                <w:color w:val="111111"/>
                <w:sz w:val="20"/>
                <w:szCs w:val="20"/>
              </w:rPr>
              <w:t>Pagos digitales (% adultos)</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A244F0F"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DF9D9EC" w14:textId="77777777" w:rsidR="00933177" w:rsidRDefault="00933177" w:rsidP="001F40FE">
            <w:pPr>
              <w:jc w:val="center"/>
            </w:pPr>
            <w:r>
              <w:rPr>
                <w:b/>
                <w:bCs/>
                <w:color w:val="111111"/>
                <w:sz w:val="20"/>
                <w:szCs w:val="20"/>
              </w:rPr>
              <w:t>A</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52A2D17" w14:textId="77777777" w:rsidR="00933177" w:rsidRDefault="00933177" w:rsidP="001F40FE">
            <w:pPr>
              <w:jc w:val="center"/>
            </w:pPr>
            <w:r>
              <w:rPr>
                <w:b/>
                <w:bCs/>
                <w:color w:val="111111"/>
                <w:sz w:val="20"/>
                <w:szCs w:val="20"/>
              </w:rPr>
              <w:t>A</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E10BCF2" w14:textId="77777777" w:rsidR="00933177" w:rsidRDefault="00933177" w:rsidP="001F40FE">
            <w:pPr>
              <w:jc w:val="center"/>
            </w:pPr>
            <w:r>
              <w:rPr>
                <w:b/>
                <w:bCs/>
                <w:color w:val="111111"/>
                <w:sz w:val="20"/>
                <w:szCs w:val="20"/>
              </w:rPr>
              <w:t>A</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32D77D6" w14:textId="77777777" w:rsidR="00933177" w:rsidRDefault="00933177" w:rsidP="001F40FE">
            <w:pPr>
              <w:jc w:val="center"/>
            </w:pPr>
            <w:r>
              <w:rPr>
                <w:color w:val="111111"/>
                <w:sz w:val="20"/>
                <w:szCs w:val="20"/>
              </w:rPr>
              <w:t>B</w:t>
            </w:r>
          </w:p>
        </w:tc>
      </w:tr>
      <w:tr w:rsidR="00933177" w14:paraId="3994EFB7" w14:textId="77777777" w:rsidTr="00800E51">
        <w:tc>
          <w:tcPr>
            <w:tcW w:w="28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344D600" w14:textId="77777777" w:rsidR="00933177" w:rsidRDefault="00933177" w:rsidP="001F40FE">
            <w:r>
              <w:rPr>
                <w:color w:val="111111"/>
                <w:sz w:val="20"/>
                <w:szCs w:val="20"/>
              </w:rPr>
              <w:t>Todos los 6 indicadores WGI</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2D2BA3B" w14:textId="77777777" w:rsidR="00933177" w:rsidRDefault="00933177" w:rsidP="001F40FE">
            <w:pPr>
              <w:jc w:val="center"/>
            </w:pPr>
            <w:r>
              <w:rPr>
                <w:b/>
                <w:bCs/>
                <w:color w:val="111111"/>
                <w:sz w:val="20"/>
                <w:szCs w:val="20"/>
              </w:rPr>
              <w:t>A</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93F4991"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BF61B3C" w14:textId="77777777" w:rsidR="00933177" w:rsidRDefault="00933177" w:rsidP="001F40FE">
            <w:pPr>
              <w:jc w:val="center"/>
            </w:pPr>
            <w:r>
              <w:rPr>
                <w:color w:val="111111"/>
                <w:sz w:val="20"/>
                <w:szCs w:val="20"/>
              </w:rPr>
              <w:t>B</w:t>
            </w:r>
          </w:p>
        </w:tc>
        <w:tc>
          <w:tcPr>
            <w:tcW w:w="1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B7FCBA6" w14:textId="77777777" w:rsidR="00933177" w:rsidRDefault="00933177" w:rsidP="001F40FE">
            <w:pPr>
              <w:jc w:val="center"/>
            </w:pPr>
            <w:r>
              <w:rPr>
                <w:color w:val="111111"/>
                <w:sz w:val="20"/>
                <w:szCs w:val="20"/>
              </w:rPr>
              <w:t>B</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0B48D13" w14:textId="77777777" w:rsidR="00933177" w:rsidRDefault="00933177" w:rsidP="001F40FE">
            <w:pPr>
              <w:jc w:val="center"/>
            </w:pPr>
            <w:r>
              <w:rPr>
                <w:b/>
                <w:bCs/>
                <w:color w:val="111111"/>
                <w:sz w:val="20"/>
                <w:szCs w:val="20"/>
              </w:rPr>
              <w:t>A</w:t>
            </w:r>
          </w:p>
        </w:tc>
      </w:tr>
    </w:tbl>
    <w:p w14:paraId="21BD02D8" w14:textId="77777777" w:rsidR="00933177" w:rsidRDefault="00933177" w:rsidP="00933177">
      <w:pPr>
        <w:spacing w:after="100"/>
      </w:pPr>
    </w:p>
    <w:p w14:paraId="32A8E10F" w14:textId="77777777" w:rsidR="00933177" w:rsidRDefault="00933177" w:rsidP="00933177">
      <w:pPr>
        <w:spacing w:before="140" w:after="140" w:line="320" w:lineRule="auto"/>
        <w:jc w:val="both"/>
        <w:rPr>
          <w:color w:val="111111"/>
        </w:rPr>
      </w:pPr>
      <w:r>
        <w:rPr>
          <w:color w:val="111111"/>
        </w:rPr>
        <w:t xml:space="preserve">La nota sobre la inflación para la línea de Activos Digitales (marcada con asterisco) merece una explicación adicional: su codificación A no refleja que la inflación alta sea una condición atractiva para el negocio financiero en general —todo lo contrario, es una señal de inestabilidad macroeconómica—, sino que la evidencia académica y de mercado documenta que en mercados con alta inflación aumenta significativamente la demanda de </w:t>
      </w:r>
      <w:proofErr w:type="spellStart"/>
      <w:r>
        <w:rPr>
          <w:color w:val="111111"/>
        </w:rPr>
        <w:t>stablecoins</w:t>
      </w:r>
      <w:proofErr w:type="spellEnd"/>
      <w:r>
        <w:rPr>
          <w:color w:val="111111"/>
        </w:rPr>
        <w:t xml:space="preserve"> y activos digitales como instrumento de cobertura contra la pérdida de poder adquisitivo. Para la línea de Activos Digitales, la inflación alta es una señal de oportunidad de demanda, aunque simultáneamente es una señal de riesgo para el entorno macroeconómico general.</w:t>
      </w:r>
    </w:p>
    <w:p w14:paraId="51F41434" w14:textId="77777777" w:rsidR="007F517A" w:rsidRDefault="007F517A" w:rsidP="00933177">
      <w:pPr>
        <w:spacing w:before="140" w:after="140" w:line="320" w:lineRule="auto"/>
        <w:jc w:val="both"/>
      </w:pPr>
    </w:p>
    <w:p w14:paraId="13CECD73" w14:textId="77777777" w:rsidR="00933177" w:rsidRDefault="00933177" w:rsidP="00933177">
      <w:pPr>
        <w:spacing w:after="100"/>
      </w:pPr>
    </w:p>
    <w:p w14:paraId="7FAC75D0" w14:textId="77777777" w:rsidR="00933177" w:rsidRDefault="00933177" w:rsidP="00933177">
      <w:pPr>
        <w:pStyle w:val="Ttulo2"/>
        <w:pBdr>
          <w:bottom w:val="single" w:sz="4" w:space="4" w:color="E8B931"/>
        </w:pBdr>
      </w:pPr>
      <w:bookmarkStart w:id="38" w:name="_Toc232659587"/>
      <w:proofErr w:type="gramStart"/>
      <w:r>
        <w:lastRenderedPageBreak/>
        <w:t>5.5  Qué</w:t>
      </w:r>
      <w:proofErr w:type="gramEnd"/>
      <w:r>
        <w:t xml:space="preserve"> entrega RADAR </w:t>
      </w:r>
      <w:proofErr w:type="spellStart"/>
      <w:r>
        <w:t>Cibest</w:t>
      </w:r>
      <w:proofErr w:type="spellEnd"/>
      <w:r>
        <w:t>: los cuatro tipos de output</w:t>
      </w:r>
      <w:bookmarkEnd w:id="38"/>
    </w:p>
    <w:p w14:paraId="16309FE1" w14:textId="77777777" w:rsidR="00933177" w:rsidRDefault="00933177" w:rsidP="00933177">
      <w:pPr>
        <w:spacing w:before="140" w:after="140" w:line="320" w:lineRule="auto"/>
        <w:jc w:val="both"/>
      </w:pPr>
      <w:r>
        <w:rPr>
          <w:color w:val="111111"/>
        </w:rPr>
        <w:t xml:space="preserve">El modelo RADAR </w:t>
      </w:r>
      <w:proofErr w:type="spellStart"/>
      <w:r>
        <w:rPr>
          <w:color w:val="111111"/>
        </w:rPr>
        <w:t>Cibest</w:t>
      </w:r>
      <w:proofErr w:type="spellEnd"/>
      <w:r>
        <w:rPr>
          <w:color w:val="111111"/>
        </w:rPr>
        <w:t xml:space="preserve"> produce cuatro tipos de output que se complementan y se leen en conjunto, no de manera aislada. Presentar cualquiera de estos outputs al Comité Ejecutivo sin los demás sería presentar una visión parcial e incompleta de los resultados del modelo.</w:t>
      </w:r>
    </w:p>
    <w:p w14:paraId="62724331" w14:textId="77777777" w:rsidR="00933177" w:rsidRDefault="00933177" w:rsidP="00933177">
      <w:pPr>
        <w:pStyle w:val="Ttulo3"/>
      </w:pPr>
      <w:bookmarkStart w:id="39" w:name="_Toc232659588"/>
      <w:r>
        <w:t>Output 1 — El ranking general de atractivo</w:t>
      </w:r>
      <w:bookmarkEnd w:id="39"/>
    </w:p>
    <w:p w14:paraId="5488A171" w14:textId="77777777" w:rsidR="00933177" w:rsidRDefault="00933177" w:rsidP="00933177">
      <w:pPr>
        <w:spacing w:before="140" w:after="140" w:line="320" w:lineRule="auto"/>
        <w:jc w:val="both"/>
      </w:pPr>
      <w:r>
        <w:rPr>
          <w:color w:val="111111"/>
        </w:rPr>
        <w:t xml:space="preserve">El ranking general ordena todos los mercados del universo por su score RADAR compuesto —el promedio ponderado de los tres pilares— de mayor a menor atractivo para Grupo </w:t>
      </w:r>
      <w:proofErr w:type="spellStart"/>
      <w:r>
        <w:rPr>
          <w:color w:val="111111"/>
        </w:rPr>
        <w:t>Cibest</w:t>
      </w:r>
      <w:proofErr w:type="spellEnd"/>
      <w:r>
        <w:rPr>
          <w:color w:val="111111"/>
        </w:rPr>
        <w:t xml:space="preserve">. Es el output más visible y el que primero captura la atención en cualquier presentación, pero es también el que más frecuentemente se </w:t>
      </w:r>
      <w:proofErr w:type="spellStart"/>
      <w:r>
        <w:rPr>
          <w:color w:val="111111"/>
        </w:rPr>
        <w:t>sobreinterpreta</w:t>
      </w:r>
      <w:proofErr w:type="spellEnd"/>
      <w:r>
        <w:rPr>
          <w:color w:val="111111"/>
        </w:rPr>
        <w:t>. El Comité Ejecutivo debe leer el ranking con tres prevenciones explícitas. Primero, las posiciones cercanas dentro del ranking —los puestos dos a seis, o siete a doce— no son estadísticamente distinguibles entre sí: los mercados en esas posiciones tienen scores similares y cualquiera de ellos podría subir o bajar varios puestos con cambios pequeños en los pesos o en los datos. Segundo, el ranking es sensible a la configuración de pesos establecida en el Pilar 1: si los pesos cambian, el ranking puede cambiar. Tercero, el ranking responde al objetivo de internacionalización declarado por el Comité en la Fase 1: si el objetivo cambia, el ranking cambia.</w:t>
      </w:r>
    </w:p>
    <w:p w14:paraId="18A64272" w14:textId="77777777" w:rsidR="00933177" w:rsidRDefault="00933177" w:rsidP="00933177">
      <w:pPr>
        <w:pStyle w:val="Ttulo3"/>
      </w:pPr>
      <w:bookmarkStart w:id="40" w:name="_Toc232659589"/>
      <w:r>
        <w:t>Output 2 — El perfil de fortalezas y debilidades por dimensión</w:t>
      </w:r>
      <w:bookmarkEnd w:id="40"/>
    </w:p>
    <w:p w14:paraId="3D4FD373" w14:textId="77777777" w:rsidR="00933177" w:rsidRDefault="00933177" w:rsidP="00933177">
      <w:pPr>
        <w:spacing w:before="140" w:after="140" w:line="320" w:lineRule="auto"/>
        <w:jc w:val="both"/>
      </w:pPr>
      <w:r>
        <w:rPr>
          <w:color w:val="111111"/>
        </w:rPr>
        <w:t xml:space="preserve">El perfil de fortalezas y debilidades es el output más valioso del modelo para el análisis estratégico. Para cada mercado, el modelo identifica en qué de las cinco dimensiones el país está por encima o por debajo de la mediana del universo evaluado. Este perfil es la base del diálogo estratégico cualitativo posterior: permite formular preguntas precisas sobre cada mercado en lugar de juicios globales difusos. Un mercado con perfil de fortaleza macroeconómica y </w:t>
      </w:r>
      <w:proofErr w:type="gramStart"/>
      <w:r>
        <w:rPr>
          <w:color w:val="111111"/>
        </w:rPr>
        <w:t>tecnológica</w:t>
      </w:r>
      <w:proofErr w:type="gramEnd"/>
      <w:r>
        <w:rPr>
          <w:color w:val="111111"/>
        </w:rPr>
        <w:t xml:space="preserve"> pero debilidad institucional genera una pregunta específica: ¿cuál es la barrera institucional concreta —regulatoria, de rule </w:t>
      </w:r>
      <w:proofErr w:type="spellStart"/>
      <w:r>
        <w:rPr>
          <w:color w:val="111111"/>
        </w:rPr>
        <w:t>of</w:t>
      </w:r>
      <w:proofErr w:type="spellEnd"/>
      <w:r>
        <w:rPr>
          <w:color w:val="111111"/>
        </w:rPr>
        <w:t xml:space="preserve"> </w:t>
      </w:r>
      <w:proofErr w:type="spellStart"/>
      <w:r>
        <w:rPr>
          <w:color w:val="111111"/>
        </w:rPr>
        <w:t>law</w:t>
      </w:r>
      <w:proofErr w:type="spellEnd"/>
      <w:r>
        <w:rPr>
          <w:color w:val="111111"/>
        </w:rPr>
        <w:t xml:space="preserve">, de corrupción— y tiene solución viable en el horizonte de </w:t>
      </w:r>
      <w:proofErr w:type="spellStart"/>
      <w:r>
        <w:rPr>
          <w:color w:val="111111"/>
        </w:rPr>
        <w:t>Cibest</w:t>
      </w:r>
      <w:proofErr w:type="spellEnd"/>
      <w:r>
        <w:rPr>
          <w:color w:val="111111"/>
        </w:rPr>
        <w:t>? Un mercado con perfil inverso —fuerte en institucional pero débil en tecnológico— genera una pregunta diferente: ¿la infraestructura digital es una limitación estructural del mercado o está en proceso de transformación acelerada?</w:t>
      </w:r>
    </w:p>
    <w:p w14:paraId="3A6FB9EB" w14:textId="77777777" w:rsidR="00933177" w:rsidRDefault="00933177" w:rsidP="00933177">
      <w:pPr>
        <w:pStyle w:val="Ttulo3"/>
      </w:pPr>
      <w:bookmarkStart w:id="41" w:name="_Toc232659590"/>
      <w:r>
        <w:t xml:space="preserve">Output 3 — Las señales diferenciadas por </w:t>
      </w:r>
      <w:proofErr w:type="gramStart"/>
      <w:r>
        <w:t>línea</w:t>
      </w:r>
      <w:proofErr w:type="gramEnd"/>
      <w:r>
        <w:t xml:space="preserve"> de negocio</w:t>
      </w:r>
      <w:bookmarkEnd w:id="41"/>
    </w:p>
    <w:p w14:paraId="6B3C4FB9" w14:textId="77777777" w:rsidR="00933177" w:rsidRDefault="00933177" w:rsidP="00933177">
      <w:pPr>
        <w:spacing w:before="140" w:after="140" w:line="320" w:lineRule="auto"/>
        <w:jc w:val="both"/>
      </w:pPr>
      <w:r>
        <w:rPr>
          <w:color w:val="111111"/>
        </w:rPr>
        <w:t xml:space="preserve">Las señales por </w:t>
      </w:r>
      <w:proofErr w:type="gramStart"/>
      <w:r>
        <w:rPr>
          <w:color w:val="111111"/>
        </w:rPr>
        <w:t>línea</w:t>
      </w:r>
      <w:proofErr w:type="gramEnd"/>
      <w:r>
        <w:rPr>
          <w:color w:val="111111"/>
        </w:rPr>
        <w:t xml:space="preserve"> de negocio son el resultado de las cinco ejecuciones paralelas del ranking con las codificaciones A/B específicas de cada línea. Para cada mercado se produce una clasificación de señal para cada línea: Alta Oportunidad, Oportunidad con Condiciones, Oportunidad Especializada, o Sin Señal Relevante. La diferencia más importante que estas señales capturan es la posibilidad de que un mercado sea poco atractivo para </w:t>
      </w:r>
      <w:proofErr w:type="spellStart"/>
      <w:r>
        <w:rPr>
          <w:color w:val="111111"/>
        </w:rPr>
        <w:t>Cibest</w:t>
      </w:r>
      <w:proofErr w:type="spellEnd"/>
      <w:r>
        <w:rPr>
          <w:color w:val="111111"/>
        </w:rPr>
        <w:t xml:space="preserve"> en general pero muy atractivo para una línea de negocio específica. Ejemplo ilustrativo: un mercado con </w:t>
      </w:r>
      <w:r>
        <w:rPr>
          <w:color w:val="111111"/>
        </w:rPr>
        <w:lastRenderedPageBreak/>
        <w:t>bajo desarrollo financiero general, baja capitalización bursátil y alta inflación puede tener una señal de Alta Oportunidad para Activos Digitales (por la demanda de cobertura inflacionaria) y para Bancos Digitales (por el espacio vacío que la banca tradicional no ocupa), aunque sea de baja prioridad para Intermediación Bancaria y CIB.</w:t>
      </w:r>
    </w:p>
    <w:p w14:paraId="03CB66DE" w14:textId="77777777" w:rsidR="00933177" w:rsidRDefault="00933177" w:rsidP="00933177">
      <w:pPr>
        <w:pStyle w:val="Ttulo3"/>
      </w:pPr>
      <w:bookmarkStart w:id="42" w:name="_Toc232659591"/>
      <w:r>
        <w:t>Output 4 — La clasificación del motor de reglas</w:t>
      </w:r>
      <w:bookmarkEnd w:id="42"/>
    </w:p>
    <w:p w14:paraId="2D361376" w14:textId="77777777" w:rsidR="00933177" w:rsidRDefault="00933177" w:rsidP="00933177">
      <w:pPr>
        <w:spacing w:before="140" w:after="140" w:line="320" w:lineRule="auto"/>
        <w:jc w:val="both"/>
      </w:pPr>
      <w:r>
        <w:rPr>
          <w:color w:val="111111"/>
        </w:rPr>
        <w:t xml:space="preserve">El motor de reglas es el componente de RADAR </w:t>
      </w:r>
      <w:proofErr w:type="spellStart"/>
      <w:r>
        <w:rPr>
          <w:color w:val="111111"/>
        </w:rPr>
        <w:t>Cibest</w:t>
      </w:r>
      <w:proofErr w:type="spellEnd"/>
      <w:r>
        <w:rPr>
          <w:color w:val="111111"/>
        </w:rPr>
        <w:t xml:space="preserve"> que traduce los scores y señales cuantitativas en categorías estratégicas interpretables por el Comité Ejecutivo. Las reglas son deterministas — si el score general supera X y la señal para al menos dos líneas de negocio es de Alta Oportunidad y el score institucional supera Y, entonces el mercado se clasifica como Mercado Prioritario — y son configuradas por el equipo de Estrategia Corporativa en función del objetivo de internacionalización definido en la Fase 1. Las cinco categorías del motor de reglas son: Mercado Prioritario (análisis cualitativo profundo inmediato), Atractivo con Alto Riesgo (análisis cualitativo profundo con foco en la gestión del riesgo identificado), Oportunidad Especializada (análisis cualitativo profundo solo para la línea de negocio con señal alta), Mercado a Monitorear (revisión en el próximo ciclo anual) y No Prioritario (excluido del análisis profundo en el horizonte actual).</w:t>
      </w:r>
    </w:p>
    <w:p w14:paraId="0E957448" w14:textId="77777777" w:rsidR="00933177" w:rsidRDefault="00933177" w:rsidP="00933177">
      <w:pPr>
        <w:spacing w:after="100"/>
      </w:pPr>
    </w:p>
    <w:p w14:paraId="169A9C8A" w14:textId="77777777" w:rsidR="00933177" w:rsidRDefault="00933177" w:rsidP="00933177">
      <w:pPr>
        <w:pStyle w:val="Ttulo2"/>
        <w:pBdr>
          <w:bottom w:val="single" w:sz="4" w:space="4" w:color="E8B931"/>
        </w:pBdr>
      </w:pPr>
      <w:bookmarkStart w:id="43" w:name="_Toc232659592"/>
      <w:proofErr w:type="gramStart"/>
      <w:r>
        <w:t>5.6  Cómo</w:t>
      </w:r>
      <w:proofErr w:type="gramEnd"/>
      <w:r>
        <w:t xml:space="preserve"> RADAR </w:t>
      </w:r>
      <w:proofErr w:type="spellStart"/>
      <w:r>
        <w:t>Cibest</w:t>
      </w:r>
      <w:proofErr w:type="spellEnd"/>
      <w:r>
        <w:t xml:space="preserve"> alimenta las fases siguientes del proceso SIM</w:t>
      </w:r>
      <w:bookmarkEnd w:id="43"/>
    </w:p>
    <w:p w14:paraId="44741E51" w14:textId="77777777" w:rsidR="00933177" w:rsidRDefault="00933177" w:rsidP="00933177">
      <w:pPr>
        <w:spacing w:before="140" w:after="140" w:line="320" w:lineRule="auto"/>
        <w:jc w:val="both"/>
      </w:pPr>
      <w:r>
        <w:rPr>
          <w:color w:val="111111"/>
        </w:rPr>
        <w:t>Los resultados de RADAR no son el final del proceso de selección de mercados: son la puerta de entrada a las fases de mayor complejidad y mayor valor analítico. Los mercados clasificados como Prioritarios, Atractivos con Alto Riesgo y Oportunidades Especializadas son los que pasan a la Fase 4 de inteligencia cualitativa —que se describe en la Sección 6 de este documento—, donde cada uno recibe un análisis profundo de ecosistema regulatorio, competencia, demanda de cliente y viabilidad del modelo de negocio local. Los mercados clasificados como En Monitoreo quedan en un registro de seguimiento continuo. Los clasificados como No Prioritarios son descartados del análisis profundo para el horizonte estratégico actual, con la documentación explícita de por qué fueron descartados.</w:t>
      </w:r>
    </w:p>
    <w:p w14:paraId="35BBEE81" w14:textId="77777777" w:rsidR="00933177" w:rsidRDefault="00933177" w:rsidP="00933177">
      <w:pPr>
        <w:spacing w:before="140" w:after="140" w:line="320" w:lineRule="auto"/>
        <w:jc w:val="both"/>
      </w:pPr>
      <w:r>
        <w:rPr>
          <w:color w:val="111111"/>
        </w:rPr>
        <w:t xml:space="preserve">RADAR también genera, para cada mercado que pasa a análisis profundo, un conjunto de preguntas de investigación cualitativa derivadas de su perfil de fortalezas y debilidades. Si un mercado tiene score bajo en la dimensión de Calidad Regulatoria del WGI, la pregunta de investigación cualitativa es: ¿cuál es la barrera regulatoria específica que ese score está capturando, y existe un camino regulatorio viable para </w:t>
      </w:r>
      <w:proofErr w:type="spellStart"/>
      <w:r>
        <w:rPr>
          <w:color w:val="111111"/>
        </w:rPr>
        <w:t>Cibest</w:t>
      </w:r>
      <w:proofErr w:type="spellEnd"/>
      <w:r>
        <w:rPr>
          <w:color w:val="111111"/>
        </w:rPr>
        <w:t xml:space="preserve"> dentro del horizonte de la estrategia? Si un mercado tiene score alto en dimensión </w:t>
      </w:r>
      <w:proofErr w:type="gramStart"/>
      <w:r>
        <w:rPr>
          <w:color w:val="111111"/>
        </w:rPr>
        <w:t>tecnológica</w:t>
      </w:r>
      <w:proofErr w:type="gramEnd"/>
      <w:r>
        <w:rPr>
          <w:color w:val="111111"/>
        </w:rPr>
        <w:t xml:space="preserve"> pero bajo en adopción de pagos digitales, la pregunta es: ¿la infraestructura tecnológica está construida pero la adopción </w:t>
      </w:r>
      <w:r>
        <w:rPr>
          <w:color w:val="111111"/>
        </w:rPr>
        <w:lastRenderedPageBreak/>
        <w:t>aún no llegó, o hay una barrera de uso que no desaparecerá pronto? Estas preguntas son el vínculo explícito entre el análisis cuantitativo de RADAR y el análisis cualitativo de la Fase 4.</w:t>
      </w:r>
    </w:p>
    <w:p w14:paraId="05B9A5FB" w14:textId="77777777" w:rsidR="00933177" w:rsidRDefault="00933177" w:rsidP="00933177">
      <w:pPr>
        <w:spacing w:after="100"/>
      </w:pPr>
    </w:p>
    <w:p w14:paraId="3E213CDD" w14:textId="77777777" w:rsidR="00933177" w:rsidRDefault="00933177" w:rsidP="00933177">
      <w:pPr>
        <w:pStyle w:val="Ttulo2"/>
        <w:pBdr>
          <w:bottom w:val="single" w:sz="4" w:space="4" w:color="E8B931"/>
        </w:pBdr>
      </w:pPr>
      <w:bookmarkStart w:id="44" w:name="_Toc232659593"/>
      <w:proofErr w:type="gramStart"/>
      <w:r>
        <w:t>5.7  Cómo</w:t>
      </w:r>
      <w:proofErr w:type="gramEnd"/>
      <w:r>
        <w:t xml:space="preserve"> evaluar si el modelo es correcto: los cinco criterios de validación</w:t>
      </w:r>
      <w:bookmarkEnd w:id="44"/>
    </w:p>
    <w:p w14:paraId="1C28CA59" w14:textId="77777777" w:rsidR="00933177" w:rsidRDefault="00933177" w:rsidP="00933177">
      <w:pPr>
        <w:spacing w:before="140" w:after="140" w:line="320" w:lineRule="auto"/>
        <w:jc w:val="both"/>
      </w:pPr>
      <w:r>
        <w:rPr>
          <w:color w:val="111111"/>
        </w:rPr>
        <w:t xml:space="preserve">El Comité Ejecutivo tiene el derecho —y la responsabilidad— de preguntarse: ¿cómo sé que este modelo produce resultados confiables? RADAR </w:t>
      </w:r>
      <w:proofErr w:type="spellStart"/>
      <w:r>
        <w:rPr>
          <w:color w:val="111111"/>
        </w:rPr>
        <w:t>Cibest</w:t>
      </w:r>
      <w:proofErr w:type="spellEnd"/>
      <w:r>
        <w:rPr>
          <w:color w:val="111111"/>
        </w:rPr>
        <w:t xml:space="preserve"> somete sus resultados a cinco criterios de validación que responden a esa pregunta desde ángulos complementarios. El equipo de Estrategia Corporativa presenta los resultados de estos cinco criterios junto con el ranking, de modo que el Comité pueda evaluar simultáneamente los resultados del modelo y la evidencia sobre su confiabilidad.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160"/>
        <w:gridCol w:w="3200"/>
      </w:tblGrid>
      <w:tr w:rsidR="00933177" w14:paraId="3EAB2073"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63E76690" w14:textId="77777777" w:rsidR="00933177" w:rsidRDefault="00933177" w:rsidP="001F40FE">
            <w:r>
              <w:rPr>
                <w:b/>
                <w:bCs/>
                <w:color w:val="FFFFFF"/>
                <w:sz w:val="20"/>
                <w:szCs w:val="20"/>
              </w:rPr>
              <w:t>Criterio de validación</w:t>
            </w:r>
          </w:p>
        </w:tc>
        <w:tc>
          <w:tcPr>
            <w:tcW w:w="416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3F567EED" w14:textId="77777777" w:rsidR="00933177" w:rsidRDefault="00933177" w:rsidP="001F40FE">
            <w:r>
              <w:rPr>
                <w:b/>
                <w:bCs/>
                <w:color w:val="FFFFFF"/>
                <w:sz w:val="20"/>
                <w:szCs w:val="20"/>
              </w:rPr>
              <w:t>Qué mide y cómo se aplica</w:t>
            </w:r>
          </w:p>
        </w:tc>
        <w:tc>
          <w:tcPr>
            <w:tcW w:w="3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7450110D" w14:textId="77777777" w:rsidR="00933177" w:rsidRDefault="00933177" w:rsidP="001F40FE">
            <w:r>
              <w:rPr>
                <w:b/>
                <w:bCs/>
                <w:color w:val="FFFFFF"/>
                <w:sz w:val="20"/>
                <w:szCs w:val="20"/>
              </w:rPr>
              <w:t>Señal de alerta (resultado que indica problema)</w:t>
            </w:r>
          </w:p>
        </w:tc>
      </w:tr>
      <w:tr w:rsidR="00933177" w14:paraId="05003E2E"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608B804" w14:textId="77777777" w:rsidR="00933177" w:rsidRDefault="00933177" w:rsidP="001F40FE">
            <w:r>
              <w:rPr>
                <w:b/>
                <w:bCs/>
                <w:color w:val="111111"/>
                <w:sz w:val="20"/>
                <w:szCs w:val="20"/>
              </w:rPr>
              <w:t>Validación de rostro (</w:t>
            </w:r>
            <w:proofErr w:type="spellStart"/>
            <w:r>
              <w:rPr>
                <w:b/>
                <w:bCs/>
                <w:color w:val="111111"/>
                <w:sz w:val="20"/>
                <w:szCs w:val="20"/>
              </w:rPr>
              <w:t>face</w:t>
            </w:r>
            <w:proofErr w:type="spellEnd"/>
            <w:r>
              <w:rPr>
                <w:b/>
                <w:bCs/>
                <w:color w:val="111111"/>
                <w:sz w:val="20"/>
                <w:szCs w:val="20"/>
              </w:rPr>
              <w:t xml:space="preserve"> </w:t>
            </w:r>
            <w:proofErr w:type="spellStart"/>
            <w:r>
              <w:rPr>
                <w:b/>
                <w:bCs/>
                <w:color w:val="111111"/>
                <w:sz w:val="20"/>
                <w:szCs w:val="20"/>
              </w:rPr>
              <w:t>validity</w:t>
            </w:r>
            <w:proofErr w:type="spellEnd"/>
            <w:r>
              <w:rPr>
                <w:b/>
                <w:bCs/>
                <w:color w:val="111111"/>
                <w:sz w:val="20"/>
                <w:szCs w:val="20"/>
              </w:rPr>
              <w:t>)</w:t>
            </w:r>
          </w:p>
        </w:tc>
        <w:tc>
          <w:tcPr>
            <w:tcW w:w="4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7883BEE" w14:textId="77777777" w:rsidR="00933177" w:rsidRDefault="00933177" w:rsidP="001F40FE">
            <w:r>
              <w:rPr>
                <w:color w:val="111111"/>
                <w:sz w:val="20"/>
                <w:szCs w:val="20"/>
              </w:rPr>
              <w:t>¿Los resultados son plausibles para personas con experiencia en la región? El equipo presenta el top-10 del ranking a al menos dos expertos externos con experiencia en banca latinoamericana y solicita su evaluación crítica sin revelarles los pesos del modelo.</w:t>
            </w:r>
          </w:p>
        </w:tc>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070086F" w14:textId="77777777" w:rsidR="00933177" w:rsidRDefault="00933177" w:rsidP="001F40FE">
            <w:r>
              <w:rPr>
                <w:color w:val="111111"/>
                <w:sz w:val="20"/>
                <w:szCs w:val="20"/>
              </w:rPr>
              <w:t>Si el top-3 incluye a Venezuela, Haití o un mercado claramente inviable, o si Chile y Panamá están en los últimos puestos, el modelo tiene un problema de configuración que debe diagnosticarse.</w:t>
            </w:r>
          </w:p>
        </w:tc>
      </w:tr>
      <w:tr w:rsidR="00933177" w14:paraId="47AE32A6"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55E127F" w14:textId="77777777" w:rsidR="00933177" w:rsidRDefault="00933177" w:rsidP="001F40FE">
            <w:r>
              <w:rPr>
                <w:b/>
                <w:bCs/>
                <w:color w:val="111111"/>
                <w:sz w:val="20"/>
                <w:szCs w:val="20"/>
              </w:rPr>
              <w:t>Validación de consistencia interna</w:t>
            </w:r>
          </w:p>
        </w:tc>
        <w:tc>
          <w:tcPr>
            <w:tcW w:w="4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4F87D49" w14:textId="77777777" w:rsidR="00933177" w:rsidRDefault="00933177" w:rsidP="001F40FE">
            <w:r>
              <w:rPr>
                <w:color w:val="111111"/>
                <w:sz w:val="20"/>
                <w:szCs w:val="20"/>
              </w:rPr>
              <w:t xml:space="preserve">¿Las ponderaciones asignadas por la dirección son matemáticamente consistentes entre sí? Se verifica con </w:t>
            </w:r>
            <w:proofErr w:type="gramStart"/>
            <w:r>
              <w:rPr>
                <w:color w:val="111111"/>
                <w:sz w:val="20"/>
                <w:szCs w:val="20"/>
              </w:rPr>
              <w:t>el ratio</w:t>
            </w:r>
            <w:proofErr w:type="gramEnd"/>
            <w:r>
              <w:rPr>
                <w:color w:val="111111"/>
                <w:sz w:val="20"/>
                <w:szCs w:val="20"/>
              </w:rPr>
              <w:t xml:space="preserve"> de consistencia del método de ponderación: </w:t>
            </w:r>
            <w:proofErr w:type="gramStart"/>
            <w:r>
              <w:rPr>
                <w:color w:val="111111"/>
                <w:sz w:val="20"/>
                <w:szCs w:val="20"/>
              </w:rPr>
              <w:t>un ratio aceptable</w:t>
            </w:r>
            <w:proofErr w:type="gramEnd"/>
            <w:r>
              <w:rPr>
                <w:color w:val="111111"/>
                <w:sz w:val="20"/>
                <w:szCs w:val="20"/>
              </w:rPr>
              <w:t xml:space="preserve"> indica que las preferencias del Comité no se contradicen entre sí de manera sistemática.</w:t>
            </w:r>
          </w:p>
        </w:tc>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BEB29C5" w14:textId="77777777" w:rsidR="00933177" w:rsidRDefault="00933177" w:rsidP="001F40FE">
            <w:proofErr w:type="gramStart"/>
            <w:r>
              <w:rPr>
                <w:color w:val="111111"/>
                <w:sz w:val="20"/>
                <w:szCs w:val="20"/>
              </w:rPr>
              <w:t>Un ratio</w:t>
            </w:r>
            <w:proofErr w:type="gramEnd"/>
            <w:r>
              <w:rPr>
                <w:color w:val="111111"/>
                <w:sz w:val="20"/>
                <w:szCs w:val="20"/>
              </w:rPr>
              <w:t xml:space="preserve"> de inconsistencia superior al umbral metodológico indica que el Comité declaró preferencias circulares (A &gt; B &gt; C &gt; A). El proceso de elicitación debe repetirse o revisarse con el ejecutivo que generó la inconsistencia.</w:t>
            </w:r>
          </w:p>
        </w:tc>
      </w:tr>
      <w:tr w:rsidR="00933177" w14:paraId="2138A89E"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0D9DA1C" w14:textId="77777777" w:rsidR="00933177" w:rsidRDefault="00933177" w:rsidP="001F40FE">
            <w:r>
              <w:rPr>
                <w:b/>
                <w:bCs/>
                <w:color w:val="111111"/>
                <w:sz w:val="20"/>
                <w:szCs w:val="20"/>
              </w:rPr>
              <w:t>Validación de sensibilidad (análisis de tornado)</w:t>
            </w:r>
          </w:p>
        </w:tc>
        <w:tc>
          <w:tcPr>
            <w:tcW w:w="4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0910271" w14:textId="77777777" w:rsidR="00933177" w:rsidRDefault="00933177" w:rsidP="001F40FE">
            <w:r>
              <w:rPr>
                <w:color w:val="111111"/>
                <w:sz w:val="20"/>
                <w:szCs w:val="20"/>
              </w:rPr>
              <w:t>¿El ranking es robusto a cambios moderados en los pesos? Se varía cada peso dimensión ±20% mientras los demás se mantienen constantes, y se observa cuánto cambia el ranking. Se calcula el coeficiente de correlación de Spearman entre el ranking base y cada ranking alternativo.</w:t>
            </w:r>
          </w:p>
        </w:tc>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6179194" w14:textId="77777777" w:rsidR="00933177" w:rsidRDefault="00933177" w:rsidP="001F40FE">
            <w:r>
              <w:rPr>
                <w:color w:val="111111"/>
                <w:sz w:val="20"/>
                <w:szCs w:val="20"/>
              </w:rPr>
              <w:t>Si el coeficiente de Spearman cae por debajo de 0.80 cuando se varía un solo peso en ±20%, el ranking es inestable y no debe usarse para tomar decisiones sin profundizar en la validación.</w:t>
            </w:r>
          </w:p>
        </w:tc>
      </w:tr>
      <w:tr w:rsidR="00933177" w14:paraId="54A38333"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5A984AD" w14:textId="77777777" w:rsidR="00933177" w:rsidRDefault="00933177" w:rsidP="001F40FE">
            <w:r>
              <w:rPr>
                <w:b/>
                <w:bCs/>
                <w:color w:val="111111"/>
                <w:sz w:val="20"/>
                <w:szCs w:val="20"/>
              </w:rPr>
              <w:t>Validación cruzada con literatura</w:t>
            </w:r>
          </w:p>
        </w:tc>
        <w:tc>
          <w:tcPr>
            <w:tcW w:w="4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3539B12" w14:textId="77777777" w:rsidR="00933177" w:rsidRDefault="00933177" w:rsidP="001F40FE">
            <w:proofErr w:type="gramStart"/>
            <w:r>
              <w:rPr>
                <w:color w:val="111111"/>
                <w:sz w:val="20"/>
                <w:szCs w:val="20"/>
              </w:rPr>
              <w:t>¿El top-5 del modelo coincide razonablemente con los mercados identificados como más atractivos para expansión bancaria en LATAM por consultoras y organismos multilaterales (ver Sección 2.</w:t>
            </w:r>
            <w:proofErr w:type="gramEnd"/>
            <w:r>
              <w:rPr>
                <w:color w:val="111111"/>
                <w:sz w:val="20"/>
                <w:szCs w:val="20"/>
              </w:rPr>
              <w:t xml:space="preserve">3)? Se construye un </w:t>
            </w:r>
            <w:proofErr w:type="spellStart"/>
            <w:r>
              <w:rPr>
                <w:color w:val="111111"/>
                <w:sz w:val="20"/>
                <w:szCs w:val="20"/>
              </w:rPr>
              <w:t>benchmark</w:t>
            </w:r>
            <w:proofErr w:type="spellEnd"/>
            <w:r>
              <w:rPr>
                <w:color w:val="111111"/>
                <w:sz w:val="20"/>
                <w:szCs w:val="20"/>
              </w:rPr>
              <w:t xml:space="preserve"> a partir de esas fuentes y se </w:t>
            </w:r>
            <w:r>
              <w:rPr>
                <w:color w:val="111111"/>
                <w:sz w:val="20"/>
                <w:szCs w:val="20"/>
              </w:rPr>
              <w:lastRenderedPageBreak/>
              <w:t>calcula la coincidencia con el top-10 de RADAR.</w:t>
            </w:r>
          </w:p>
        </w:tc>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970BA2F" w14:textId="77777777" w:rsidR="00933177" w:rsidRDefault="00933177" w:rsidP="001F40FE">
            <w:r>
              <w:rPr>
                <w:color w:val="111111"/>
                <w:sz w:val="20"/>
                <w:szCs w:val="20"/>
              </w:rPr>
              <w:lastRenderedPageBreak/>
              <w:t xml:space="preserve">Una coincidencia inferior al 50% entre el top-10 de RADAR y el </w:t>
            </w:r>
            <w:proofErr w:type="spellStart"/>
            <w:r>
              <w:rPr>
                <w:color w:val="111111"/>
                <w:sz w:val="20"/>
                <w:szCs w:val="20"/>
              </w:rPr>
              <w:t>benchmark</w:t>
            </w:r>
            <w:proofErr w:type="spellEnd"/>
            <w:r>
              <w:rPr>
                <w:color w:val="111111"/>
                <w:sz w:val="20"/>
                <w:szCs w:val="20"/>
              </w:rPr>
              <w:t xml:space="preserve"> de la literatura sugiere que los pesos del modelo o la selección de variables no capturan adecuadamente los determinantes del atractivo </w:t>
            </w:r>
            <w:r>
              <w:rPr>
                <w:color w:val="111111"/>
                <w:sz w:val="20"/>
                <w:szCs w:val="20"/>
              </w:rPr>
              <w:lastRenderedPageBreak/>
              <w:t>bancario reconocidos por la industria.</w:t>
            </w:r>
          </w:p>
        </w:tc>
      </w:tr>
      <w:tr w:rsidR="00933177" w14:paraId="7FEA8240"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FED2B79" w14:textId="77777777" w:rsidR="00933177" w:rsidRDefault="00933177" w:rsidP="001F40FE">
            <w:r>
              <w:rPr>
                <w:b/>
                <w:bCs/>
                <w:color w:val="111111"/>
                <w:sz w:val="20"/>
                <w:szCs w:val="20"/>
              </w:rPr>
              <w:lastRenderedPageBreak/>
              <w:t>Validación temporal (</w:t>
            </w:r>
            <w:proofErr w:type="spellStart"/>
            <w:r>
              <w:rPr>
                <w:b/>
                <w:bCs/>
                <w:color w:val="111111"/>
                <w:sz w:val="20"/>
                <w:szCs w:val="20"/>
              </w:rPr>
              <w:t>backtesting</w:t>
            </w:r>
            <w:proofErr w:type="spellEnd"/>
            <w:r>
              <w:rPr>
                <w:b/>
                <w:bCs/>
                <w:color w:val="111111"/>
                <w:sz w:val="20"/>
                <w:szCs w:val="20"/>
              </w:rPr>
              <w:t>)</w:t>
            </w:r>
          </w:p>
        </w:tc>
        <w:tc>
          <w:tcPr>
            <w:tcW w:w="4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8A982AB" w14:textId="77777777" w:rsidR="00933177" w:rsidRDefault="00933177" w:rsidP="001F40FE">
            <w:r>
              <w:rPr>
                <w:color w:val="111111"/>
                <w:sz w:val="20"/>
                <w:szCs w:val="20"/>
              </w:rPr>
              <w:t xml:space="preserve">Si se ejecuta el modelo con datos de 2018-2020, ¿habría el ranking predicho los mercados donde los bancos colombianos (Bancolombia, Davivienda) efectivamente operan o intentaron operar? Este es </w:t>
            </w:r>
            <w:proofErr w:type="gramStart"/>
            <w:r>
              <w:rPr>
                <w:color w:val="111111"/>
                <w:sz w:val="20"/>
                <w:szCs w:val="20"/>
              </w:rPr>
              <w:t>el test</w:t>
            </w:r>
            <w:proofErr w:type="gramEnd"/>
            <w:r>
              <w:rPr>
                <w:color w:val="111111"/>
                <w:sz w:val="20"/>
                <w:szCs w:val="20"/>
              </w:rPr>
              <w:t xml:space="preserve"> más exigente del modelo: evalúa si el modelo tiene poder predictivo real, no solo coherencia interna.</w:t>
            </w:r>
          </w:p>
        </w:tc>
        <w:tc>
          <w:tcPr>
            <w:tcW w:w="3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A06BF6D" w14:textId="77777777" w:rsidR="00933177" w:rsidRDefault="00933177" w:rsidP="001F40FE">
            <w:r>
              <w:rPr>
                <w:color w:val="111111"/>
                <w:sz w:val="20"/>
                <w:szCs w:val="20"/>
              </w:rPr>
              <w:t>Si el modelo no habría predicho ninguna de las entradas efectivas de bancos colombianos en los últimos 10 años, hay un problema fundamental de validez predictiva que debe investigarse antes de usar el modelo para decisiones de inversión.</w:t>
            </w:r>
          </w:p>
        </w:tc>
      </w:tr>
    </w:tbl>
    <w:p w14:paraId="6293C04B" w14:textId="77777777" w:rsidR="00933177" w:rsidRDefault="00933177" w:rsidP="009331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3177" w14:paraId="3A980837" w14:textId="77777777" w:rsidTr="00800E51">
        <w:tc>
          <w:tcPr>
            <w:tcW w:w="9360" w:type="dxa"/>
            <w:tcBorders>
              <w:top w:val="single" w:sz="1" w:space="0" w:color="E8B931"/>
              <w:left w:val="single" w:sz="1" w:space="0" w:color="E8B931"/>
              <w:bottom w:val="single" w:sz="1" w:space="0" w:color="E8B931"/>
              <w:right w:val="single" w:sz="1" w:space="0" w:color="E8B931"/>
            </w:tcBorders>
            <w:shd w:val="clear" w:color="auto" w:fill="FFF8E7"/>
            <w:tcMar>
              <w:top w:w="140" w:type="dxa"/>
              <w:left w:w="220" w:type="dxa"/>
              <w:bottom w:w="140" w:type="dxa"/>
              <w:right w:w="220" w:type="dxa"/>
            </w:tcMar>
          </w:tcPr>
          <w:p w14:paraId="5944DE94" w14:textId="77777777" w:rsidR="00933177" w:rsidRDefault="00933177" w:rsidP="001F40FE">
            <w:pPr>
              <w:spacing w:after="80"/>
            </w:pPr>
            <w:proofErr w:type="gramStart"/>
            <w:r>
              <w:rPr>
                <w:b/>
                <w:bCs/>
                <w:caps/>
                <w:color w:val="7D4800"/>
                <w:sz w:val="20"/>
                <w:szCs w:val="20"/>
              </w:rPr>
              <w:t>⚠  Limitación</w:t>
            </w:r>
            <w:proofErr w:type="gramEnd"/>
            <w:r>
              <w:rPr>
                <w:b/>
                <w:bCs/>
                <w:caps/>
                <w:color w:val="7D4800"/>
                <w:sz w:val="20"/>
                <w:szCs w:val="20"/>
              </w:rPr>
              <w:t xml:space="preserve"> del Modelo</w:t>
            </w:r>
          </w:p>
          <w:p w14:paraId="421BABBB" w14:textId="77777777" w:rsidR="00933177" w:rsidRDefault="00933177" w:rsidP="001F40FE">
            <w:pPr>
              <w:spacing w:after="60"/>
              <w:jc w:val="both"/>
            </w:pPr>
            <w:r>
              <w:rPr>
                <w:color w:val="1A1A1A"/>
                <w:sz w:val="20"/>
                <w:szCs w:val="20"/>
              </w:rPr>
              <w:t xml:space="preserve">Ninguno de los cinco criterios de validación garantiza por sí solo que el modelo producirá recomendaciones correctas. Son señales de alerta y de confianza relativa, no certificaciones de exactitud. El modelo puede superar los cinco criterios y </w:t>
            </w:r>
            <w:proofErr w:type="spellStart"/>
            <w:r>
              <w:rPr>
                <w:color w:val="1A1A1A"/>
                <w:sz w:val="20"/>
                <w:szCs w:val="20"/>
              </w:rPr>
              <w:t>aún</w:t>
            </w:r>
            <w:proofErr w:type="spellEnd"/>
            <w:r>
              <w:rPr>
                <w:color w:val="1A1A1A"/>
                <w:sz w:val="20"/>
                <w:szCs w:val="20"/>
              </w:rPr>
              <w:t xml:space="preserve"> así producir resultados que no se materializan, porque hay factores relevantes que no captura. La validación refuerza la confianza en el modelo; no elimina la necesidad de las fases cualitativas que siguen.</w:t>
            </w:r>
          </w:p>
        </w:tc>
      </w:tr>
    </w:tbl>
    <w:p w14:paraId="757FF34E" w14:textId="77777777" w:rsidR="00933177" w:rsidRDefault="00933177" w:rsidP="00933177">
      <w:pPr>
        <w:spacing w:after="100"/>
      </w:pPr>
    </w:p>
    <w:p w14:paraId="48A5E28F" w14:textId="77777777" w:rsidR="00933177" w:rsidRDefault="00933177" w:rsidP="00933177">
      <w:pPr>
        <w:pStyle w:val="Ttulo2"/>
        <w:pBdr>
          <w:bottom w:val="single" w:sz="4" w:space="4" w:color="E8B931"/>
        </w:pBdr>
      </w:pPr>
      <w:bookmarkStart w:id="45" w:name="_Toc232659594"/>
      <w:proofErr w:type="gramStart"/>
      <w:r>
        <w:t>5.8  Entregables</w:t>
      </w:r>
      <w:proofErr w:type="gramEnd"/>
      <w:r>
        <w:t>, participantes y tiempo de la Fase 3</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33177" w14:paraId="3C5B9269"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1EF15F18" w14:textId="77777777" w:rsidR="00933177" w:rsidRDefault="00933177" w:rsidP="001F40FE">
            <w:r>
              <w:rPr>
                <w:b/>
                <w:bCs/>
                <w:color w:val="FFFFFF"/>
                <w:sz w:val="20"/>
                <w:szCs w:val="20"/>
              </w:rPr>
              <w:t>Elemento</w:t>
            </w:r>
          </w:p>
        </w:tc>
        <w:tc>
          <w:tcPr>
            <w:tcW w:w="716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2CD9D8B6" w14:textId="77777777" w:rsidR="00933177" w:rsidRDefault="00933177" w:rsidP="001F40FE">
            <w:r>
              <w:rPr>
                <w:b/>
                <w:bCs/>
                <w:color w:val="FFFFFF"/>
                <w:sz w:val="20"/>
                <w:szCs w:val="20"/>
              </w:rPr>
              <w:t>Descripción</w:t>
            </w:r>
          </w:p>
        </w:tc>
      </w:tr>
      <w:tr w:rsidR="00933177" w14:paraId="598E6C61"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00CAD40" w14:textId="77777777" w:rsidR="00933177" w:rsidRDefault="00933177" w:rsidP="001F40FE">
            <w:r>
              <w:rPr>
                <w:b/>
                <w:bCs/>
                <w:color w:val="111111"/>
                <w:sz w:val="20"/>
                <w:szCs w:val="20"/>
              </w:rPr>
              <w:t>Entregable 1: Score y ranking RADAR</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15F2155" w14:textId="77777777" w:rsidR="00933177" w:rsidRDefault="00933177" w:rsidP="001F40FE">
            <w:r>
              <w:rPr>
                <w:color w:val="111111"/>
                <w:sz w:val="20"/>
                <w:szCs w:val="20"/>
              </w:rPr>
              <w:t>Tabla con el score RADAR compuesto de cada mercado del universo (</w:t>
            </w:r>
            <w:proofErr w:type="spellStart"/>
            <w:r>
              <w:rPr>
                <w:color w:val="111111"/>
                <w:sz w:val="20"/>
                <w:szCs w:val="20"/>
              </w:rPr>
              <w:t>post-exclusiones</w:t>
            </w:r>
            <w:proofErr w:type="spellEnd"/>
            <w:r>
              <w:rPr>
                <w:color w:val="111111"/>
                <w:sz w:val="20"/>
                <w:szCs w:val="20"/>
              </w:rPr>
              <w:t>), ordenada de mayor a menor. Incluye desglose del score en sus tres componentes (CC_TOPSIS, IPC, Tendencia) y la clasificación del motor de reglas para cada mercado.</w:t>
            </w:r>
          </w:p>
        </w:tc>
      </w:tr>
      <w:tr w:rsidR="00933177" w14:paraId="168563BF"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7E0AF69" w14:textId="77777777" w:rsidR="00933177" w:rsidRDefault="00933177" w:rsidP="001F40FE">
            <w:r>
              <w:rPr>
                <w:b/>
                <w:bCs/>
                <w:color w:val="111111"/>
                <w:sz w:val="20"/>
                <w:szCs w:val="20"/>
              </w:rPr>
              <w:t>Entregable 2: Perfiles de mercado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1B637BF" w14:textId="77777777" w:rsidR="00933177" w:rsidRDefault="00933177" w:rsidP="001F40FE">
            <w:r>
              <w:rPr>
                <w:color w:val="111111"/>
                <w:sz w:val="20"/>
                <w:szCs w:val="20"/>
              </w:rPr>
              <w:t>Para cada mercado del universo: gráfico de radar o spider chart con el score en cada una de las cinco dimensiones (D1 a D5) relativo a la mediana del universo. Identifica visualmente las fortalezas y debilidades del mercado en cada dimensión.</w:t>
            </w:r>
          </w:p>
        </w:tc>
      </w:tr>
      <w:tr w:rsidR="00933177" w14:paraId="37CEE420"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6504332" w14:textId="77777777" w:rsidR="00933177" w:rsidRDefault="00933177" w:rsidP="001F40FE">
            <w:r>
              <w:rPr>
                <w:b/>
                <w:bCs/>
                <w:color w:val="111111"/>
                <w:sz w:val="20"/>
                <w:szCs w:val="20"/>
              </w:rPr>
              <w:t xml:space="preserve">Entregable 3: Señales por </w:t>
            </w:r>
            <w:proofErr w:type="gramStart"/>
            <w:r>
              <w:rPr>
                <w:b/>
                <w:bCs/>
                <w:color w:val="111111"/>
                <w:sz w:val="20"/>
                <w:szCs w:val="20"/>
              </w:rPr>
              <w:t>línea</w:t>
            </w:r>
            <w:proofErr w:type="gramEnd"/>
            <w:r>
              <w:rPr>
                <w:b/>
                <w:bCs/>
                <w:color w:val="111111"/>
                <w:sz w:val="20"/>
                <w:szCs w:val="20"/>
              </w:rPr>
              <w:t xml:space="preserve"> de negocio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02EA078" w14:textId="77777777" w:rsidR="00933177" w:rsidRDefault="00933177" w:rsidP="001F40FE">
            <w:r>
              <w:rPr>
                <w:color w:val="111111"/>
                <w:sz w:val="20"/>
                <w:szCs w:val="20"/>
              </w:rPr>
              <w:t xml:space="preserve">Matriz de 5 columnas (una por </w:t>
            </w:r>
            <w:proofErr w:type="gramStart"/>
            <w:r>
              <w:rPr>
                <w:color w:val="111111"/>
                <w:sz w:val="20"/>
                <w:szCs w:val="20"/>
              </w:rPr>
              <w:t>línea</w:t>
            </w:r>
            <w:proofErr w:type="gramEnd"/>
            <w:r>
              <w:rPr>
                <w:color w:val="111111"/>
                <w:sz w:val="20"/>
                <w:szCs w:val="20"/>
              </w:rPr>
              <w:t xml:space="preserve"> de negocio) × N filas (una por mercado del universo), con la clasificación de señal de oportunidad para cada combinación mercado-línea. Incluye las preguntas de investigación cualitativa generadas para los mercados que pasan a la Fase 4.</w:t>
            </w:r>
          </w:p>
        </w:tc>
      </w:tr>
      <w:tr w:rsidR="00933177" w14:paraId="21975FEE"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71272E0" w14:textId="77777777" w:rsidR="00933177" w:rsidRDefault="00933177" w:rsidP="001F40FE">
            <w:r>
              <w:rPr>
                <w:b/>
                <w:bCs/>
                <w:color w:val="111111"/>
                <w:sz w:val="20"/>
                <w:szCs w:val="20"/>
              </w:rPr>
              <w:t>Entregable 4: Informe de validación</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9CDA749" w14:textId="77777777" w:rsidR="00933177" w:rsidRDefault="00933177" w:rsidP="001F40FE">
            <w:r>
              <w:rPr>
                <w:color w:val="111111"/>
                <w:sz w:val="20"/>
                <w:szCs w:val="20"/>
              </w:rPr>
              <w:t xml:space="preserve">Documento técnico de 3-5 páginas con los resultados de los cinco criterios de validación descritos en la Sección 5.7. Incluye los coeficientes de correlación de Spearman del análisis de sensibilidad, </w:t>
            </w:r>
            <w:proofErr w:type="gramStart"/>
            <w:r>
              <w:rPr>
                <w:color w:val="111111"/>
                <w:sz w:val="20"/>
                <w:szCs w:val="20"/>
              </w:rPr>
              <w:t>el ratio</w:t>
            </w:r>
            <w:proofErr w:type="gramEnd"/>
            <w:r>
              <w:rPr>
                <w:color w:val="111111"/>
                <w:sz w:val="20"/>
                <w:szCs w:val="20"/>
              </w:rPr>
              <w:t xml:space="preserve"> de consistencia del proceso de elicitación directiva, y la comparación con el </w:t>
            </w:r>
            <w:proofErr w:type="spellStart"/>
            <w:r>
              <w:rPr>
                <w:color w:val="111111"/>
                <w:sz w:val="20"/>
                <w:szCs w:val="20"/>
              </w:rPr>
              <w:t>benchmark</w:t>
            </w:r>
            <w:proofErr w:type="spellEnd"/>
            <w:r>
              <w:rPr>
                <w:color w:val="111111"/>
                <w:sz w:val="20"/>
                <w:szCs w:val="20"/>
              </w:rPr>
              <w:t xml:space="preserve"> de la literatura.</w:t>
            </w:r>
          </w:p>
        </w:tc>
      </w:tr>
      <w:tr w:rsidR="00933177" w14:paraId="2D64CC68"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7480115" w14:textId="77777777" w:rsidR="00933177" w:rsidRDefault="00933177" w:rsidP="001F40FE">
            <w:r>
              <w:rPr>
                <w:b/>
                <w:bCs/>
                <w:color w:val="111111"/>
                <w:sz w:val="20"/>
                <w:szCs w:val="20"/>
              </w:rPr>
              <w:t>Participantes</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05E5161" w14:textId="77777777" w:rsidR="00933177" w:rsidRDefault="00933177" w:rsidP="001F40FE">
            <w:proofErr w:type="spellStart"/>
            <w:proofErr w:type="gramStart"/>
            <w:r>
              <w:rPr>
                <w:color w:val="111111"/>
                <w:sz w:val="20"/>
                <w:szCs w:val="20"/>
              </w:rPr>
              <w:t>Co-líderes</w:t>
            </w:r>
            <w:proofErr w:type="spellEnd"/>
            <w:proofErr w:type="gramEnd"/>
            <w:r>
              <w:rPr>
                <w:color w:val="111111"/>
                <w:sz w:val="20"/>
                <w:szCs w:val="20"/>
              </w:rPr>
              <w:t xml:space="preserve"> de RADAR </w:t>
            </w:r>
            <w:proofErr w:type="spellStart"/>
            <w:r>
              <w:rPr>
                <w:color w:val="111111"/>
                <w:sz w:val="20"/>
                <w:szCs w:val="20"/>
              </w:rPr>
              <w:t>Cibest</w:t>
            </w:r>
            <w:proofErr w:type="spellEnd"/>
            <w:r>
              <w:rPr>
                <w:color w:val="111111"/>
                <w:sz w:val="20"/>
                <w:szCs w:val="20"/>
              </w:rPr>
              <w:t xml:space="preserve"> (configuración, ejecución y validación técnica del modelo). Comité Ejecutivo (sesión de elicitación de pesos — 90 minutos). Director de Estrategia Corporativa (revisión y aprobación de los entregables antes de presentar al Comité).</w:t>
            </w:r>
          </w:p>
        </w:tc>
      </w:tr>
      <w:tr w:rsidR="00933177" w14:paraId="4A95920E"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F028747" w14:textId="77777777" w:rsidR="00933177" w:rsidRDefault="00933177" w:rsidP="001F40FE">
            <w:r>
              <w:rPr>
                <w:b/>
                <w:bCs/>
                <w:color w:val="111111"/>
                <w:sz w:val="20"/>
                <w:szCs w:val="20"/>
              </w:rPr>
              <w:t>Tiempo estimado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F0C6BEF" w14:textId="77777777" w:rsidR="00933177" w:rsidRDefault="00933177" w:rsidP="001F40FE">
            <w:r>
              <w:rPr>
                <w:color w:val="111111"/>
                <w:sz w:val="20"/>
                <w:szCs w:val="20"/>
              </w:rPr>
              <w:t xml:space="preserve">8 a 10 semanas desde el inicio de la extracción de datos hasta la entrega final de los cuatro entregables. Esta fase se desarrolla en paralelo con las </w:t>
            </w:r>
            <w:r>
              <w:rPr>
                <w:color w:val="111111"/>
                <w:sz w:val="20"/>
                <w:szCs w:val="20"/>
              </w:rPr>
              <w:lastRenderedPageBreak/>
              <w:t>Fases 1 y 2: la extracción de datos de las 35 variables puede iniciarse tan pronto como el universo de mercados esté definido, sin esperar la aprobación del DOEI. La sesión de elicitación con el Comité se agenda para la semana 4 o 5.</w:t>
            </w:r>
          </w:p>
        </w:tc>
      </w:tr>
    </w:tbl>
    <w:p w14:paraId="67110205" w14:textId="77777777" w:rsidR="00933177" w:rsidRDefault="00933177" w:rsidP="00933177">
      <w:r>
        <w:lastRenderedPageBreak/>
        <w:br w:type="page"/>
      </w:r>
    </w:p>
    <w:p w14:paraId="128758FA" w14:textId="77777777" w:rsidR="00933177" w:rsidRPr="00A56D47" w:rsidRDefault="00933177" w:rsidP="00933177">
      <w:pPr>
        <w:pStyle w:val="Ttulo1"/>
        <w:ind w:left="200" w:right="200"/>
        <w:rPr>
          <w:color w:val="auto"/>
        </w:rPr>
      </w:pPr>
      <w:bookmarkStart w:id="46" w:name="_Toc232659595"/>
      <w:r w:rsidRPr="00A56D47">
        <w:rPr>
          <w:color w:val="auto"/>
        </w:rPr>
        <w:lastRenderedPageBreak/>
        <w:t>Sección 6 — Fase 4: Inteligencia Estratégica Cualitativa</w:t>
      </w:r>
      <w:bookmarkEnd w:id="46"/>
    </w:p>
    <w:p w14:paraId="6D6D3C85" w14:textId="77777777" w:rsidR="00933177" w:rsidRDefault="00933177" w:rsidP="00933177">
      <w:pPr>
        <w:spacing w:after="100"/>
      </w:pPr>
    </w:p>
    <w:p w14:paraId="12B7A205" w14:textId="77777777" w:rsidR="00933177" w:rsidRDefault="00933177" w:rsidP="00933177">
      <w:pPr>
        <w:spacing w:before="140" w:after="140" w:line="320" w:lineRule="auto"/>
        <w:jc w:val="both"/>
      </w:pPr>
      <w:r>
        <w:rPr>
          <w:color w:val="111111"/>
        </w:rPr>
        <w:t xml:space="preserve">La fase de inteligencia estratégica cualitativa es la que transforma los resultados del modelo cuantitativo RADAR — que son señales sobre condiciones estructurales de los mercados — en comprensión accionable sobre si Grupo </w:t>
      </w:r>
      <w:proofErr w:type="spellStart"/>
      <w:r>
        <w:rPr>
          <w:color w:val="111111"/>
        </w:rPr>
        <w:t>Cibest</w:t>
      </w:r>
      <w:proofErr w:type="spellEnd"/>
      <w:r>
        <w:rPr>
          <w:color w:val="111111"/>
        </w:rPr>
        <w:t xml:space="preserve"> tiene una oportunidad real en cada mercado candidato y cuáles son las condiciones concretas que esa oportunidad requiere. Es la fase donde el análisis deja de ser sobre los mercados en abstracto y se convierte en análisis sobre la posición específica de </w:t>
      </w:r>
      <w:proofErr w:type="spellStart"/>
      <w:r>
        <w:rPr>
          <w:color w:val="111111"/>
        </w:rPr>
        <w:t>Cibest</w:t>
      </w:r>
      <w:proofErr w:type="spellEnd"/>
      <w:r>
        <w:rPr>
          <w:color w:val="111111"/>
        </w:rPr>
        <w:t xml:space="preserve"> en esos mercados. Ningún modelo cuantitativo, por sofisticado que sea, puede realizar este trabajo: requiere investigación directa, consulta con expertos locales, lectura de dinámica competitiva y evaluación del encaje entre el modelo de negocio de </w:t>
      </w:r>
      <w:proofErr w:type="spellStart"/>
      <w:r>
        <w:rPr>
          <w:color w:val="111111"/>
        </w:rPr>
        <w:t>Cibest</w:t>
      </w:r>
      <w:proofErr w:type="spellEnd"/>
      <w:r>
        <w:rPr>
          <w:color w:val="111111"/>
        </w:rPr>
        <w:t xml:space="preserve"> y las condiciones específicas del mercado destino.</w:t>
      </w:r>
    </w:p>
    <w:p w14:paraId="29CF5C48" w14:textId="77777777" w:rsidR="00933177" w:rsidRDefault="00933177" w:rsidP="00933177">
      <w:pPr>
        <w:spacing w:after="100"/>
      </w:pPr>
    </w:p>
    <w:p w14:paraId="1313EE0E" w14:textId="77777777" w:rsidR="00933177" w:rsidRDefault="00933177" w:rsidP="00933177">
      <w:pPr>
        <w:pStyle w:val="Ttulo2"/>
        <w:pBdr>
          <w:bottom w:val="single" w:sz="4" w:space="4" w:color="E8B931"/>
        </w:pBdr>
      </w:pPr>
      <w:bookmarkStart w:id="47" w:name="_Toc232659596"/>
      <w:proofErr w:type="gramStart"/>
      <w:r>
        <w:t>6.1  Por</w:t>
      </w:r>
      <w:proofErr w:type="gramEnd"/>
      <w:r>
        <w:t xml:space="preserve"> qué el modelo cuantitativo no es suficiente</w:t>
      </w:r>
      <w:bookmarkEnd w:id="47"/>
    </w:p>
    <w:p w14:paraId="7EA055E4" w14:textId="77777777" w:rsidR="00933177" w:rsidRDefault="00933177" w:rsidP="00933177">
      <w:pPr>
        <w:spacing w:before="140" w:after="140" w:line="320" w:lineRule="auto"/>
        <w:jc w:val="both"/>
      </w:pPr>
      <w:r>
        <w:rPr>
          <w:color w:val="111111"/>
        </w:rPr>
        <w:t xml:space="preserve">Las limitaciones estructurales del modelo RADAR </w:t>
      </w:r>
      <w:proofErr w:type="spellStart"/>
      <w:r>
        <w:rPr>
          <w:color w:val="111111"/>
        </w:rPr>
        <w:t>Cibest</w:t>
      </w:r>
      <w:proofErr w:type="spellEnd"/>
      <w:r>
        <w:rPr>
          <w:color w:val="111111"/>
        </w:rPr>
        <w:t xml:space="preserve"> —y de cualquier modelo cuantitativo de selección de mercados— no son fallas de diseño: son restricciones inherentes al tipo de conocimiento que el análisis estadístico de datos históricos puede producir. Identificarlas con precisión es importante no para desestimar el modelo, sino para saber exactamente qué le falta al análisis cuantitativo y qué debe aportarle el análisis cualitativo.</w:t>
      </w:r>
    </w:p>
    <w:p w14:paraId="680BFE9E" w14:textId="77777777" w:rsidR="00933177" w:rsidRDefault="00933177" w:rsidP="00933177">
      <w:pPr>
        <w:spacing w:before="140" w:after="140" w:line="320" w:lineRule="auto"/>
        <w:jc w:val="both"/>
      </w:pPr>
      <w:r>
        <w:rPr>
          <w:color w:val="111111"/>
        </w:rPr>
        <w:t xml:space="preserve">Los datos históricos no capturan dinámicas en curso. Las treinta y cinco variables del modelo RADAR utilizan la última observación disponible para cada indicador: la más reciente puede ser de hace uno o dos años, y en ese tiempo el regulador de un país puede haber emitido una nueva normativa sobre activos digitales, el banco central puede haber implementado un programa de digitalización masiva, o un nuevo competidor puede haber capturado el segmento donde </w:t>
      </w:r>
      <w:proofErr w:type="spellStart"/>
      <w:r>
        <w:rPr>
          <w:color w:val="111111"/>
        </w:rPr>
        <w:t>Cibest</w:t>
      </w:r>
      <w:proofErr w:type="spellEnd"/>
      <w:r>
        <w:rPr>
          <w:color w:val="111111"/>
        </w:rPr>
        <w:t xml:space="preserve"> tenía intención de entrar. El modelo trabaja con el pasado observable; la decisión de entrada se ejecuta en el futuro.</w:t>
      </w:r>
    </w:p>
    <w:p w14:paraId="2F33D7BB" w14:textId="77777777" w:rsidR="00933177" w:rsidRDefault="00933177" w:rsidP="00933177">
      <w:pPr>
        <w:spacing w:before="140" w:after="140" w:line="320" w:lineRule="auto"/>
        <w:jc w:val="both"/>
      </w:pPr>
      <w:r>
        <w:rPr>
          <w:color w:val="111111"/>
        </w:rPr>
        <w:t xml:space="preserve">Las variables observables no capturan factores relacionales, reputacionales y de ecosistema. El WGI captura la calidad regulatoria en promedio para todos los sectores económicos; no captura la posición del regulador financiero específico sobre bancos extranjeros, que puede diferir significativamente del promedio. La capitalización bursátil captura el tamaño del mercado de capitales; no captura si ese mercado tiene los </w:t>
      </w:r>
      <w:proofErr w:type="spellStart"/>
      <w:r>
        <w:rPr>
          <w:color w:val="111111"/>
        </w:rPr>
        <w:t>brokers</w:t>
      </w:r>
      <w:proofErr w:type="spellEnd"/>
      <w:r>
        <w:rPr>
          <w:color w:val="111111"/>
        </w:rPr>
        <w:t xml:space="preserve">, asesores y estructuradores con quienes </w:t>
      </w:r>
      <w:proofErr w:type="spellStart"/>
      <w:r>
        <w:rPr>
          <w:color w:val="111111"/>
        </w:rPr>
        <w:t>Cibest</w:t>
      </w:r>
      <w:proofErr w:type="spellEnd"/>
      <w:r>
        <w:rPr>
          <w:color w:val="111111"/>
        </w:rPr>
        <w:t xml:space="preserve"> necesitaría relacionarse para operar CIB. La prima de riesgo país captura lo que los mercados internacionales piensan del riesgo soberano; no captura lo que el mercado local piensa sobre el riesgo de un banco extranjero específico.</w:t>
      </w:r>
    </w:p>
    <w:p w14:paraId="72E7DCB9" w14:textId="77777777" w:rsidR="00933177" w:rsidRDefault="00933177" w:rsidP="00933177">
      <w:pPr>
        <w:spacing w:before="140" w:after="140" w:line="320" w:lineRule="auto"/>
        <w:jc w:val="both"/>
      </w:pPr>
      <w:r>
        <w:rPr>
          <w:color w:val="111111"/>
        </w:rPr>
        <w:lastRenderedPageBreak/>
        <w:t xml:space="preserve">El modelo es agnóstico a la estrategia de los competidores. El índice de concentración bancaria HHI captura la estructura competitiva del mercado, pero no dice nada sobre si el tercer banco local está en proceso de adquisición por un competidor de </w:t>
      </w:r>
      <w:proofErr w:type="spellStart"/>
      <w:r>
        <w:rPr>
          <w:color w:val="111111"/>
        </w:rPr>
        <w:t>Cibest</w:t>
      </w:r>
      <w:proofErr w:type="spellEnd"/>
      <w:r>
        <w:rPr>
          <w:color w:val="111111"/>
        </w:rPr>
        <w:t xml:space="preserve">, si una </w:t>
      </w:r>
      <w:proofErr w:type="spellStart"/>
      <w:r>
        <w:rPr>
          <w:color w:val="111111"/>
        </w:rPr>
        <w:t>fintech</w:t>
      </w:r>
      <w:proofErr w:type="spellEnd"/>
      <w:r>
        <w:rPr>
          <w:color w:val="111111"/>
        </w:rPr>
        <w:t xml:space="preserve"> internacional acaba de recibir licencia en ese mercado, o si el banco con quien </w:t>
      </w:r>
      <w:proofErr w:type="spellStart"/>
      <w:r>
        <w:rPr>
          <w:color w:val="111111"/>
        </w:rPr>
        <w:t>Cibest</w:t>
      </w:r>
      <w:proofErr w:type="spellEnd"/>
      <w:r>
        <w:rPr>
          <w:color w:val="111111"/>
        </w:rPr>
        <w:t xml:space="preserve"> podría asociarse está en conversaciones con otro socio. La inteligencia competitiva es, por definición, dinámica e individual, y no puede ser capturada por ningún indicador estadístico de corte transversal.</w:t>
      </w:r>
    </w:p>
    <w:p w14:paraId="440BA376" w14:textId="77777777" w:rsidR="00933177" w:rsidRDefault="00933177" w:rsidP="00933177">
      <w:pPr>
        <w:spacing w:after="100"/>
      </w:pPr>
    </w:p>
    <w:p w14:paraId="0D8AC242" w14:textId="77777777" w:rsidR="00933177" w:rsidRDefault="00933177" w:rsidP="00933177">
      <w:pPr>
        <w:pStyle w:val="Ttulo2"/>
        <w:pBdr>
          <w:bottom w:val="single" w:sz="4" w:space="4" w:color="E8B931"/>
        </w:pBdr>
      </w:pPr>
      <w:bookmarkStart w:id="48" w:name="_Toc232659597"/>
      <w:proofErr w:type="gramStart"/>
      <w:r>
        <w:t>6.2  Los</w:t>
      </w:r>
      <w:proofErr w:type="gramEnd"/>
      <w:r>
        <w:t xml:space="preserve"> cuatro bloques de inteligencia cualitativa</w:t>
      </w:r>
      <w:bookmarkEnd w:id="48"/>
    </w:p>
    <w:p w14:paraId="1F4B1008" w14:textId="77777777" w:rsidR="00933177" w:rsidRDefault="00933177" w:rsidP="00933177">
      <w:pPr>
        <w:spacing w:before="140" w:after="140" w:line="320" w:lineRule="auto"/>
        <w:jc w:val="both"/>
      </w:pPr>
      <w:r>
        <w:rPr>
          <w:color w:val="111111"/>
        </w:rPr>
        <w:t>La inteligencia cualitativa se organiza en cuatro bloques temáticos, cada uno orientado a responder un tipo específico de pregunta que el modelo cuantitativo no puede responder. Cada bloque tiene fuentes primarias y secundarias diferenciadas, y sus hallazgos se articulan directamente con el perfil de debilidades que RADAR identificó para ese mercado.</w:t>
      </w:r>
    </w:p>
    <w:p w14:paraId="1DB2C346" w14:textId="77777777" w:rsidR="00933177" w:rsidRDefault="00933177" w:rsidP="00933177">
      <w:pPr>
        <w:spacing w:after="100"/>
      </w:pPr>
    </w:p>
    <w:p w14:paraId="6DFA0907" w14:textId="77777777" w:rsidR="00933177" w:rsidRDefault="00933177" w:rsidP="00933177">
      <w:pPr>
        <w:pStyle w:val="Ttulo3"/>
      </w:pPr>
      <w:bookmarkStart w:id="49" w:name="_Toc232659598"/>
      <w:r>
        <w:t>Bloque 1 — Inteligencia de ecosistema regulatorio</w:t>
      </w:r>
      <w:bookmarkEnd w:id="49"/>
    </w:p>
    <w:p w14:paraId="2C393F04" w14:textId="77777777" w:rsidR="00933177" w:rsidRDefault="00933177" w:rsidP="00933177">
      <w:pPr>
        <w:spacing w:before="140" w:after="140" w:line="320" w:lineRule="auto"/>
        <w:jc w:val="both"/>
      </w:pPr>
      <w:r>
        <w:rPr>
          <w:color w:val="111111"/>
        </w:rPr>
        <w:t xml:space="preserve">La inteligencia regulatoria va más allá de lo que captura el WGI y el índice de Heritage. El WGI evalúa la calidad regulatoria promedio de una economía a lo largo del tiempo y en todos sus sectores; lo que importa para </w:t>
      </w:r>
      <w:proofErr w:type="spellStart"/>
      <w:r>
        <w:rPr>
          <w:color w:val="111111"/>
        </w:rPr>
        <w:t>Cibest</w:t>
      </w:r>
      <w:proofErr w:type="spellEnd"/>
      <w:r>
        <w:rPr>
          <w:color w:val="111111"/>
        </w:rPr>
        <w:t xml:space="preserve"> es la posición actual y la dinámica del regulador financiero específico en cada mercado candidato. ¿Está la Superintendencia Bancaria de ese país abriendo o cerrando la puerta a bancos extranjeros? ¿Ha habido licencias otorgadas o denegadas recientemente, y en qué condiciones? ¿Hay una reforma regulatoria en proceso que podría cambiar las condiciones de entrada en el horizonte de dos a tres años de </w:t>
      </w:r>
      <w:proofErr w:type="spellStart"/>
      <w:r>
        <w:rPr>
          <w:color w:val="111111"/>
        </w:rPr>
        <w:t>Cibest</w:t>
      </w:r>
      <w:proofErr w:type="spellEnd"/>
      <w:r>
        <w:rPr>
          <w:color w:val="111111"/>
        </w:rPr>
        <w:t xml:space="preserve">? ¿Cuál es la posición conocida del Banco Central sobre los activos digitales, los </w:t>
      </w:r>
      <w:proofErr w:type="spellStart"/>
      <w:r>
        <w:rPr>
          <w:color w:val="111111"/>
        </w:rPr>
        <w:t>neobancos</w:t>
      </w:r>
      <w:proofErr w:type="spellEnd"/>
      <w:r>
        <w:rPr>
          <w:color w:val="111111"/>
        </w:rPr>
        <w:t xml:space="preserve"> o la corresponsalía bancaria con entidades extranjeras?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9"/>
        <w:gridCol w:w="3050"/>
        <w:gridCol w:w="3951"/>
      </w:tblGrid>
      <w:tr w:rsidR="00933177" w14:paraId="549DE296" w14:textId="77777777" w:rsidTr="00800E51">
        <w:tc>
          <w:tcPr>
            <w:tcW w:w="27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2B333E77" w14:textId="77777777" w:rsidR="00933177" w:rsidRDefault="00933177" w:rsidP="001F40FE">
            <w:r>
              <w:rPr>
                <w:b/>
                <w:bCs/>
                <w:color w:val="FFFFFF"/>
                <w:sz w:val="20"/>
                <w:szCs w:val="20"/>
              </w:rPr>
              <w:t>Pregunta regulatoria clave</w:t>
            </w:r>
          </w:p>
        </w:tc>
        <w:tc>
          <w:tcPr>
            <w:tcW w:w="348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67F0360B" w14:textId="77777777" w:rsidR="00933177" w:rsidRDefault="00933177" w:rsidP="001F40FE">
            <w:r>
              <w:rPr>
                <w:b/>
                <w:bCs/>
                <w:color w:val="FFFFFF"/>
                <w:sz w:val="20"/>
                <w:szCs w:val="20"/>
              </w:rPr>
              <w:t>Fuente primaria</w:t>
            </w:r>
          </w:p>
        </w:tc>
        <w:tc>
          <w:tcPr>
            <w:tcW w:w="318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05562389" w14:textId="77777777" w:rsidR="00933177" w:rsidRDefault="00933177" w:rsidP="001F40FE">
            <w:r>
              <w:rPr>
                <w:b/>
                <w:bCs/>
                <w:color w:val="FFFFFF"/>
                <w:sz w:val="20"/>
                <w:szCs w:val="20"/>
              </w:rPr>
              <w:t>Fuente secundaria / alternativa</w:t>
            </w:r>
          </w:p>
        </w:tc>
      </w:tr>
      <w:tr w:rsidR="00933177" w14:paraId="27CE9903" w14:textId="77777777" w:rsidTr="00800E51">
        <w:tc>
          <w:tcPr>
            <w:tcW w:w="27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80A6796" w14:textId="77777777" w:rsidR="00933177" w:rsidRDefault="00933177" w:rsidP="001F40FE">
            <w:r>
              <w:rPr>
                <w:color w:val="111111"/>
                <w:sz w:val="20"/>
                <w:szCs w:val="20"/>
              </w:rPr>
              <w:t>¿Ha otorgado el regulador licencias a bancos extranjeros en los últimos 3 años?</w:t>
            </w:r>
          </w:p>
        </w:tc>
        <w:tc>
          <w:tcPr>
            <w:tcW w:w="3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234D030" w14:textId="77777777" w:rsidR="00933177" w:rsidRDefault="00933177" w:rsidP="001F40FE">
            <w:r>
              <w:rPr>
                <w:color w:val="111111"/>
                <w:sz w:val="20"/>
                <w:szCs w:val="20"/>
              </w:rPr>
              <w:t>Superintendencia bancaria del país (sitio web oficial, memoria anual)</w:t>
            </w:r>
          </w:p>
        </w:tc>
        <w:tc>
          <w:tcPr>
            <w:tcW w:w="31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F23B474" w14:textId="77777777" w:rsidR="00933177" w:rsidRDefault="00933177" w:rsidP="001F40FE">
            <w:r>
              <w:rPr>
                <w:color w:val="111111"/>
                <w:sz w:val="20"/>
                <w:szCs w:val="20"/>
              </w:rPr>
              <w:t>Informes FSAP del FMI: https://www.imf.org/en/Publications/FSSA</w:t>
            </w:r>
          </w:p>
        </w:tc>
      </w:tr>
      <w:tr w:rsidR="00933177" w14:paraId="5ED4AA4C" w14:textId="77777777" w:rsidTr="00800E51">
        <w:tc>
          <w:tcPr>
            <w:tcW w:w="27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BD0DDE2" w14:textId="77777777" w:rsidR="00933177" w:rsidRDefault="00933177" w:rsidP="001F40FE">
            <w:r>
              <w:rPr>
                <w:color w:val="111111"/>
                <w:sz w:val="20"/>
                <w:szCs w:val="20"/>
              </w:rPr>
              <w:t xml:space="preserve">¿Existe un </w:t>
            </w:r>
            <w:proofErr w:type="spellStart"/>
            <w:r>
              <w:rPr>
                <w:color w:val="111111"/>
                <w:sz w:val="20"/>
                <w:szCs w:val="20"/>
              </w:rPr>
              <w:t>sandbox</w:t>
            </w:r>
            <w:proofErr w:type="spellEnd"/>
            <w:r>
              <w:rPr>
                <w:color w:val="111111"/>
                <w:sz w:val="20"/>
                <w:szCs w:val="20"/>
              </w:rPr>
              <w:t xml:space="preserve"> regulatorio </w:t>
            </w:r>
            <w:proofErr w:type="spellStart"/>
            <w:r>
              <w:rPr>
                <w:color w:val="111111"/>
                <w:sz w:val="20"/>
                <w:szCs w:val="20"/>
              </w:rPr>
              <w:t>fintech</w:t>
            </w:r>
            <w:proofErr w:type="spellEnd"/>
            <w:r>
              <w:rPr>
                <w:color w:val="111111"/>
                <w:sz w:val="20"/>
                <w:szCs w:val="20"/>
              </w:rPr>
              <w:t xml:space="preserve"> activo o planeado?</w:t>
            </w:r>
          </w:p>
        </w:tc>
        <w:tc>
          <w:tcPr>
            <w:tcW w:w="3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6DD001E" w14:textId="77777777" w:rsidR="00933177" w:rsidRDefault="00933177" w:rsidP="001F40FE">
            <w:r>
              <w:rPr>
                <w:color w:val="111111"/>
                <w:sz w:val="20"/>
                <w:szCs w:val="20"/>
              </w:rPr>
              <w:t>Banco Central del país (comunicados y regulaciones)</w:t>
            </w:r>
          </w:p>
        </w:tc>
        <w:tc>
          <w:tcPr>
            <w:tcW w:w="31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75A50A4" w14:textId="77777777" w:rsidR="00933177" w:rsidRDefault="00933177" w:rsidP="001F40FE">
            <w:r>
              <w:rPr>
                <w:color w:val="111111"/>
                <w:sz w:val="20"/>
                <w:szCs w:val="20"/>
              </w:rPr>
              <w:t xml:space="preserve">BID — Fintech </w:t>
            </w:r>
            <w:proofErr w:type="spellStart"/>
            <w:r>
              <w:rPr>
                <w:color w:val="111111"/>
                <w:sz w:val="20"/>
                <w:szCs w:val="20"/>
              </w:rPr>
              <w:t>Latam</w:t>
            </w:r>
            <w:proofErr w:type="spellEnd"/>
            <w:r>
              <w:rPr>
                <w:color w:val="111111"/>
                <w:sz w:val="20"/>
                <w:szCs w:val="20"/>
              </w:rPr>
              <w:t>: https://publications.iadb.org | CAF: https://www.caf.com</w:t>
            </w:r>
          </w:p>
        </w:tc>
      </w:tr>
      <w:tr w:rsidR="00933177" w14:paraId="7E154E7C" w14:textId="77777777" w:rsidTr="00800E51">
        <w:tc>
          <w:tcPr>
            <w:tcW w:w="27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F96163B" w14:textId="77777777" w:rsidR="00933177" w:rsidRDefault="00933177" w:rsidP="001F40FE">
            <w:r>
              <w:rPr>
                <w:color w:val="111111"/>
                <w:sz w:val="20"/>
                <w:szCs w:val="20"/>
              </w:rPr>
              <w:t>¿Cuál es el capital mínimo exigido para licencia bancaria comercial?</w:t>
            </w:r>
          </w:p>
        </w:tc>
        <w:tc>
          <w:tcPr>
            <w:tcW w:w="3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BDF8922" w14:textId="77777777" w:rsidR="00933177" w:rsidRDefault="00933177" w:rsidP="001F40FE">
            <w:r>
              <w:rPr>
                <w:color w:val="111111"/>
                <w:sz w:val="20"/>
                <w:szCs w:val="20"/>
              </w:rPr>
              <w:t>Ley bancaria y normativa de la Superintendencia</w:t>
            </w:r>
          </w:p>
        </w:tc>
        <w:tc>
          <w:tcPr>
            <w:tcW w:w="31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99CC3EE" w14:textId="77777777" w:rsidR="00933177" w:rsidRDefault="00933177" w:rsidP="001F40FE">
            <w:r>
              <w:rPr>
                <w:color w:val="111111"/>
                <w:sz w:val="20"/>
                <w:szCs w:val="20"/>
              </w:rPr>
              <w:t xml:space="preserve">Baker McKenzie — </w:t>
            </w:r>
            <w:proofErr w:type="spellStart"/>
            <w:r>
              <w:rPr>
                <w:color w:val="111111"/>
                <w:sz w:val="20"/>
                <w:szCs w:val="20"/>
              </w:rPr>
              <w:t>Banking</w:t>
            </w:r>
            <w:proofErr w:type="spellEnd"/>
            <w:r>
              <w:rPr>
                <w:color w:val="111111"/>
                <w:sz w:val="20"/>
                <w:szCs w:val="20"/>
              </w:rPr>
              <w:t xml:space="preserve"> </w:t>
            </w:r>
            <w:proofErr w:type="spellStart"/>
            <w:r>
              <w:rPr>
                <w:color w:val="111111"/>
                <w:sz w:val="20"/>
                <w:szCs w:val="20"/>
              </w:rPr>
              <w:t>Regulatory</w:t>
            </w:r>
            <w:proofErr w:type="spellEnd"/>
            <w:r>
              <w:rPr>
                <w:color w:val="111111"/>
                <w:sz w:val="20"/>
                <w:szCs w:val="20"/>
              </w:rPr>
              <w:t xml:space="preserve"> Guide; Garrigues — Guía de inversión</w:t>
            </w:r>
          </w:p>
        </w:tc>
      </w:tr>
      <w:tr w:rsidR="00933177" w14:paraId="7076615A" w14:textId="77777777" w:rsidTr="00800E51">
        <w:tc>
          <w:tcPr>
            <w:tcW w:w="27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270E0C3" w14:textId="77777777" w:rsidR="00933177" w:rsidRDefault="00933177" w:rsidP="001F40FE">
            <w:r>
              <w:rPr>
                <w:color w:val="111111"/>
                <w:sz w:val="20"/>
                <w:szCs w:val="20"/>
              </w:rPr>
              <w:lastRenderedPageBreak/>
              <w:t>¿Hay restricciones a la repatriación de utilidades o controles de cambio?</w:t>
            </w:r>
          </w:p>
        </w:tc>
        <w:tc>
          <w:tcPr>
            <w:tcW w:w="3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F6B5A1B" w14:textId="77777777" w:rsidR="00933177" w:rsidRDefault="00933177" w:rsidP="001F40FE">
            <w:r>
              <w:rPr>
                <w:color w:val="111111"/>
                <w:sz w:val="20"/>
                <w:szCs w:val="20"/>
              </w:rPr>
              <w:t>Banco Central del país (normativa cambiaria)</w:t>
            </w:r>
          </w:p>
        </w:tc>
        <w:tc>
          <w:tcPr>
            <w:tcW w:w="31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46C794E" w14:textId="77777777" w:rsidR="00933177" w:rsidRDefault="00933177" w:rsidP="001F40FE">
            <w:r>
              <w:rPr>
                <w:color w:val="111111"/>
                <w:sz w:val="20"/>
                <w:szCs w:val="20"/>
              </w:rPr>
              <w:t xml:space="preserve">Oxford </w:t>
            </w:r>
            <w:proofErr w:type="spellStart"/>
            <w:r>
              <w:rPr>
                <w:color w:val="111111"/>
                <w:sz w:val="20"/>
                <w:szCs w:val="20"/>
              </w:rPr>
              <w:t>Analytica</w:t>
            </w:r>
            <w:proofErr w:type="spellEnd"/>
            <w:r>
              <w:rPr>
                <w:color w:val="111111"/>
                <w:sz w:val="20"/>
                <w:szCs w:val="20"/>
              </w:rPr>
              <w:t xml:space="preserve">, Economist </w:t>
            </w:r>
            <w:proofErr w:type="spellStart"/>
            <w:r>
              <w:rPr>
                <w:color w:val="111111"/>
                <w:sz w:val="20"/>
                <w:szCs w:val="20"/>
              </w:rPr>
              <w:t>Intelligence</w:t>
            </w:r>
            <w:proofErr w:type="spellEnd"/>
            <w:r>
              <w:rPr>
                <w:color w:val="111111"/>
                <w:sz w:val="20"/>
                <w:szCs w:val="20"/>
              </w:rPr>
              <w:t xml:space="preserve"> </w:t>
            </w:r>
            <w:proofErr w:type="spellStart"/>
            <w:r>
              <w:rPr>
                <w:color w:val="111111"/>
                <w:sz w:val="20"/>
                <w:szCs w:val="20"/>
              </w:rPr>
              <w:t>Unit</w:t>
            </w:r>
            <w:proofErr w:type="spellEnd"/>
            <w:r>
              <w:rPr>
                <w:color w:val="111111"/>
                <w:sz w:val="20"/>
                <w:szCs w:val="20"/>
              </w:rPr>
              <w:t>: https://www.eiu.com</w:t>
            </w:r>
          </w:p>
        </w:tc>
      </w:tr>
      <w:tr w:rsidR="00933177" w14:paraId="044E68BB" w14:textId="77777777" w:rsidTr="00800E51">
        <w:tc>
          <w:tcPr>
            <w:tcW w:w="27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881A67F" w14:textId="77777777" w:rsidR="00933177" w:rsidRDefault="00933177" w:rsidP="001F40FE">
            <w:r>
              <w:rPr>
                <w:color w:val="111111"/>
                <w:sz w:val="20"/>
                <w:szCs w:val="20"/>
              </w:rPr>
              <w:t>¿Cuál es el tratamiento fiscal de operaciones financieras de entidades extranjeras?</w:t>
            </w:r>
          </w:p>
        </w:tc>
        <w:tc>
          <w:tcPr>
            <w:tcW w:w="3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0DCFFB8" w14:textId="77777777" w:rsidR="00933177" w:rsidRDefault="00933177" w:rsidP="001F40FE">
            <w:r>
              <w:rPr>
                <w:color w:val="111111"/>
                <w:sz w:val="20"/>
                <w:szCs w:val="20"/>
              </w:rPr>
              <w:t>Autoridad tributaria del país (código tributario)</w:t>
            </w:r>
          </w:p>
        </w:tc>
        <w:tc>
          <w:tcPr>
            <w:tcW w:w="31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94B2EC7" w14:textId="77777777" w:rsidR="00933177" w:rsidRDefault="00933177" w:rsidP="001F40FE">
            <w:r>
              <w:rPr>
                <w:color w:val="111111"/>
                <w:sz w:val="20"/>
                <w:szCs w:val="20"/>
              </w:rPr>
              <w:t xml:space="preserve">PwC — </w:t>
            </w:r>
            <w:proofErr w:type="spellStart"/>
            <w:r>
              <w:rPr>
                <w:color w:val="111111"/>
                <w:sz w:val="20"/>
                <w:szCs w:val="20"/>
              </w:rPr>
              <w:t>Worldwide</w:t>
            </w:r>
            <w:proofErr w:type="spellEnd"/>
            <w:r>
              <w:rPr>
                <w:color w:val="111111"/>
                <w:sz w:val="20"/>
                <w:szCs w:val="20"/>
              </w:rPr>
              <w:t xml:space="preserve"> Tax </w:t>
            </w:r>
            <w:proofErr w:type="spellStart"/>
            <w:r>
              <w:rPr>
                <w:color w:val="111111"/>
                <w:sz w:val="20"/>
                <w:szCs w:val="20"/>
              </w:rPr>
              <w:t>Summaries</w:t>
            </w:r>
            <w:proofErr w:type="spellEnd"/>
            <w:r>
              <w:rPr>
                <w:color w:val="111111"/>
                <w:sz w:val="20"/>
                <w:szCs w:val="20"/>
              </w:rPr>
              <w:t>: https://taxsummaries.pwc.com</w:t>
            </w:r>
          </w:p>
        </w:tc>
      </w:tr>
    </w:tbl>
    <w:p w14:paraId="4F1478A4" w14:textId="77777777" w:rsidR="00933177" w:rsidRDefault="00933177" w:rsidP="00933177">
      <w:pPr>
        <w:spacing w:after="100"/>
      </w:pPr>
    </w:p>
    <w:p w14:paraId="5F6519F2" w14:textId="77777777" w:rsidR="00933177" w:rsidRDefault="00933177" w:rsidP="00933177">
      <w:pPr>
        <w:pStyle w:val="Ttulo3"/>
      </w:pPr>
      <w:bookmarkStart w:id="50" w:name="_Toc232659599"/>
      <w:r>
        <w:t>Bloque 2 — Inteligencia competitiva</w:t>
      </w:r>
      <w:bookmarkEnd w:id="50"/>
    </w:p>
    <w:p w14:paraId="44A1481C" w14:textId="77777777" w:rsidR="00933177" w:rsidRDefault="00933177" w:rsidP="00933177">
      <w:pPr>
        <w:spacing w:before="140" w:after="140" w:line="320" w:lineRule="auto"/>
        <w:jc w:val="both"/>
      </w:pPr>
      <w:r>
        <w:rPr>
          <w:color w:val="111111"/>
        </w:rPr>
        <w:t xml:space="preserve">El análisis competitivo del mercado responde preguntas que el índice de concentración bancaria del modelo RADAR no puede responder: ¿quiénes son los competidores que </w:t>
      </w:r>
      <w:proofErr w:type="spellStart"/>
      <w:r>
        <w:rPr>
          <w:color w:val="111111"/>
        </w:rPr>
        <w:t>Cibest</w:t>
      </w:r>
      <w:proofErr w:type="spellEnd"/>
      <w:r>
        <w:rPr>
          <w:color w:val="111111"/>
        </w:rPr>
        <w:t xml:space="preserve"> enfrentaría en ese mercado, </w:t>
      </w:r>
      <w:proofErr w:type="gramStart"/>
      <w:r>
        <w:rPr>
          <w:color w:val="111111"/>
        </w:rPr>
        <w:t>cuáles son sus fortalezas explotables por un entrante eficiente, y cuáles son sus debilidades?</w:t>
      </w:r>
      <w:proofErr w:type="gramEnd"/>
      <w:r>
        <w:rPr>
          <w:color w:val="111111"/>
        </w:rPr>
        <w:t xml:space="preserve"> ¿Hay otros bancos latinoamericanos presentes en ese mercado, con qué propuesta de valor, con qué resultados financieros y con qué capacidad de reacción ante la entrada de </w:t>
      </w:r>
      <w:proofErr w:type="spellStart"/>
      <w:r>
        <w:rPr>
          <w:color w:val="111111"/>
        </w:rPr>
        <w:t>Cibest</w:t>
      </w:r>
      <w:proofErr w:type="spellEnd"/>
      <w:r>
        <w:rPr>
          <w:color w:val="111111"/>
        </w:rPr>
        <w:t xml:space="preserve">? ¿Hay una </w:t>
      </w:r>
      <w:proofErr w:type="spellStart"/>
      <w:r>
        <w:rPr>
          <w:color w:val="111111"/>
        </w:rPr>
        <w:t>fintech</w:t>
      </w:r>
      <w:proofErr w:type="spellEnd"/>
      <w:r>
        <w:rPr>
          <w:color w:val="111111"/>
        </w:rPr>
        <w:t xml:space="preserve"> regional que ya está atendiendo el segmento objetivo de </w:t>
      </w:r>
      <w:proofErr w:type="spellStart"/>
      <w:r>
        <w:rPr>
          <w:color w:val="111111"/>
        </w:rPr>
        <w:t>Cibest</w:t>
      </w:r>
      <w:proofErr w:type="spellEnd"/>
      <w:r>
        <w:rPr>
          <w:color w:val="111111"/>
        </w:rPr>
        <w:t>, o ese segmento está disponible para un primer ocupante?</w:t>
      </w:r>
    </w:p>
    <w:p w14:paraId="7A5822ED" w14:textId="77777777" w:rsidR="00933177" w:rsidRDefault="00933177" w:rsidP="00933177">
      <w:pPr>
        <w:spacing w:before="140" w:after="140" w:line="320" w:lineRule="auto"/>
        <w:jc w:val="both"/>
      </w:pPr>
      <w:r>
        <w:rPr>
          <w:color w:val="111111"/>
        </w:rPr>
        <w:t xml:space="preserve">La inteligencia competitiva más valiosa es la que identifica el segmento específico no atendido o mal atendido por los incumbentes, que es precisamente el espacio donde un nuevo entrante tiene la mayor probabilidad de éxito. La experiencia de </w:t>
      </w:r>
      <w:proofErr w:type="spellStart"/>
      <w:r>
        <w:rPr>
          <w:color w:val="111111"/>
        </w:rPr>
        <w:t>Nubank</w:t>
      </w:r>
      <w:proofErr w:type="spellEnd"/>
      <w:r>
        <w:rPr>
          <w:color w:val="111111"/>
        </w:rPr>
        <w:t xml:space="preserve"> en Brasil, de </w:t>
      </w:r>
      <w:proofErr w:type="spellStart"/>
      <w:r>
        <w:rPr>
          <w:color w:val="111111"/>
        </w:rPr>
        <w:t>Nequi</w:t>
      </w:r>
      <w:proofErr w:type="spellEnd"/>
      <w:r>
        <w:rPr>
          <w:color w:val="111111"/>
        </w:rPr>
        <w:t xml:space="preserve"> en Colombia, o de BBVA en México ilustra que los entrantes exitosos en mercados concentrados no compiten frontalmente con los incumbentes por sus clientes actuales: identifican un segmento que los incumbentes </w:t>
      </w:r>
      <w:proofErr w:type="spellStart"/>
      <w:r>
        <w:rPr>
          <w:color w:val="111111"/>
        </w:rPr>
        <w:t>subatienden</w:t>
      </w:r>
      <w:proofErr w:type="spellEnd"/>
      <w:r>
        <w:rPr>
          <w:color w:val="111111"/>
        </w:rPr>
        <w:t xml:space="preserve"> — por costo del servicio, por complejidad del proceso de vinculación, por falta de propuesta digital — y lo sirven con un modelo de negocio que el incumbente no puede replicar sin dañar su propio negocio. La inteligencia competitiva para </w:t>
      </w:r>
      <w:proofErr w:type="spellStart"/>
      <w:r>
        <w:rPr>
          <w:color w:val="111111"/>
        </w:rPr>
        <w:t>Cibest</w:t>
      </w:r>
      <w:proofErr w:type="spellEnd"/>
      <w:r>
        <w:rPr>
          <w:color w:val="111111"/>
        </w:rPr>
        <w:t xml:space="preserve"> debe buscar ese espacio en cada mercado candidato.</w:t>
      </w:r>
    </w:p>
    <w:p w14:paraId="2240C640" w14:textId="77777777" w:rsidR="00933177" w:rsidRDefault="00933177" w:rsidP="00933177">
      <w:pPr>
        <w:spacing w:before="140" w:after="140" w:line="320" w:lineRule="auto"/>
        <w:jc w:val="both"/>
      </w:pPr>
      <w:r>
        <w:rPr>
          <w:color w:val="111111"/>
        </w:rPr>
        <w:t xml:space="preserve">Las fuentes primarias para la inteligencia competitiva incluyen: reportes anuales y memorias de gestión de los principales bancos del mercado (disponibles en los sitios web de las superintendencias bancarias de cada país), publicaciones estadísticas de las mismas superintendencias sobre participación de mercado, estados financieros consolidados de los grupos bancarios regionales con presencia en el mercado (Bancolombia, Banco de Bogotá, Davivienda, Santander, BBVA, Scotiabank, Itaú Unibanco), y reportes sectoriales de consultoras especializadas: KPMG </w:t>
      </w:r>
      <w:proofErr w:type="spellStart"/>
      <w:r>
        <w:rPr>
          <w:color w:val="111111"/>
        </w:rPr>
        <w:t>Banking</w:t>
      </w:r>
      <w:proofErr w:type="spellEnd"/>
      <w:r>
        <w:rPr>
          <w:color w:val="111111"/>
        </w:rPr>
        <w:t xml:space="preserve"> </w:t>
      </w:r>
      <w:proofErr w:type="spellStart"/>
      <w:r>
        <w:rPr>
          <w:color w:val="111111"/>
        </w:rPr>
        <w:t>Survey</w:t>
      </w:r>
      <w:proofErr w:type="spellEnd"/>
      <w:r>
        <w:rPr>
          <w:color w:val="111111"/>
        </w:rPr>
        <w:t xml:space="preserve"> para LATAM, Deloitte — </w:t>
      </w:r>
      <w:proofErr w:type="spellStart"/>
      <w:r>
        <w:rPr>
          <w:color w:val="111111"/>
        </w:rPr>
        <w:t>Financial</w:t>
      </w:r>
      <w:proofErr w:type="spellEnd"/>
      <w:r>
        <w:rPr>
          <w:color w:val="111111"/>
        </w:rPr>
        <w:t xml:space="preserve"> </w:t>
      </w:r>
      <w:proofErr w:type="spellStart"/>
      <w:r>
        <w:rPr>
          <w:color w:val="111111"/>
        </w:rPr>
        <w:t>Services</w:t>
      </w:r>
      <w:proofErr w:type="spellEnd"/>
      <w:r>
        <w:rPr>
          <w:color w:val="111111"/>
        </w:rPr>
        <w:t xml:space="preserve"> </w:t>
      </w:r>
      <w:proofErr w:type="spellStart"/>
      <w:r>
        <w:rPr>
          <w:color w:val="111111"/>
        </w:rPr>
        <w:t>Industry</w:t>
      </w:r>
      <w:proofErr w:type="spellEnd"/>
      <w:r>
        <w:rPr>
          <w:color w:val="111111"/>
        </w:rPr>
        <w:t xml:space="preserve"> Outlook, y los informes de la Federación Latinoamericana de Bancos (FELABAN) disponibles en https://www.felaban.net.</w:t>
      </w:r>
    </w:p>
    <w:p w14:paraId="2A024B4F" w14:textId="77777777" w:rsidR="00933177" w:rsidRDefault="00933177" w:rsidP="00933177">
      <w:pPr>
        <w:spacing w:after="100"/>
      </w:pPr>
    </w:p>
    <w:p w14:paraId="350FE92C" w14:textId="77777777" w:rsidR="00933177" w:rsidRDefault="00933177" w:rsidP="00933177">
      <w:pPr>
        <w:pStyle w:val="Ttulo3"/>
      </w:pPr>
      <w:bookmarkStart w:id="51" w:name="_Toc232659600"/>
      <w:r>
        <w:t>Bloque 3 — Inteligencia de cliente y demanda</w:t>
      </w:r>
      <w:bookmarkEnd w:id="51"/>
    </w:p>
    <w:p w14:paraId="3E70FDCC" w14:textId="77777777" w:rsidR="00933177" w:rsidRDefault="00933177" w:rsidP="00933177">
      <w:pPr>
        <w:spacing w:before="140" w:after="140" w:line="320" w:lineRule="auto"/>
        <w:jc w:val="both"/>
      </w:pPr>
      <w:r>
        <w:rPr>
          <w:color w:val="111111"/>
        </w:rPr>
        <w:lastRenderedPageBreak/>
        <w:t xml:space="preserve">La inteligencia de demanda responde preguntas que ni el modelo cuantitativo ni la inteligencia competitiva pueden responder por sí solos: ¿existe demanda real y suficiente para los productos de </w:t>
      </w:r>
      <w:proofErr w:type="spellStart"/>
      <w:r>
        <w:rPr>
          <w:color w:val="111111"/>
        </w:rPr>
        <w:t>Cibest</w:t>
      </w:r>
      <w:proofErr w:type="spellEnd"/>
      <w:r>
        <w:rPr>
          <w:color w:val="111111"/>
        </w:rPr>
        <w:t xml:space="preserve"> en ese mercado, en el segmento que </w:t>
      </w:r>
      <w:proofErr w:type="spellStart"/>
      <w:r>
        <w:rPr>
          <w:color w:val="111111"/>
        </w:rPr>
        <w:t>Cibest</w:t>
      </w:r>
      <w:proofErr w:type="spellEnd"/>
      <w:r>
        <w:rPr>
          <w:color w:val="111111"/>
        </w:rPr>
        <w:t xml:space="preserve"> podría atender con su modelo de negocio? ¿Cuántos colombianos viven en ese país y cuál es su perfil socioeconómico? ¿Los clientes corporativos colombianos más importantes de </w:t>
      </w:r>
      <w:proofErr w:type="spellStart"/>
      <w:r>
        <w:rPr>
          <w:color w:val="111111"/>
        </w:rPr>
        <w:t>Cibest</w:t>
      </w:r>
      <w:proofErr w:type="spellEnd"/>
      <w:r>
        <w:rPr>
          <w:color w:val="111111"/>
        </w:rPr>
        <w:t xml:space="preserve"> tienen operaciones en ese mercado que justificarían servicios de CIB locales? ¿La demanda de pagos digitales o de activos digitales en ese mercado es una demanda de frontera — de adoptantes tempranos — o es una demanda masiva en proceso de maduración?</w:t>
      </w:r>
    </w:p>
    <w:p w14:paraId="0FC55986" w14:textId="77777777" w:rsidR="00933177" w:rsidRDefault="00933177" w:rsidP="00933177">
      <w:pPr>
        <w:spacing w:before="140" w:after="140" w:line="320" w:lineRule="auto"/>
        <w:jc w:val="both"/>
      </w:pPr>
      <w:r>
        <w:rPr>
          <w:color w:val="111111"/>
        </w:rPr>
        <w:t>Para la línea de Pagos y Flujos, la fuente más precisa para estimar el potencial del corredor de remesas es la combinación del dato de salidas de colombianos al exterior por destino (DANE / Migración Colombia, disponible en https://www.migracioncolombia.gov.co) con el dato de remesas recibidas en Colombia desde ese país (Banco de la República, disponible en https://www.banrep.gov.co), y con información del Banco Mundial sobre el costo promedio de envío de remesas en ese corredor (</w:t>
      </w:r>
      <w:proofErr w:type="spellStart"/>
      <w:r>
        <w:rPr>
          <w:color w:val="111111"/>
        </w:rPr>
        <w:t>Remittance</w:t>
      </w:r>
      <w:proofErr w:type="spellEnd"/>
      <w:r>
        <w:rPr>
          <w:color w:val="111111"/>
        </w:rPr>
        <w:t xml:space="preserve"> </w:t>
      </w:r>
      <w:proofErr w:type="spellStart"/>
      <w:r>
        <w:rPr>
          <w:color w:val="111111"/>
        </w:rPr>
        <w:t>Prices</w:t>
      </w:r>
      <w:proofErr w:type="spellEnd"/>
      <w:r>
        <w:rPr>
          <w:color w:val="111111"/>
        </w:rPr>
        <w:t xml:space="preserve"> </w:t>
      </w:r>
      <w:proofErr w:type="spellStart"/>
      <w:r>
        <w:rPr>
          <w:color w:val="111111"/>
        </w:rPr>
        <w:t>Worldwide</w:t>
      </w:r>
      <w:proofErr w:type="spellEnd"/>
      <w:r>
        <w:rPr>
          <w:color w:val="111111"/>
        </w:rPr>
        <w:t>, disponible en https://remittanceprices.worldbank.org). La combinación de estas tres fuentes produce una estimación del tamaño y el costo actual del corredor, que es la métrica más relevante para evaluar la oportunidad de Pagos.</w:t>
      </w:r>
    </w:p>
    <w:p w14:paraId="21081810" w14:textId="77777777" w:rsidR="00933177" w:rsidRDefault="00933177" w:rsidP="00933177">
      <w:pPr>
        <w:spacing w:before="140" w:after="140" w:line="320" w:lineRule="auto"/>
        <w:jc w:val="both"/>
      </w:pPr>
      <w:r>
        <w:rPr>
          <w:color w:val="111111"/>
        </w:rPr>
        <w:t xml:space="preserve">Para las líneas de Banca Digital y Activos Digitales, la inteligencia de demanda más relevante incluye los estudios de adopción de servicios financieros digitales del BID (Fintech in </w:t>
      </w:r>
      <w:proofErr w:type="spellStart"/>
      <w:r>
        <w:rPr>
          <w:color w:val="111111"/>
        </w:rPr>
        <w:t>Latin</w:t>
      </w:r>
      <w:proofErr w:type="spellEnd"/>
      <w:r>
        <w:rPr>
          <w:color w:val="111111"/>
        </w:rPr>
        <w:t xml:space="preserve"> America and </w:t>
      </w:r>
      <w:proofErr w:type="spellStart"/>
      <w:r>
        <w:rPr>
          <w:color w:val="111111"/>
        </w:rPr>
        <w:t>the</w:t>
      </w:r>
      <w:proofErr w:type="spellEnd"/>
      <w:r>
        <w:rPr>
          <w:color w:val="111111"/>
        </w:rPr>
        <w:t xml:space="preserve"> Caribbean, https://publications.iadb.org), los reportes de </w:t>
      </w:r>
      <w:proofErr w:type="spellStart"/>
      <w:r>
        <w:rPr>
          <w:color w:val="111111"/>
        </w:rPr>
        <w:t>Mastercard</w:t>
      </w:r>
      <w:proofErr w:type="spellEnd"/>
      <w:r>
        <w:rPr>
          <w:color w:val="111111"/>
        </w:rPr>
        <w:t xml:space="preserve"> y Visa sobre tendencias de pago digital en la región, y las encuestas de inclusión financiera del Banco Mundial (Global </w:t>
      </w:r>
      <w:proofErr w:type="spellStart"/>
      <w:r>
        <w:rPr>
          <w:color w:val="111111"/>
        </w:rPr>
        <w:t>Findex</w:t>
      </w:r>
      <w:proofErr w:type="spellEnd"/>
      <w:r>
        <w:rPr>
          <w:color w:val="111111"/>
        </w:rPr>
        <w:t xml:space="preserve"> </w:t>
      </w:r>
      <w:proofErr w:type="spellStart"/>
      <w:r>
        <w:rPr>
          <w:color w:val="111111"/>
        </w:rPr>
        <w:t>Database</w:t>
      </w:r>
      <w:proofErr w:type="spellEnd"/>
      <w:r>
        <w:rPr>
          <w:color w:val="111111"/>
        </w:rPr>
        <w:t xml:space="preserve">, https://globalfindex.worldbank.org). Para la línea CIB, la inteligencia de demanda se obtiene consultando directamente a los gerentes de cuenta de los clientes corporativos más relevantes de </w:t>
      </w:r>
      <w:proofErr w:type="spellStart"/>
      <w:r>
        <w:rPr>
          <w:color w:val="111111"/>
        </w:rPr>
        <w:t>Cibest</w:t>
      </w:r>
      <w:proofErr w:type="spellEnd"/>
      <w:r>
        <w:rPr>
          <w:color w:val="111111"/>
        </w:rPr>
        <w:t xml:space="preserve"> sobre sus necesidades de servicios financieros internacionales: ¿tienen operaciones en el mercado candidato? ¿Cuáles son sus proveedores actuales de servicios bancarios allí? ¿Qué producto de CIB de </w:t>
      </w:r>
      <w:proofErr w:type="spellStart"/>
      <w:r>
        <w:rPr>
          <w:color w:val="111111"/>
        </w:rPr>
        <w:t>Cibest</w:t>
      </w:r>
      <w:proofErr w:type="spellEnd"/>
      <w:r>
        <w:rPr>
          <w:color w:val="111111"/>
        </w:rPr>
        <w:t xml:space="preserve"> usarían si estuviera disponible localmente?</w:t>
      </w:r>
    </w:p>
    <w:p w14:paraId="4E8FE1FF" w14:textId="77777777" w:rsidR="00933177" w:rsidRDefault="00933177" w:rsidP="00933177">
      <w:pPr>
        <w:spacing w:after="100"/>
      </w:pPr>
    </w:p>
    <w:p w14:paraId="00DDD8B8" w14:textId="77777777" w:rsidR="00933177" w:rsidRDefault="00933177" w:rsidP="00933177">
      <w:pPr>
        <w:pStyle w:val="Ttulo3"/>
      </w:pPr>
      <w:bookmarkStart w:id="52" w:name="_Toc232659601"/>
      <w:r>
        <w:t>Bloque 4 — Inteligencia de modelo de negocio local</w:t>
      </w:r>
      <w:bookmarkEnd w:id="52"/>
    </w:p>
    <w:p w14:paraId="59CFBF98" w14:textId="77777777" w:rsidR="00933177" w:rsidRDefault="00933177" w:rsidP="00933177">
      <w:pPr>
        <w:spacing w:before="140" w:after="140" w:line="320" w:lineRule="auto"/>
        <w:jc w:val="both"/>
      </w:pPr>
      <w:r>
        <w:rPr>
          <w:color w:val="111111"/>
        </w:rPr>
        <w:t xml:space="preserve">El último bloque de inteligencia cualitativa evalúa si el modelo de negocio de </w:t>
      </w:r>
      <w:proofErr w:type="spellStart"/>
      <w:r>
        <w:rPr>
          <w:color w:val="111111"/>
        </w:rPr>
        <w:t>Cibest</w:t>
      </w:r>
      <w:proofErr w:type="spellEnd"/>
      <w:r>
        <w:rPr>
          <w:color w:val="111111"/>
        </w:rPr>
        <w:t xml:space="preserve"> —en cada una de sus líneas— puede operar en el mercado destino con ajustes razonables, o si </w:t>
      </w:r>
      <w:proofErr w:type="gramStart"/>
      <w:r>
        <w:rPr>
          <w:color w:val="111111"/>
        </w:rPr>
        <w:t>requeriría</w:t>
      </w:r>
      <w:proofErr w:type="gramEnd"/>
      <w:r>
        <w:rPr>
          <w:color w:val="111111"/>
        </w:rPr>
        <w:t xml:space="preserve"> un rediseño estructural que lo haría esencialmente un negocio diferente. Esta pregunta es frecuentemente ignorada en los procesos de internacionalización, con consecuencias costosas: una empresa que entra a un mercado asumiendo que su modelo de negocio es transferible y descubre que los márgenes del sector son la mitad de los proyectados, que la estructura de costos del mercado local es incompatible con su propuesta de eficiencia, o que los clientes del </w:t>
      </w:r>
      <w:r>
        <w:rPr>
          <w:color w:val="111111"/>
        </w:rPr>
        <w:lastRenderedPageBreak/>
        <w:t>segmento objetivo tienen expectativas de servicio radicalmente distintas a las de los clientes colombianos.</w:t>
      </w:r>
    </w:p>
    <w:p w14:paraId="11F5FF44" w14:textId="77777777" w:rsidR="00933177" w:rsidRDefault="00933177" w:rsidP="00933177">
      <w:pPr>
        <w:spacing w:before="140" w:after="140" w:line="320" w:lineRule="auto"/>
        <w:jc w:val="both"/>
      </w:pPr>
      <w:r>
        <w:rPr>
          <w:color w:val="111111"/>
        </w:rPr>
        <w:t xml:space="preserve">Para Intermediación Bancaria, la pregunta central de viabilidad del modelo de negocio es: ¿permiten los márgenes del sistema bancario local operar con la estructura de costos de </w:t>
      </w:r>
      <w:proofErr w:type="spellStart"/>
      <w:r>
        <w:rPr>
          <w:color w:val="111111"/>
        </w:rPr>
        <w:t>Cibest</w:t>
      </w:r>
      <w:proofErr w:type="spellEnd"/>
      <w:r>
        <w:rPr>
          <w:color w:val="111111"/>
        </w:rPr>
        <w:t xml:space="preserve"> y generar un retorno aceptable? La respuesta requiere dos datos: el margen de intermediación del sistema bancario local (que RADAR ya captura en la variable de spread de tasas) y la eficiencia operativa de </w:t>
      </w:r>
      <w:proofErr w:type="spellStart"/>
      <w:r>
        <w:rPr>
          <w:color w:val="111111"/>
        </w:rPr>
        <w:t>Cibest</w:t>
      </w:r>
      <w:proofErr w:type="spellEnd"/>
      <w:r>
        <w:rPr>
          <w:color w:val="111111"/>
        </w:rPr>
        <w:t xml:space="preserve"> expresada como costo por transacción o como ratio de eficiencia. Si el margen del mercado es inferior a los costos operativos que </w:t>
      </w:r>
      <w:proofErr w:type="spellStart"/>
      <w:r>
        <w:rPr>
          <w:color w:val="111111"/>
        </w:rPr>
        <w:t>Cibest</w:t>
      </w:r>
      <w:proofErr w:type="spellEnd"/>
      <w:r>
        <w:rPr>
          <w:color w:val="111111"/>
        </w:rPr>
        <w:t xml:space="preserve"> incurriría con su modelo actual, el mercado no es viable para Intermediación Bancaria bajo ese modelo, independientemente de su atractivo cuantitativo. Para Banca Digital, la pregunta análoga es: ¿la infraestructura tecnológica y de conectividad del mercado es compatible con los productos digitales de </w:t>
      </w:r>
      <w:proofErr w:type="spellStart"/>
      <w:r>
        <w:rPr>
          <w:color w:val="111111"/>
        </w:rPr>
        <w:t>Cibest</w:t>
      </w:r>
      <w:proofErr w:type="spellEnd"/>
      <w:r>
        <w:rPr>
          <w:color w:val="111111"/>
        </w:rPr>
        <w:t>, o existen cuellos de botella de latencia, cobertura o seguridad que harían la experiencia de usuario inaceptable?</w:t>
      </w:r>
    </w:p>
    <w:p w14:paraId="254E98DD" w14:textId="77777777" w:rsidR="00933177" w:rsidRDefault="00933177" w:rsidP="00933177">
      <w:pPr>
        <w:spacing w:after="100"/>
      </w:pPr>
    </w:p>
    <w:p w14:paraId="534B22DC" w14:textId="77777777" w:rsidR="00933177" w:rsidRDefault="00933177" w:rsidP="00933177">
      <w:pPr>
        <w:pStyle w:val="Ttulo2"/>
        <w:pBdr>
          <w:bottom w:val="single" w:sz="4" w:space="4" w:color="E8B931"/>
        </w:pBdr>
      </w:pPr>
      <w:bookmarkStart w:id="53" w:name="_Toc232659602"/>
      <w:proofErr w:type="gramStart"/>
      <w:r>
        <w:t>6.3  Cómo</w:t>
      </w:r>
      <w:proofErr w:type="gramEnd"/>
      <w:r>
        <w:t xml:space="preserve"> articular la inteligencia cualitativa con RADAR </w:t>
      </w:r>
      <w:proofErr w:type="spellStart"/>
      <w:r>
        <w:t>Cibest</w:t>
      </w:r>
      <w:proofErr w:type="spellEnd"/>
      <w:r>
        <w:t>: la matriz de investigación</w:t>
      </w:r>
      <w:bookmarkEnd w:id="53"/>
    </w:p>
    <w:p w14:paraId="04854431" w14:textId="77777777" w:rsidR="00933177" w:rsidRDefault="00933177" w:rsidP="00933177">
      <w:pPr>
        <w:spacing w:before="140" w:after="140" w:line="320" w:lineRule="auto"/>
        <w:jc w:val="both"/>
      </w:pPr>
      <w:r>
        <w:rPr>
          <w:color w:val="111111"/>
        </w:rPr>
        <w:t>La articulación entre el análisis cuantitativo de RADAR y la inteligencia cualitativa no es opcional ni informal: es un mecanismo explícito que garantiza que la investigación cualitativa esté orientada por la evidencia del modelo y que sus hallazgos retroalimenten formalmente la evaluación de cada mercado. El mecanismo se implementa a través de una Matriz de Investigación Cualitativa que el equipo de Estrategia Corporativa construye para cada mercado que pasa a análisis profundo, a partir del perfil de fortalezas y debilidades de RADAR.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200"/>
        <w:gridCol w:w="2160"/>
      </w:tblGrid>
      <w:tr w:rsidR="00933177" w14:paraId="4C8BE008"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0795BF5B" w14:textId="77777777" w:rsidR="00933177" w:rsidRDefault="00933177" w:rsidP="001F40FE">
            <w:r>
              <w:rPr>
                <w:b/>
                <w:bCs/>
                <w:color w:val="FFFFFF"/>
                <w:sz w:val="20"/>
                <w:szCs w:val="20"/>
              </w:rPr>
              <w:t>Perfil RADAR del mercado</w:t>
            </w:r>
          </w:p>
        </w:tc>
        <w:tc>
          <w:tcPr>
            <w:tcW w:w="28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16DAB857" w14:textId="77777777" w:rsidR="00933177" w:rsidRDefault="00933177" w:rsidP="001F40FE">
            <w:r>
              <w:rPr>
                <w:b/>
                <w:bCs/>
                <w:color w:val="FFFFFF"/>
                <w:sz w:val="20"/>
                <w:szCs w:val="20"/>
              </w:rPr>
              <w:t>Pregunta de investigación cualitativa generada</w:t>
            </w:r>
          </w:p>
        </w:tc>
        <w:tc>
          <w:tcPr>
            <w:tcW w:w="2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5FDE9082" w14:textId="77777777" w:rsidR="00933177" w:rsidRDefault="00933177" w:rsidP="001F40FE">
            <w:r>
              <w:rPr>
                <w:b/>
                <w:bCs/>
                <w:color w:val="FFFFFF"/>
                <w:sz w:val="20"/>
                <w:szCs w:val="20"/>
              </w:rPr>
              <w:t>Bloque de inteligencia</w:t>
            </w:r>
          </w:p>
        </w:tc>
        <w:tc>
          <w:tcPr>
            <w:tcW w:w="216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785AC030" w14:textId="77777777" w:rsidR="00933177" w:rsidRDefault="00933177" w:rsidP="001F40FE">
            <w:r>
              <w:rPr>
                <w:b/>
                <w:bCs/>
                <w:color w:val="FFFFFF"/>
                <w:sz w:val="20"/>
                <w:szCs w:val="20"/>
              </w:rPr>
              <w:t>Fuente primaria sugerida</w:t>
            </w:r>
          </w:p>
        </w:tc>
      </w:tr>
      <w:tr w:rsidR="00933177" w14:paraId="6BF7AED1"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D1E70A5" w14:textId="77777777" w:rsidR="00933177" w:rsidRDefault="00933177" w:rsidP="001F40FE">
            <w:r>
              <w:rPr>
                <w:color w:val="111111"/>
                <w:sz w:val="20"/>
                <w:szCs w:val="20"/>
              </w:rPr>
              <w:t>Score bajo en WGI Calidad Regulatoria</w:t>
            </w:r>
          </w:p>
        </w:tc>
        <w:tc>
          <w:tcPr>
            <w:tcW w:w="28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3D42656" w14:textId="77777777" w:rsidR="00933177" w:rsidRDefault="00933177" w:rsidP="001F40FE">
            <w:r>
              <w:rPr>
                <w:color w:val="111111"/>
                <w:sz w:val="20"/>
                <w:szCs w:val="20"/>
              </w:rPr>
              <w:t xml:space="preserve">¿Cuál es la barrera regulatoria específica que RADAR está captando? ¿Tiene solución en el horizonte temporal de </w:t>
            </w:r>
            <w:proofErr w:type="spellStart"/>
            <w:r>
              <w:rPr>
                <w:color w:val="111111"/>
                <w:sz w:val="20"/>
                <w:szCs w:val="20"/>
              </w:rPr>
              <w:t>Cibest</w:t>
            </w:r>
            <w:proofErr w:type="spellEnd"/>
            <w:r>
              <w:rPr>
                <w:color w:val="111111"/>
                <w:sz w:val="20"/>
                <w:szCs w:val="20"/>
              </w:rPr>
              <w:t>?</w:t>
            </w:r>
          </w:p>
        </w:tc>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CCF7426" w14:textId="77777777" w:rsidR="00933177" w:rsidRDefault="00933177" w:rsidP="001F40FE">
            <w:r>
              <w:rPr>
                <w:color w:val="111111"/>
                <w:sz w:val="20"/>
                <w:szCs w:val="20"/>
              </w:rPr>
              <w:t>Bloque 1 — Regulatorio</w:t>
            </w:r>
          </w:p>
        </w:tc>
        <w:tc>
          <w:tcPr>
            <w:tcW w:w="2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DA7DDE0" w14:textId="77777777" w:rsidR="00933177" w:rsidRDefault="00933177" w:rsidP="001F40FE">
            <w:r>
              <w:rPr>
                <w:color w:val="111111"/>
                <w:sz w:val="20"/>
                <w:szCs w:val="20"/>
              </w:rPr>
              <w:t>Superintendencia bancaria, FSAP del FMI, bufete local</w:t>
            </w:r>
          </w:p>
        </w:tc>
      </w:tr>
      <w:tr w:rsidR="00933177" w14:paraId="5843BECE"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7FA7CF7" w14:textId="77777777" w:rsidR="00933177" w:rsidRDefault="00933177" w:rsidP="001F40FE">
            <w:r>
              <w:rPr>
                <w:color w:val="111111"/>
                <w:sz w:val="20"/>
                <w:szCs w:val="20"/>
              </w:rPr>
              <w:t>Score alto en tecnológico, bajo en adopción de pagos digitales</w:t>
            </w:r>
          </w:p>
        </w:tc>
        <w:tc>
          <w:tcPr>
            <w:tcW w:w="28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F98DF13" w14:textId="77777777" w:rsidR="00933177" w:rsidRDefault="00933177" w:rsidP="001F40FE">
            <w:r>
              <w:rPr>
                <w:color w:val="111111"/>
                <w:sz w:val="20"/>
                <w:szCs w:val="20"/>
              </w:rPr>
              <w:t xml:space="preserve">¿La infraestructura digital </w:t>
            </w:r>
            <w:proofErr w:type="gramStart"/>
            <w:r>
              <w:rPr>
                <w:color w:val="111111"/>
                <w:sz w:val="20"/>
                <w:szCs w:val="20"/>
              </w:rPr>
              <w:t>existe</w:t>
            </w:r>
            <w:proofErr w:type="gramEnd"/>
            <w:r>
              <w:rPr>
                <w:color w:val="111111"/>
                <w:sz w:val="20"/>
                <w:szCs w:val="20"/>
              </w:rPr>
              <w:t xml:space="preserve"> pero la adopción no ha llegado, o hay una barrera de uso estructural que no desaparecerá pronto?</w:t>
            </w:r>
          </w:p>
        </w:tc>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6B2E9D2" w14:textId="77777777" w:rsidR="00933177" w:rsidRDefault="00933177" w:rsidP="001F40FE">
            <w:r>
              <w:rPr>
                <w:color w:val="111111"/>
                <w:sz w:val="20"/>
                <w:szCs w:val="20"/>
              </w:rPr>
              <w:t>Bloque 3 — Demanda</w:t>
            </w:r>
          </w:p>
        </w:tc>
        <w:tc>
          <w:tcPr>
            <w:tcW w:w="2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8C0D1F7" w14:textId="77777777" w:rsidR="00933177" w:rsidRDefault="00933177" w:rsidP="001F40FE">
            <w:r>
              <w:rPr>
                <w:color w:val="111111"/>
                <w:sz w:val="20"/>
                <w:szCs w:val="20"/>
              </w:rPr>
              <w:t xml:space="preserve">BID </w:t>
            </w:r>
            <w:proofErr w:type="spellStart"/>
            <w:r>
              <w:rPr>
                <w:color w:val="111111"/>
                <w:sz w:val="20"/>
                <w:szCs w:val="20"/>
              </w:rPr>
              <w:t>Findex</w:t>
            </w:r>
            <w:proofErr w:type="spellEnd"/>
            <w:r>
              <w:rPr>
                <w:color w:val="111111"/>
                <w:sz w:val="20"/>
                <w:szCs w:val="20"/>
              </w:rPr>
              <w:t xml:space="preserve">, </w:t>
            </w:r>
            <w:proofErr w:type="spellStart"/>
            <w:r>
              <w:rPr>
                <w:color w:val="111111"/>
                <w:sz w:val="20"/>
                <w:szCs w:val="20"/>
              </w:rPr>
              <w:t>Mastercard</w:t>
            </w:r>
            <w:proofErr w:type="spellEnd"/>
            <w:r>
              <w:rPr>
                <w:color w:val="111111"/>
                <w:sz w:val="20"/>
                <w:szCs w:val="20"/>
              </w:rPr>
              <w:t>, Visa, encuesta primaria</w:t>
            </w:r>
          </w:p>
        </w:tc>
      </w:tr>
      <w:tr w:rsidR="00933177" w14:paraId="3766ADDC"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9FBC904" w14:textId="77777777" w:rsidR="00933177" w:rsidRDefault="00933177" w:rsidP="001F40FE">
            <w:r>
              <w:rPr>
                <w:color w:val="111111"/>
                <w:sz w:val="20"/>
                <w:szCs w:val="20"/>
              </w:rPr>
              <w:t>Alta concentración bancaria (HHI &gt; 0.18)</w:t>
            </w:r>
          </w:p>
        </w:tc>
        <w:tc>
          <w:tcPr>
            <w:tcW w:w="28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B5B72AD" w14:textId="77777777" w:rsidR="00933177" w:rsidRDefault="00933177" w:rsidP="001F40FE">
            <w:r>
              <w:rPr>
                <w:color w:val="111111"/>
                <w:sz w:val="20"/>
                <w:szCs w:val="20"/>
              </w:rPr>
              <w:t xml:space="preserve">¿La concentración es una barrera de entrada o indica incumbentes rentables con </w:t>
            </w:r>
            <w:r>
              <w:rPr>
                <w:color w:val="111111"/>
                <w:sz w:val="20"/>
                <w:szCs w:val="20"/>
              </w:rPr>
              <w:lastRenderedPageBreak/>
              <w:t>debilidades explotables en segmentos específicos?</w:t>
            </w:r>
          </w:p>
        </w:tc>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E4B109E" w14:textId="77777777" w:rsidR="00933177" w:rsidRDefault="00933177" w:rsidP="001F40FE">
            <w:r>
              <w:rPr>
                <w:color w:val="111111"/>
                <w:sz w:val="20"/>
                <w:szCs w:val="20"/>
              </w:rPr>
              <w:lastRenderedPageBreak/>
              <w:t>Bloque 2 — Competitivo</w:t>
            </w:r>
          </w:p>
        </w:tc>
        <w:tc>
          <w:tcPr>
            <w:tcW w:w="2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0C958F6" w14:textId="77777777" w:rsidR="00933177" w:rsidRDefault="00933177" w:rsidP="001F40FE">
            <w:r>
              <w:rPr>
                <w:color w:val="111111"/>
                <w:sz w:val="20"/>
                <w:szCs w:val="20"/>
              </w:rPr>
              <w:t>Reportes anuales bancos incumbentes, Superintendencia</w:t>
            </w:r>
          </w:p>
        </w:tc>
      </w:tr>
      <w:tr w:rsidR="00933177" w14:paraId="7232CAA5"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9289840" w14:textId="77777777" w:rsidR="00933177" w:rsidRDefault="00933177" w:rsidP="001F40FE">
            <w:r>
              <w:rPr>
                <w:color w:val="111111"/>
                <w:sz w:val="20"/>
                <w:szCs w:val="20"/>
              </w:rPr>
              <w:t>Señal alta en Activos Digitales, baja en IB</w:t>
            </w:r>
          </w:p>
        </w:tc>
        <w:tc>
          <w:tcPr>
            <w:tcW w:w="28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565CC75" w14:textId="77777777" w:rsidR="00933177" w:rsidRDefault="00933177" w:rsidP="001F40FE">
            <w:r>
              <w:rPr>
                <w:color w:val="111111"/>
                <w:sz w:val="20"/>
                <w:szCs w:val="20"/>
              </w:rPr>
              <w:t>¿El marco regulatorio para activos digitales es lo suficientemente maduro para operar la línea AD o aún está en desarrollo?</w:t>
            </w:r>
          </w:p>
        </w:tc>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D616C0F" w14:textId="77777777" w:rsidR="00933177" w:rsidRDefault="00933177" w:rsidP="001F40FE">
            <w:r>
              <w:rPr>
                <w:color w:val="111111"/>
                <w:sz w:val="20"/>
                <w:szCs w:val="20"/>
              </w:rPr>
              <w:t>Bloque 1 — Regulatorio</w:t>
            </w:r>
          </w:p>
        </w:tc>
        <w:tc>
          <w:tcPr>
            <w:tcW w:w="2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D7B6733" w14:textId="77777777" w:rsidR="00933177" w:rsidRDefault="00933177" w:rsidP="001F40FE">
            <w:r>
              <w:rPr>
                <w:color w:val="111111"/>
                <w:sz w:val="20"/>
                <w:szCs w:val="20"/>
              </w:rPr>
              <w:t xml:space="preserve">Banco Central, regulación </w:t>
            </w:r>
            <w:proofErr w:type="spellStart"/>
            <w:r>
              <w:rPr>
                <w:color w:val="111111"/>
                <w:sz w:val="20"/>
                <w:szCs w:val="20"/>
              </w:rPr>
              <w:t>fintech</w:t>
            </w:r>
            <w:proofErr w:type="spellEnd"/>
            <w:r>
              <w:rPr>
                <w:color w:val="111111"/>
                <w:sz w:val="20"/>
                <w:szCs w:val="20"/>
              </w:rPr>
              <w:t>, bufete especializado</w:t>
            </w:r>
          </w:p>
        </w:tc>
      </w:tr>
      <w:tr w:rsidR="00933177" w14:paraId="0201A122"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19501D9" w14:textId="77777777" w:rsidR="00933177" w:rsidRDefault="00933177" w:rsidP="001F40FE">
            <w:r>
              <w:rPr>
                <w:color w:val="111111"/>
                <w:sz w:val="20"/>
                <w:szCs w:val="20"/>
              </w:rPr>
              <w:t>Alta diáspora colombiana (dato DANE)</w:t>
            </w:r>
          </w:p>
        </w:tc>
        <w:tc>
          <w:tcPr>
            <w:tcW w:w="28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C749681" w14:textId="77777777" w:rsidR="00933177" w:rsidRDefault="00933177" w:rsidP="001F40FE">
            <w:r>
              <w:rPr>
                <w:color w:val="111111"/>
                <w:sz w:val="20"/>
                <w:szCs w:val="20"/>
              </w:rPr>
              <w:t>¿El volumen y perfil de la diáspora colombiana en ese mercado justifica el desarrollo de productos específicos de corredor de remesas?</w:t>
            </w:r>
          </w:p>
        </w:tc>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FBEC74D" w14:textId="77777777" w:rsidR="00933177" w:rsidRDefault="00933177" w:rsidP="001F40FE">
            <w:r>
              <w:rPr>
                <w:color w:val="111111"/>
                <w:sz w:val="20"/>
                <w:szCs w:val="20"/>
              </w:rPr>
              <w:t>Bloque 3 — Demanda</w:t>
            </w:r>
          </w:p>
        </w:tc>
        <w:tc>
          <w:tcPr>
            <w:tcW w:w="2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4F0B94D" w14:textId="77777777" w:rsidR="00933177" w:rsidRDefault="00933177" w:rsidP="001F40FE">
            <w:r>
              <w:rPr>
                <w:color w:val="111111"/>
                <w:sz w:val="20"/>
                <w:szCs w:val="20"/>
              </w:rPr>
              <w:t xml:space="preserve">DANE/Migración Colombia, Banco de la República, WB </w:t>
            </w:r>
            <w:proofErr w:type="spellStart"/>
            <w:r>
              <w:rPr>
                <w:color w:val="111111"/>
                <w:sz w:val="20"/>
                <w:szCs w:val="20"/>
              </w:rPr>
              <w:t>Remittance</w:t>
            </w:r>
            <w:proofErr w:type="spellEnd"/>
            <w:r>
              <w:rPr>
                <w:color w:val="111111"/>
                <w:sz w:val="20"/>
                <w:szCs w:val="20"/>
              </w:rPr>
              <w:t xml:space="preserve"> </w:t>
            </w:r>
            <w:proofErr w:type="spellStart"/>
            <w:r>
              <w:rPr>
                <w:color w:val="111111"/>
                <w:sz w:val="20"/>
                <w:szCs w:val="20"/>
              </w:rPr>
              <w:t>Prices</w:t>
            </w:r>
            <w:proofErr w:type="spellEnd"/>
          </w:p>
        </w:tc>
      </w:tr>
      <w:tr w:rsidR="00933177" w14:paraId="353CEC5C"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38F46E2" w14:textId="77777777" w:rsidR="00933177" w:rsidRDefault="00933177" w:rsidP="001F40FE">
            <w:r>
              <w:rPr>
                <w:color w:val="111111"/>
                <w:sz w:val="20"/>
                <w:szCs w:val="20"/>
              </w:rPr>
              <w:t>Spread de tasas bajo (&lt; 3% en IB)</w:t>
            </w:r>
          </w:p>
        </w:tc>
        <w:tc>
          <w:tcPr>
            <w:tcW w:w="28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A9F020D" w14:textId="77777777" w:rsidR="00933177" w:rsidRDefault="00933177" w:rsidP="001F40FE">
            <w:r>
              <w:rPr>
                <w:color w:val="111111"/>
                <w:sz w:val="20"/>
                <w:szCs w:val="20"/>
              </w:rPr>
              <w:t xml:space="preserve">¿El bajo margen es estructural por eficiencia del sistema, o temporal por condiciones de liquidez? ¿Puede </w:t>
            </w:r>
            <w:proofErr w:type="spellStart"/>
            <w:r>
              <w:rPr>
                <w:color w:val="111111"/>
                <w:sz w:val="20"/>
                <w:szCs w:val="20"/>
              </w:rPr>
              <w:t>Cibest</w:t>
            </w:r>
            <w:proofErr w:type="spellEnd"/>
            <w:r>
              <w:rPr>
                <w:color w:val="111111"/>
                <w:sz w:val="20"/>
                <w:szCs w:val="20"/>
              </w:rPr>
              <w:t xml:space="preserve"> operar con esa estructura de márgenes?</w:t>
            </w:r>
          </w:p>
        </w:tc>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11E952C" w14:textId="77777777" w:rsidR="00933177" w:rsidRDefault="00933177" w:rsidP="001F40FE">
            <w:r>
              <w:rPr>
                <w:color w:val="111111"/>
                <w:sz w:val="20"/>
                <w:szCs w:val="20"/>
              </w:rPr>
              <w:t>Bloque 4 — Modelo de negocio</w:t>
            </w:r>
          </w:p>
        </w:tc>
        <w:tc>
          <w:tcPr>
            <w:tcW w:w="2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D4D9AEA" w14:textId="77777777" w:rsidR="00933177" w:rsidRDefault="00933177" w:rsidP="001F40FE">
            <w:r>
              <w:rPr>
                <w:color w:val="111111"/>
                <w:sz w:val="20"/>
                <w:szCs w:val="20"/>
              </w:rPr>
              <w:t>Banco Central local, reportes financieros del sistema bancario, Superintendencia</w:t>
            </w:r>
          </w:p>
        </w:tc>
      </w:tr>
      <w:tr w:rsidR="00933177" w14:paraId="1811DF89"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D4447BB" w14:textId="77777777" w:rsidR="00933177" w:rsidRDefault="00933177" w:rsidP="001F40FE">
            <w:r>
              <w:rPr>
                <w:color w:val="111111"/>
                <w:sz w:val="20"/>
                <w:szCs w:val="20"/>
              </w:rPr>
              <w:t>Prima de riesgo país alta (Damodaran)</w:t>
            </w:r>
          </w:p>
        </w:tc>
        <w:tc>
          <w:tcPr>
            <w:tcW w:w="28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F80C79F" w14:textId="77777777" w:rsidR="00933177" w:rsidRDefault="00933177" w:rsidP="001F40FE">
            <w:r>
              <w:rPr>
                <w:color w:val="111111"/>
                <w:sz w:val="20"/>
                <w:szCs w:val="20"/>
              </w:rPr>
              <w:t>¿El riesgo soberano percibido es un reflejo de condiciones estructurales estables o de una crisis episódica que puede revertirse?</w:t>
            </w:r>
          </w:p>
        </w:tc>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A76EDD0" w14:textId="77777777" w:rsidR="00933177" w:rsidRDefault="00933177" w:rsidP="001F40FE">
            <w:r>
              <w:rPr>
                <w:color w:val="111111"/>
                <w:sz w:val="20"/>
                <w:szCs w:val="20"/>
              </w:rPr>
              <w:t>Bloque 1 — Regulatorio y Bloque 4 — Modelo de negocio</w:t>
            </w:r>
          </w:p>
        </w:tc>
        <w:tc>
          <w:tcPr>
            <w:tcW w:w="2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F8E103D" w14:textId="77777777" w:rsidR="00933177" w:rsidRDefault="00933177" w:rsidP="001F40FE">
            <w:r>
              <w:rPr>
                <w:color w:val="111111"/>
                <w:sz w:val="20"/>
                <w:szCs w:val="20"/>
              </w:rPr>
              <w:t>FMI, Banco Mundial, agencias calificadoras, EIU</w:t>
            </w:r>
          </w:p>
        </w:tc>
      </w:tr>
    </w:tbl>
    <w:p w14:paraId="00B9496A" w14:textId="77777777" w:rsidR="00933177" w:rsidRDefault="00933177" w:rsidP="00933177">
      <w:pPr>
        <w:spacing w:after="100"/>
      </w:pPr>
    </w:p>
    <w:p w14:paraId="5F42154A" w14:textId="77777777" w:rsidR="00933177" w:rsidRDefault="00933177" w:rsidP="00933177">
      <w:pPr>
        <w:spacing w:before="140" w:after="140" w:line="320" w:lineRule="auto"/>
        <w:jc w:val="both"/>
      </w:pPr>
      <w:r>
        <w:rPr>
          <w:color w:val="111111"/>
        </w:rPr>
        <w:t xml:space="preserve">La Matriz de Investigación Cualitativa no es un cuestionario genérico aplicado a todos los mercados por igual: es un instrumento personalizado para cada mercado, construido a partir de su perfil específico de fortalezas y debilidades en RADAR. Esta personalización tiene dos ventajas prácticas: primero, concentra el esfuerzo de investigación en las preguntas que realmente importan para cada mercado, evitando el desperdicio de tiempo en investigar dimensiones donde el mercado ya tiene un score satisfactorio. Segundo, hace que los hallazgos cualitativos sean directamente comparables entre mercados, porque todos responden al mismo conjunto de preguntas relevantes para </w:t>
      </w:r>
      <w:proofErr w:type="spellStart"/>
      <w:r>
        <w:rPr>
          <w:color w:val="111111"/>
        </w:rPr>
        <w:t>Cibest</w:t>
      </w:r>
      <w:proofErr w:type="spellEnd"/>
      <w:r>
        <w:rPr>
          <w:color w:val="111111"/>
        </w:rPr>
        <w:t>, no a un conjunto arbitrario definido por el investigador.</w:t>
      </w:r>
    </w:p>
    <w:p w14:paraId="0537910D" w14:textId="77777777" w:rsidR="00933177" w:rsidRDefault="00933177" w:rsidP="00933177">
      <w:pPr>
        <w:spacing w:after="100"/>
      </w:pPr>
    </w:p>
    <w:p w14:paraId="3FC46482" w14:textId="77777777" w:rsidR="00933177" w:rsidRDefault="00933177" w:rsidP="00933177">
      <w:pPr>
        <w:pStyle w:val="Ttulo2"/>
        <w:pBdr>
          <w:bottom w:val="single" w:sz="4" w:space="4" w:color="E8B931"/>
        </w:pBdr>
      </w:pPr>
      <w:bookmarkStart w:id="54" w:name="_Toc232659603"/>
      <w:proofErr w:type="gramStart"/>
      <w:r>
        <w:t>6.4  Entregables</w:t>
      </w:r>
      <w:proofErr w:type="gramEnd"/>
      <w:r>
        <w:t>, participantes y tiempo</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33177" w14:paraId="66E8126F"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6C509F53" w14:textId="77777777" w:rsidR="00933177" w:rsidRDefault="00933177" w:rsidP="001F40FE">
            <w:r>
              <w:rPr>
                <w:b/>
                <w:bCs/>
                <w:color w:val="FFFFFF"/>
                <w:sz w:val="20"/>
                <w:szCs w:val="20"/>
              </w:rPr>
              <w:t>Elemento</w:t>
            </w:r>
          </w:p>
        </w:tc>
        <w:tc>
          <w:tcPr>
            <w:tcW w:w="716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6BFD13A8" w14:textId="77777777" w:rsidR="00933177" w:rsidRDefault="00933177" w:rsidP="001F40FE">
            <w:r>
              <w:rPr>
                <w:b/>
                <w:bCs/>
                <w:color w:val="FFFFFF"/>
                <w:sz w:val="20"/>
                <w:szCs w:val="20"/>
              </w:rPr>
              <w:t>Descripción</w:t>
            </w:r>
          </w:p>
        </w:tc>
      </w:tr>
      <w:tr w:rsidR="00933177" w14:paraId="451765F2"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01816A5" w14:textId="77777777" w:rsidR="00933177" w:rsidRDefault="00933177" w:rsidP="001F40FE">
            <w:r>
              <w:rPr>
                <w:b/>
                <w:bCs/>
                <w:color w:val="111111"/>
                <w:sz w:val="20"/>
                <w:szCs w:val="20"/>
              </w:rPr>
              <w:t xml:space="preserve">Entregable 1: Memorandos de </w:t>
            </w:r>
            <w:r>
              <w:rPr>
                <w:b/>
                <w:bCs/>
                <w:color w:val="111111"/>
                <w:sz w:val="20"/>
                <w:szCs w:val="20"/>
              </w:rPr>
              <w:lastRenderedPageBreak/>
              <w:t>inteligencia por mercado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729AE7A" w14:textId="77777777" w:rsidR="00933177" w:rsidRDefault="00933177" w:rsidP="001F40FE">
            <w:r>
              <w:rPr>
                <w:color w:val="111111"/>
                <w:sz w:val="20"/>
                <w:szCs w:val="20"/>
              </w:rPr>
              <w:lastRenderedPageBreak/>
              <w:t xml:space="preserve">Un memorando de inteligencia estratégica por mercado candidato (mercados clasificados como Prioritarios, Atractivos con Riesgo u Oportunidades Especializadas por RADAR). Extensión: 4 a 6 páginas por mercado. </w:t>
            </w:r>
            <w:r>
              <w:rPr>
                <w:color w:val="111111"/>
                <w:sz w:val="20"/>
                <w:szCs w:val="20"/>
              </w:rPr>
              <w:lastRenderedPageBreak/>
              <w:t xml:space="preserve">Estructura estándar: (1) síntesis del perfil RADAR del mercado, (2) hallazgos por bloque de inteligencia, (3) preguntas de investigación que quedaron sin respuesta definitiva, (4) evaluación preliminar del potencial de </w:t>
            </w:r>
            <w:proofErr w:type="spellStart"/>
            <w:r>
              <w:rPr>
                <w:color w:val="111111"/>
                <w:sz w:val="20"/>
                <w:szCs w:val="20"/>
              </w:rPr>
              <w:t>Cibest</w:t>
            </w:r>
            <w:proofErr w:type="spellEnd"/>
            <w:r>
              <w:rPr>
                <w:color w:val="111111"/>
                <w:sz w:val="20"/>
                <w:szCs w:val="20"/>
              </w:rPr>
              <w:t xml:space="preserve"> en ese mercado por </w:t>
            </w:r>
            <w:proofErr w:type="gramStart"/>
            <w:r>
              <w:rPr>
                <w:color w:val="111111"/>
                <w:sz w:val="20"/>
                <w:szCs w:val="20"/>
              </w:rPr>
              <w:t>línea</w:t>
            </w:r>
            <w:proofErr w:type="gramEnd"/>
            <w:r>
              <w:rPr>
                <w:color w:val="111111"/>
                <w:sz w:val="20"/>
                <w:szCs w:val="20"/>
              </w:rPr>
              <w:t xml:space="preserve"> de negocio, (5) recomendación de avance o descarte para la fase siguiente.</w:t>
            </w:r>
          </w:p>
        </w:tc>
      </w:tr>
      <w:tr w:rsidR="00933177" w14:paraId="6126A1B5"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DAED6C6" w14:textId="77777777" w:rsidR="00933177" w:rsidRDefault="00933177" w:rsidP="001F40FE">
            <w:r>
              <w:rPr>
                <w:b/>
                <w:bCs/>
                <w:color w:val="111111"/>
                <w:sz w:val="20"/>
                <w:szCs w:val="20"/>
              </w:rPr>
              <w:t>Entregable 2: Reporte comparativo consolidado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77225F3" w14:textId="77777777" w:rsidR="00933177" w:rsidRDefault="00933177" w:rsidP="001F40FE">
            <w:r>
              <w:rPr>
                <w:color w:val="111111"/>
                <w:sz w:val="20"/>
                <w:szCs w:val="20"/>
              </w:rPr>
              <w:t xml:space="preserve">Documento de 10 a 15 páginas que integra los hallazgos de todos los memorandos de inteligencia en un análisis comparativo. Incluye: tabla comparativa de los mercados candidatos en los cuatro bloques de inteligencia, identificación de los mercados con mayor convergencia entre señal cuantitativa fuerte y señal cualitativa positiva, y una propuesta preliminar de los 2-4 mercados que deben avanzar a la fase de evaluación de capacidades de </w:t>
            </w:r>
            <w:proofErr w:type="spellStart"/>
            <w:r>
              <w:rPr>
                <w:color w:val="111111"/>
                <w:sz w:val="20"/>
                <w:szCs w:val="20"/>
              </w:rPr>
              <w:t>Cibest</w:t>
            </w:r>
            <w:proofErr w:type="spellEnd"/>
            <w:r>
              <w:rPr>
                <w:color w:val="111111"/>
                <w:sz w:val="20"/>
                <w:szCs w:val="20"/>
              </w:rPr>
              <w:t>.</w:t>
            </w:r>
          </w:p>
        </w:tc>
      </w:tr>
      <w:tr w:rsidR="00933177" w14:paraId="52F310AB"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2169311" w14:textId="77777777" w:rsidR="00933177" w:rsidRDefault="00933177" w:rsidP="001F40FE">
            <w:r>
              <w:rPr>
                <w:b/>
                <w:bCs/>
                <w:color w:val="111111"/>
                <w:sz w:val="20"/>
                <w:szCs w:val="20"/>
              </w:rPr>
              <w:t>Participantes</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714C5BF" w14:textId="77777777" w:rsidR="00933177" w:rsidRDefault="00933177" w:rsidP="001F40FE">
            <w:proofErr w:type="spellStart"/>
            <w:proofErr w:type="gramStart"/>
            <w:r>
              <w:rPr>
                <w:color w:val="111111"/>
                <w:sz w:val="20"/>
                <w:szCs w:val="20"/>
              </w:rPr>
              <w:t>Co-líderes</w:t>
            </w:r>
            <w:proofErr w:type="spellEnd"/>
            <w:proofErr w:type="gramEnd"/>
            <w:r>
              <w:rPr>
                <w:color w:val="111111"/>
                <w:sz w:val="20"/>
                <w:szCs w:val="20"/>
              </w:rPr>
              <w:t xml:space="preserve"> de RADAR </w:t>
            </w:r>
            <w:proofErr w:type="spellStart"/>
            <w:r>
              <w:rPr>
                <w:color w:val="111111"/>
                <w:sz w:val="20"/>
                <w:szCs w:val="20"/>
              </w:rPr>
              <w:t>Cibest</w:t>
            </w:r>
            <w:proofErr w:type="spellEnd"/>
            <w:r>
              <w:rPr>
                <w:color w:val="111111"/>
                <w:sz w:val="20"/>
                <w:szCs w:val="20"/>
              </w:rPr>
              <w:t xml:space="preserve">: coordinación, diseño de la Matriz de Investigación Cualitativa y síntesis de los hallazgos. Asesores regulatorios locales: bufetes de abogados con presencia en los mercados candidatos para la verificación regulatoria (Baker McKenzie, Garrigues, </w:t>
            </w:r>
            <w:proofErr w:type="spellStart"/>
            <w:r>
              <w:rPr>
                <w:color w:val="111111"/>
                <w:sz w:val="20"/>
                <w:szCs w:val="20"/>
              </w:rPr>
              <w:t>Dentons</w:t>
            </w:r>
            <w:proofErr w:type="spellEnd"/>
            <w:r>
              <w:rPr>
                <w:color w:val="111111"/>
                <w:sz w:val="20"/>
                <w:szCs w:val="20"/>
              </w:rPr>
              <w:t>, firmas locales con experiencia en regulación financiera). Consultoras con presencia regional (en caso de contratación): McKinsey, BCG, Oliver Wyman o Deloitte para los mercados que requieren análisis competitivo y de demanda más profundo. Cámaras de Comercio binacionales (Colombia-Panamá, Colombo-</w:t>
            </w:r>
            <w:proofErr w:type="gramStart"/>
            <w:r>
              <w:rPr>
                <w:color w:val="111111"/>
                <w:sz w:val="20"/>
                <w:szCs w:val="20"/>
              </w:rPr>
              <w:t>Americana</w:t>
            </w:r>
            <w:proofErr w:type="gramEnd"/>
            <w:r>
              <w:rPr>
                <w:color w:val="111111"/>
                <w:sz w:val="20"/>
                <w:szCs w:val="20"/>
              </w:rPr>
              <w:t>, Cámara de Comercio Colombia-España): fuente de contactos y de inteligencia de cliente primaria.</w:t>
            </w:r>
          </w:p>
        </w:tc>
      </w:tr>
      <w:tr w:rsidR="00933177" w14:paraId="165AB02C"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1D3599F" w14:textId="77777777" w:rsidR="00933177" w:rsidRDefault="00933177" w:rsidP="001F40FE">
            <w:r>
              <w:rPr>
                <w:b/>
                <w:bCs/>
                <w:color w:val="111111"/>
                <w:sz w:val="20"/>
                <w:szCs w:val="20"/>
              </w:rPr>
              <w:t>Tiempo estimado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421F903" w14:textId="77777777" w:rsidR="00933177" w:rsidRDefault="00933177" w:rsidP="001F40FE">
            <w:r>
              <w:rPr>
                <w:color w:val="111111"/>
                <w:sz w:val="20"/>
                <w:szCs w:val="20"/>
              </w:rPr>
              <w:t xml:space="preserve">4 a 8 semanas, dependiendo del número de mercados en análisis profundo. Si RADAR clasifica 3-4 mercados como prioritarios para análisis profundo, el equipo puede completar los memorandos y el reporte consolidado en 4 semanas con dedicación exclusiva o 6-8 semanas con la dedicación parcial (~3 horas/semana por persona) que caracteriza el proyecto RADAR </w:t>
            </w:r>
            <w:proofErr w:type="spellStart"/>
            <w:r>
              <w:rPr>
                <w:color w:val="111111"/>
                <w:sz w:val="20"/>
                <w:szCs w:val="20"/>
              </w:rPr>
              <w:t>Cibest</w:t>
            </w:r>
            <w:proofErr w:type="spellEnd"/>
            <w:r>
              <w:rPr>
                <w:color w:val="111111"/>
                <w:sz w:val="20"/>
                <w:szCs w:val="20"/>
              </w:rPr>
              <w:t xml:space="preserve"> en su fase actual. La investigación de los cuatro bloques de inteligencia puede hacerse en paralelo para distintos mercados si el equipo se divide los mercados entre sus miembros.</w:t>
            </w:r>
          </w:p>
        </w:tc>
      </w:tr>
    </w:tbl>
    <w:p w14:paraId="302557C9" w14:textId="77777777" w:rsidR="00933177" w:rsidRDefault="00933177" w:rsidP="009331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3177" w14:paraId="464C018D" w14:textId="77777777" w:rsidTr="00800E51">
        <w:tc>
          <w:tcPr>
            <w:tcW w:w="9360" w:type="dxa"/>
            <w:tcBorders>
              <w:top w:val="single" w:sz="1" w:space="0" w:color="2E8B57"/>
              <w:left w:val="single" w:sz="1" w:space="0" w:color="2E8B57"/>
              <w:bottom w:val="single" w:sz="1" w:space="0" w:color="2E8B57"/>
              <w:right w:val="single" w:sz="1" w:space="0" w:color="2E8B57"/>
            </w:tcBorders>
            <w:shd w:val="clear" w:color="auto" w:fill="EBF7EE"/>
            <w:tcMar>
              <w:top w:w="140" w:type="dxa"/>
              <w:left w:w="220" w:type="dxa"/>
              <w:bottom w:w="140" w:type="dxa"/>
              <w:right w:w="220" w:type="dxa"/>
            </w:tcMar>
          </w:tcPr>
          <w:p w14:paraId="23A57EA8" w14:textId="77777777" w:rsidR="00933177" w:rsidRDefault="00933177" w:rsidP="001F40FE">
            <w:pPr>
              <w:spacing w:after="80"/>
            </w:pPr>
            <w:proofErr w:type="gramStart"/>
            <w:r>
              <w:rPr>
                <w:b/>
                <w:bCs/>
                <w:caps/>
                <w:color w:val="1A6B36"/>
                <w:sz w:val="20"/>
                <w:szCs w:val="20"/>
              </w:rPr>
              <w:t>✅  Criterio</w:t>
            </w:r>
            <w:proofErr w:type="gramEnd"/>
            <w:r>
              <w:rPr>
                <w:b/>
                <w:bCs/>
                <w:caps/>
                <w:color w:val="1A6B36"/>
                <w:sz w:val="20"/>
                <w:szCs w:val="20"/>
              </w:rPr>
              <w:t xml:space="preserve"> de avance a la Fase 5</w:t>
            </w:r>
          </w:p>
          <w:p w14:paraId="1EF8B532" w14:textId="5F9D2738" w:rsidR="00933177" w:rsidRDefault="00933177" w:rsidP="001F40FE">
            <w:pPr>
              <w:spacing w:after="60"/>
              <w:jc w:val="both"/>
            </w:pPr>
            <w:r>
              <w:rPr>
                <w:color w:val="1A1A1A"/>
                <w:sz w:val="20"/>
                <w:szCs w:val="20"/>
              </w:rPr>
              <w:t xml:space="preserve">Un mercado debe avanzar a la fase de Evaluación de Capacidades de </w:t>
            </w:r>
            <w:proofErr w:type="spellStart"/>
            <w:r>
              <w:rPr>
                <w:color w:val="1A1A1A"/>
                <w:sz w:val="20"/>
                <w:szCs w:val="20"/>
              </w:rPr>
              <w:t>Cibest</w:t>
            </w:r>
            <w:proofErr w:type="spellEnd"/>
            <w:r>
              <w:rPr>
                <w:color w:val="1A1A1A"/>
                <w:sz w:val="20"/>
                <w:szCs w:val="20"/>
              </w:rPr>
              <w:t xml:space="preserve"> (Sección 7 de este </w:t>
            </w:r>
            <w:r w:rsidR="00AA01B4">
              <w:rPr>
                <w:color w:val="1A1A1A"/>
                <w:sz w:val="20"/>
                <w:szCs w:val="20"/>
              </w:rPr>
              <w:t>documento</w:t>
            </w:r>
            <w:r>
              <w:rPr>
                <w:color w:val="1A1A1A"/>
                <w:sz w:val="20"/>
                <w:szCs w:val="20"/>
              </w:rPr>
              <w:t xml:space="preserve">) cuando: (1) su score RADAR lo clasifica como Prioritario o Atractivo con Riesgo; (2) la inteligencia regulatoria básica confirma que la entrada es legalmente posible para al menos una línea de negocio de </w:t>
            </w:r>
            <w:proofErr w:type="spellStart"/>
            <w:r>
              <w:rPr>
                <w:color w:val="1A1A1A"/>
                <w:sz w:val="20"/>
                <w:szCs w:val="20"/>
              </w:rPr>
              <w:t>Cibest</w:t>
            </w:r>
            <w:proofErr w:type="spellEnd"/>
            <w:r>
              <w:rPr>
                <w:color w:val="1A1A1A"/>
                <w:sz w:val="20"/>
                <w:szCs w:val="20"/>
              </w:rPr>
              <w:t xml:space="preserve"> en el horizonte estratégico; y (3) el memorando de inteligencia identifica al menos un segmento de demanda concreto y suficientemente grande para justificar la inversión de </w:t>
            </w:r>
            <w:proofErr w:type="spellStart"/>
            <w:r>
              <w:rPr>
                <w:color w:val="1A1A1A"/>
                <w:sz w:val="20"/>
                <w:szCs w:val="20"/>
              </w:rPr>
              <w:t>due</w:t>
            </w:r>
            <w:proofErr w:type="spellEnd"/>
            <w:r>
              <w:rPr>
                <w:color w:val="1A1A1A"/>
                <w:sz w:val="20"/>
                <w:szCs w:val="20"/>
              </w:rPr>
              <w:t xml:space="preserve"> </w:t>
            </w:r>
            <w:proofErr w:type="spellStart"/>
            <w:r>
              <w:rPr>
                <w:color w:val="1A1A1A"/>
                <w:sz w:val="20"/>
                <w:szCs w:val="20"/>
              </w:rPr>
              <w:t>diligence</w:t>
            </w:r>
            <w:proofErr w:type="spellEnd"/>
            <w:r>
              <w:rPr>
                <w:color w:val="1A1A1A"/>
                <w:sz w:val="20"/>
                <w:szCs w:val="20"/>
              </w:rPr>
              <w:t>. El cumplimiento de los tres criterios simultáneamente — no de cualquiera de ellos individualmente — es lo que justifica el avance.</w:t>
            </w:r>
          </w:p>
        </w:tc>
      </w:tr>
    </w:tbl>
    <w:p w14:paraId="6CE45583" w14:textId="77777777" w:rsidR="00933177" w:rsidRDefault="00933177" w:rsidP="00933177">
      <w:pPr>
        <w:spacing w:after="200"/>
      </w:pPr>
    </w:p>
    <w:p w14:paraId="0EB173E2" w14:textId="77777777" w:rsidR="00933177" w:rsidRDefault="00933177" w:rsidP="00933177">
      <w:pPr>
        <w:spacing w:before="240" w:after="60"/>
        <w:jc w:val="center"/>
      </w:pPr>
      <w:r>
        <w:rPr>
          <w:i/>
          <w:iCs/>
          <w:color w:val="888888"/>
          <w:sz w:val="18"/>
          <w:szCs w:val="18"/>
        </w:rPr>
        <w:t xml:space="preserve">— Fin de las Secciones 4 a </w:t>
      </w:r>
      <w:proofErr w:type="gramStart"/>
      <w:r>
        <w:rPr>
          <w:i/>
          <w:iCs/>
          <w:color w:val="888888"/>
          <w:sz w:val="18"/>
          <w:szCs w:val="18"/>
        </w:rPr>
        <w:t>6  —</w:t>
      </w:r>
      <w:proofErr w:type="gramEnd"/>
    </w:p>
    <w:p w14:paraId="48B77127" w14:textId="77777777" w:rsidR="00933177" w:rsidRDefault="00933177" w:rsidP="00933177">
      <w:pPr>
        <w:spacing w:after="240"/>
        <w:jc w:val="center"/>
      </w:pPr>
      <w:r>
        <w:rPr>
          <w:i/>
          <w:iCs/>
          <w:color w:val="888888"/>
          <w:sz w:val="18"/>
          <w:szCs w:val="18"/>
        </w:rPr>
        <w:t xml:space="preserve">Próximas secciones: Sección 7 — Evaluación de Capacidades de </w:t>
      </w:r>
      <w:proofErr w:type="spellStart"/>
      <w:proofErr w:type="gramStart"/>
      <w:r>
        <w:rPr>
          <w:i/>
          <w:iCs/>
          <w:color w:val="888888"/>
          <w:sz w:val="18"/>
          <w:szCs w:val="18"/>
        </w:rPr>
        <w:t>Cibest</w:t>
      </w:r>
      <w:proofErr w:type="spellEnd"/>
      <w:r>
        <w:rPr>
          <w:i/>
          <w:iCs/>
          <w:color w:val="888888"/>
          <w:sz w:val="18"/>
          <w:szCs w:val="18"/>
        </w:rPr>
        <w:t xml:space="preserve">  |</w:t>
      </w:r>
      <w:proofErr w:type="gramEnd"/>
      <w:r>
        <w:rPr>
          <w:i/>
          <w:iCs/>
          <w:color w:val="888888"/>
          <w:sz w:val="18"/>
          <w:szCs w:val="18"/>
        </w:rPr>
        <w:t xml:space="preserve">  Sección 8 — Embudo de </w:t>
      </w:r>
      <w:proofErr w:type="gramStart"/>
      <w:r>
        <w:rPr>
          <w:i/>
          <w:iCs/>
          <w:color w:val="888888"/>
          <w:sz w:val="18"/>
          <w:szCs w:val="18"/>
        </w:rPr>
        <w:t>Decisión  |</w:t>
      </w:r>
      <w:proofErr w:type="gramEnd"/>
      <w:r>
        <w:rPr>
          <w:i/>
          <w:iCs/>
          <w:color w:val="888888"/>
          <w:sz w:val="18"/>
          <w:szCs w:val="18"/>
        </w:rPr>
        <w:t xml:space="preserve">  Sección 9 — Modo de Entrada</w:t>
      </w:r>
    </w:p>
    <w:p w14:paraId="2134BB07" w14:textId="77777777" w:rsidR="00F54DC9" w:rsidRDefault="00F54DC9">
      <w:pPr>
        <w:spacing w:after="240"/>
        <w:jc w:val="center"/>
      </w:pPr>
    </w:p>
    <w:p w14:paraId="2F261B47" w14:textId="77777777" w:rsidR="00933177" w:rsidRDefault="00933177">
      <w:pPr>
        <w:spacing w:after="240"/>
        <w:jc w:val="center"/>
      </w:pPr>
    </w:p>
    <w:p w14:paraId="3BD08C1E" w14:textId="77777777" w:rsidR="00933177" w:rsidRDefault="00933177">
      <w:pPr>
        <w:spacing w:after="240"/>
        <w:jc w:val="center"/>
      </w:pPr>
    </w:p>
    <w:p w14:paraId="5D8DC8CC" w14:textId="4DAED965" w:rsidR="00182F4A" w:rsidRDefault="00182F4A" w:rsidP="00182F4A">
      <w:pPr>
        <w:spacing w:after="80"/>
        <w:jc w:val="center"/>
      </w:pPr>
      <w:r>
        <w:rPr>
          <w:caps/>
          <w:color w:val="888888"/>
          <w:sz w:val="18"/>
          <w:szCs w:val="18"/>
        </w:rPr>
        <w:lastRenderedPageBreak/>
        <w:t xml:space="preserve">RADAR CIBEST — </w:t>
      </w:r>
      <w:r w:rsidR="00AA01B4">
        <w:rPr>
          <w:caps/>
          <w:color w:val="888888"/>
          <w:sz w:val="18"/>
          <w:szCs w:val="18"/>
        </w:rPr>
        <w:t>DOCUMENTO</w:t>
      </w:r>
      <w:r>
        <w:rPr>
          <w:caps/>
          <w:color w:val="888888"/>
          <w:sz w:val="18"/>
          <w:szCs w:val="18"/>
        </w:rPr>
        <w:t xml:space="preserve"> | SECCIONES 7 A 9 </w:t>
      </w:r>
    </w:p>
    <w:p w14:paraId="235D2555" w14:textId="77777777" w:rsidR="00182F4A" w:rsidRDefault="00182F4A" w:rsidP="00182F4A">
      <w:pPr>
        <w:pBdr>
          <w:bottom w:val="single" w:sz="6" w:space="1" w:color="E8B931"/>
        </w:pBdr>
        <w:spacing w:after="300"/>
      </w:pPr>
    </w:p>
    <w:p w14:paraId="476E04F2" w14:textId="77777777" w:rsidR="00182F4A" w:rsidRPr="004F7F45" w:rsidRDefault="00182F4A" w:rsidP="00182F4A">
      <w:pPr>
        <w:pStyle w:val="Ttulo1"/>
        <w:ind w:left="200" w:right="200"/>
        <w:rPr>
          <w:color w:val="auto"/>
        </w:rPr>
      </w:pPr>
      <w:bookmarkStart w:id="55" w:name="_Toc232659604"/>
      <w:r w:rsidRPr="004F7F45">
        <w:rPr>
          <w:color w:val="auto"/>
        </w:rPr>
        <w:t xml:space="preserve">Sección 7 — Fase 5: Evaluación de Capacidades de Cibest por </w:t>
      </w:r>
      <w:proofErr w:type="gramStart"/>
      <w:r w:rsidRPr="004F7F45">
        <w:rPr>
          <w:color w:val="auto"/>
        </w:rPr>
        <w:t>Línea</w:t>
      </w:r>
      <w:proofErr w:type="gramEnd"/>
      <w:r w:rsidRPr="004F7F45">
        <w:rPr>
          <w:color w:val="auto"/>
        </w:rPr>
        <w:t xml:space="preserve"> de Negocio y Mercado</w:t>
      </w:r>
      <w:bookmarkEnd w:id="55"/>
    </w:p>
    <w:p w14:paraId="62C0944D" w14:textId="77777777" w:rsidR="00182F4A" w:rsidRDefault="00182F4A" w:rsidP="00182F4A">
      <w:pPr>
        <w:spacing w:after="100"/>
      </w:pPr>
    </w:p>
    <w:p w14:paraId="11062664" w14:textId="77777777" w:rsidR="00182F4A" w:rsidRDefault="00182F4A" w:rsidP="00182F4A">
      <w:pPr>
        <w:spacing w:before="140" w:after="140" w:line="320" w:lineRule="auto"/>
        <w:jc w:val="both"/>
      </w:pPr>
      <w:r>
        <w:rPr>
          <w:color w:val="111111"/>
        </w:rPr>
        <w:t xml:space="preserve">Las cuatro fases anteriores del proceso SIM — definición del objetivo, screening primario, análisis cuantitativo con RADAR y la inteligencia cualitativa — han tenido como protagonista el entorno externo: los mercados. Han respondido, con creciente profundidad, la pregunta '¿cuáles son los mercados más atractivos para Grupo </w:t>
      </w:r>
      <w:proofErr w:type="spellStart"/>
      <w:r>
        <w:rPr>
          <w:color w:val="111111"/>
        </w:rPr>
        <w:t>Cibest</w:t>
      </w:r>
      <w:proofErr w:type="spellEnd"/>
      <w:r>
        <w:rPr>
          <w:color w:val="111111"/>
        </w:rPr>
        <w:t xml:space="preserve">?'. La Fase 5 cambia el eje del análisis: ahora la pregunta es '¿tiene </w:t>
      </w:r>
      <w:proofErr w:type="spellStart"/>
      <w:r>
        <w:rPr>
          <w:color w:val="111111"/>
        </w:rPr>
        <w:t>Cibest</w:t>
      </w:r>
      <w:proofErr w:type="spellEnd"/>
      <w:r>
        <w:rPr>
          <w:color w:val="111111"/>
        </w:rPr>
        <w:t xml:space="preserve"> las capacidades necesarias para operar exitosamente en esos mercados atractivos, con cada una de sus líneas de negocio?'. Esta inversión del foco es metodológicamente crítica porque el error más costoso en los procesos de internacionalización no es elegir un mercado de atractivo medio en lugar de uno de atractivo alto: es elegir un mercado para el cual la organización no tiene las capacidades de ejecución necesarias.</w:t>
      </w:r>
    </w:p>
    <w:p w14:paraId="33FB8AB1" w14:textId="77777777" w:rsidR="00182F4A" w:rsidRDefault="00182F4A" w:rsidP="00182F4A">
      <w:pPr>
        <w:spacing w:before="140" w:after="140" w:line="320" w:lineRule="auto"/>
        <w:jc w:val="both"/>
      </w:pPr>
      <w:r>
        <w:rPr>
          <w:color w:val="111111"/>
        </w:rPr>
        <w:t xml:space="preserve">La evidencia académica y práctica sobre fracasos en internacionalización bancaria documenta este error como el más frecuente. Un banco puede elegir correctamente el mercado más atractivo de la región y fracasar en él por razones internas: capital insuficiente para atravesar el período de maduración, talento directivo sin experiencia en gestión de subsidiarias internacionales, sistemas tecnológicos que no son adaptables a los requisitos regulatorios locales, o ausencia de relaciones con los actores del ecosistema local que son indispensables para operar. El marco conceptual que funda esta evaluación es el de las capacidades centrales de la organización, desarrollado por Prahalad y Hamel (1990) en su artículo seminal en Harvard Business </w:t>
      </w:r>
      <w:proofErr w:type="spellStart"/>
      <w:r>
        <w:rPr>
          <w:color w:val="111111"/>
        </w:rPr>
        <w:t>Review</w:t>
      </w:r>
      <w:proofErr w:type="spellEnd"/>
      <w:r>
        <w:rPr>
          <w:color w:val="111111"/>
        </w:rPr>
        <w:t xml:space="preserve">: The Core </w:t>
      </w:r>
      <w:proofErr w:type="spellStart"/>
      <w:r>
        <w:rPr>
          <w:color w:val="111111"/>
        </w:rPr>
        <w:t>Competence</w:t>
      </w:r>
      <w:proofErr w:type="spellEnd"/>
      <w:r>
        <w:rPr>
          <w:color w:val="111111"/>
        </w:rPr>
        <w:t xml:space="preserve"> </w:t>
      </w:r>
      <w:proofErr w:type="spellStart"/>
      <w:r>
        <w:rPr>
          <w:color w:val="111111"/>
        </w:rPr>
        <w:t>of</w:t>
      </w:r>
      <w:proofErr w:type="spellEnd"/>
      <w:r>
        <w:rPr>
          <w:color w:val="111111"/>
        </w:rPr>
        <w:t xml:space="preserve"> </w:t>
      </w:r>
      <w:proofErr w:type="spellStart"/>
      <w:r>
        <w:rPr>
          <w:color w:val="111111"/>
        </w:rPr>
        <w:t>the</w:t>
      </w:r>
      <w:proofErr w:type="spellEnd"/>
      <w:r>
        <w:rPr>
          <w:color w:val="111111"/>
        </w:rPr>
        <w:t xml:space="preserve"> </w:t>
      </w:r>
      <w:proofErr w:type="spellStart"/>
      <w:r>
        <w:rPr>
          <w:color w:val="111111"/>
        </w:rPr>
        <w:t>Corporation</w:t>
      </w:r>
      <w:proofErr w:type="spellEnd"/>
      <w:r>
        <w:rPr>
          <w:color w:val="111111"/>
        </w:rPr>
        <w:t xml:space="preserve"> [https://hbr.org/1990/05/the-core-competence-of-the-corporation]. La aplicación al contexto de la internacionalización financiera ha sido desarrollada extensamente por el </w:t>
      </w:r>
      <w:proofErr w:type="gramStart"/>
      <w:r>
        <w:rPr>
          <w:color w:val="111111"/>
        </w:rPr>
        <w:t>BIS en</w:t>
      </w:r>
      <w:proofErr w:type="gramEnd"/>
      <w:r>
        <w:rPr>
          <w:color w:val="111111"/>
        </w:rPr>
        <w:t xml:space="preserve"> sus reportes sobre expansión bancaria internacional [https://www.bis.org/publ/arpdf/ar2021e.htm].</w:t>
      </w:r>
    </w:p>
    <w:p w14:paraId="54048343" w14:textId="77777777" w:rsidR="00182F4A" w:rsidRDefault="00182F4A" w:rsidP="00182F4A">
      <w:pPr>
        <w:spacing w:after="100"/>
      </w:pPr>
    </w:p>
    <w:p w14:paraId="4C2C8ECF" w14:textId="77777777" w:rsidR="00182F4A" w:rsidRDefault="00182F4A" w:rsidP="00182F4A">
      <w:pPr>
        <w:pStyle w:val="Ttulo2"/>
        <w:pBdr>
          <w:bottom w:val="single" w:sz="4" w:space="4" w:color="E8B931"/>
        </w:pBdr>
      </w:pPr>
      <w:bookmarkStart w:id="56" w:name="_Toc232659605"/>
      <w:proofErr w:type="gramStart"/>
      <w:r>
        <w:t>7.1  Por</w:t>
      </w:r>
      <w:proofErr w:type="gramEnd"/>
      <w:r>
        <w:t xml:space="preserve"> qué la evaluación de capacidades es diferente a la evaluación de atractivo de mercado</w:t>
      </w:r>
      <w:bookmarkEnd w:id="56"/>
    </w:p>
    <w:p w14:paraId="646F837F" w14:textId="77777777" w:rsidR="00182F4A" w:rsidRDefault="00182F4A" w:rsidP="00182F4A">
      <w:pPr>
        <w:spacing w:before="140" w:after="140" w:line="320" w:lineRule="auto"/>
        <w:jc w:val="both"/>
      </w:pPr>
      <w:r>
        <w:rPr>
          <w:color w:val="111111"/>
        </w:rPr>
        <w:t xml:space="preserve">La distinción conceptual entre atractivo del mercado y capacidades del entrante no es un refinamiento académico: tiene implicaciones prácticas directas sobre cómo se usa el output de RADAR </w:t>
      </w:r>
      <w:proofErr w:type="spellStart"/>
      <w:r>
        <w:rPr>
          <w:color w:val="111111"/>
        </w:rPr>
        <w:t>Cibest</w:t>
      </w:r>
      <w:proofErr w:type="spellEnd"/>
      <w:r>
        <w:rPr>
          <w:color w:val="111111"/>
        </w:rPr>
        <w:t xml:space="preserve">. </w:t>
      </w:r>
      <w:r w:rsidRPr="004D35DF">
        <w:rPr>
          <w:color w:val="111111"/>
          <w:highlight w:val="yellow"/>
        </w:rPr>
        <w:t>El modelo RADAR evalúa condiciones externas objetivas</w:t>
      </w:r>
      <w:r>
        <w:rPr>
          <w:color w:val="111111"/>
        </w:rPr>
        <w:t xml:space="preserve"> — qué tan propicio es el entorno macroeconómico, regulatorio, financiero y tecnológico de un mercado para la operación de un banco entrante. Pero esas condiciones son iguales para todos los posibles </w:t>
      </w:r>
      <w:r>
        <w:rPr>
          <w:color w:val="111111"/>
        </w:rPr>
        <w:lastRenderedPageBreak/>
        <w:t xml:space="preserve">entrantes: RADAR diría que el mismo mercado es igualmente atractivo para </w:t>
      </w:r>
      <w:proofErr w:type="spellStart"/>
      <w:r>
        <w:rPr>
          <w:color w:val="111111"/>
        </w:rPr>
        <w:t>Cibest</w:t>
      </w:r>
      <w:proofErr w:type="spellEnd"/>
      <w:r>
        <w:rPr>
          <w:color w:val="111111"/>
        </w:rPr>
        <w:t xml:space="preserve">, para Davivienda, para </w:t>
      </w:r>
      <w:proofErr w:type="spellStart"/>
      <w:r>
        <w:rPr>
          <w:color w:val="111111"/>
        </w:rPr>
        <w:t>Nubank</w:t>
      </w:r>
      <w:proofErr w:type="spellEnd"/>
      <w:r>
        <w:rPr>
          <w:color w:val="111111"/>
        </w:rPr>
        <w:t xml:space="preserve"> o para un banco español que quisiera entrar a ese mismo mercado. </w:t>
      </w:r>
      <w:r w:rsidRPr="00C66284">
        <w:rPr>
          <w:color w:val="111111"/>
          <w:highlight w:val="yellow"/>
        </w:rPr>
        <w:t>La diferencia entre esos entrantes no la captura el modelo: la captura esta fase de evaluación de capacidades.</w:t>
      </w:r>
    </w:p>
    <w:p w14:paraId="25149959" w14:textId="77777777" w:rsidR="00182F4A" w:rsidRDefault="00182F4A" w:rsidP="00182F4A">
      <w:pPr>
        <w:spacing w:before="140" w:after="140" w:line="320" w:lineRule="auto"/>
        <w:jc w:val="both"/>
      </w:pPr>
      <w:r w:rsidRPr="00A43267">
        <w:rPr>
          <w:color w:val="111111"/>
          <w:highlight w:val="yellow"/>
        </w:rPr>
        <w:t xml:space="preserve">El cruce entre atractivo del mercado y capacidades del entrante es lo que define la prioridad real de cada combinación mercado-línea de negocio para </w:t>
      </w:r>
      <w:proofErr w:type="spellStart"/>
      <w:r w:rsidRPr="00A43267">
        <w:rPr>
          <w:color w:val="111111"/>
          <w:highlight w:val="yellow"/>
        </w:rPr>
        <w:t>Cibest</w:t>
      </w:r>
      <w:proofErr w:type="spellEnd"/>
      <w:r w:rsidRPr="00A43267">
        <w:rPr>
          <w:color w:val="111111"/>
          <w:highlight w:val="yellow"/>
        </w:rPr>
        <w:t xml:space="preserve"> específicamente.</w:t>
      </w:r>
      <w:r>
        <w:rPr>
          <w:color w:val="111111"/>
        </w:rPr>
        <w:t xml:space="preserve"> Un mercado de alto atractivo para el cual </w:t>
      </w:r>
      <w:proofErr w:type="spellStart"/>
      <w:r>
        <w:rPr>
          <w:color w:val="111111"/>
        </w:rPr>
        <w:t>Cibest</w:t>
      </w:r>
      <w:proofErr w:type="spellEnd"/>
      <w:r>
        <w:rPr>
          <w:color w:val="111111"/>
        </w:rPr>
        <w:t xml:space="preserve"> tiene alta capacidad de ejecución es el candidato de entrada inmediata: la oportunidad existe y la organización puede capturarla. Un mercado de alto atractivo para el cual </w:t>
      </w:r>
      <w:proofErr w:type="spellStart"/>
      <w:r>
        <w:rPr>
          <w:color w:val="111111"/>
        </w:rPr>
        <w:t>Cibest</w:t>
      </w:r>
      <w:proofErr w:type="spellEnd"/>
      <w:r>
        <w:rPr>
          <w:color w:val="111111"/>
        </w:rPr>
        <w:t xml:space="preserve"> tiene baja capacidad es una trampa estratégica: la oportunidad existe, pero </w:t>
      </w:r>
      <w:proofErr w:type="spellStart"/>
      <w:r>
        <w:rPr>
          <w:color w:val="111111"/>
        </w:rPr>
        <w:t>Cibest</w:t>
      </w:r>
      <w:proofErr w:type="spellEnd"/>
      <w:r>
        <w:rPr>
          <w:color w:val="111111"/>
        </w:rPr>
        <w:t xml:space="preserve"> no está en posición de capturarla sin una inversión previa de fortalecimiento de capacidades que puede tomar más tiempo del que el horizonte estratégico permite. Un mercado de bajo atractivo para el cual </w:t>
      </w:r>
      <w:proofErr w:type="spellStart"/>
      <w:r>
        <w:rPr>
          <w:color w:val="111111"/>
        </w:rPr>
        <w:t>Cibest</w:t>
      </w:r>
      <w:proofErr w:type="spellEnd"/>
      <w:r>
        <w:rPr>
          <w:color w:val="111111"/>
        </w:rPr>
        <w:t xml:space="preserve"> tiene alta capacidad es una oportunidad de eficiencia operativa sin crecimiento significativo — no es el destino de inversión prioritario, aunque puede ser útil como primer paso de aprendizaje internacional. Un mercado de bajo atractivo y baja capacidad no merece análisis adicional en el horizonte actual.</w:t>
      </w:r>
    </w:p>
    <w:p w14:paraId="224BA8A0" w14:textId="77777777" w:rsidR="00182F4A" w:rsidRDefault="00182F4A" w:rsidP="00182F4A">
      <w:pPr>
        <w:spacing w:after="100"/>
      </w:pPr>
    </w:p>
    <w:p w14:paraId="4B90CBEE" w14:textId="77777777" w:rsidR="00182F4A" w:rsidRDefault="00182F4A" w:rsidP="00182F4A">
      <w:pPr>
        <w:pStyle w:val="Ttulo2"/>
        <w:pBdr>
          <w:bottom w:val="single" w:sz="4" w:space="4" w:color="E8B931"/>
        </w:pBdr>
      </w:pPr>
      <w:bookmarkStart w:id="57" w:name="_Toc232659606"/>
      <w:proofErr w:type="gramStart"/>
      <w:r>
        <w:t>7.2  Las</w:t>
      </w:r>
      <w:proofErr w:type="gramEnd"/>
      <w:r>
        <w:t xml:space="preserve"> cinco dimensiones de capacidad evaluadas por </w:t>
      </w:r>
      <w:proofErr w:type="gramStart"/>
      <w:r>
        <w:t>línea</w:t>
      </w:r>
      <w:proofErr w:type="gramEnd"/>
      <w:r>
        <w:t xml:space="preserve"> de negocio</w:t>
      </w:r>
      <w:bookmarkEnd w:id="57"/>
    </w:p>
    <w:p w14:paraId="0CEC4015" w14:textId="77777777" w:rsidR="00182F4A" w:rsidRDefault="00182F4A" w:rsidP="00182F4A">
      <w:pPr>
        <w:spacing w:before="140" w:after="140" w:line="320" w:lineRule="auto"/>
        <w:jc w:val="both"/>
      </w:pPr>
      <w:r>
        <w:rPr>
          <w:color w:val="111111"/>
        </w:rPr>
        <w:t xml:space="preserve">La evaluación de capacidades de </w:t>
      </w:r>
      <w:proofErr w:type="spellStart"/>
      <w:r>
        <w:rPr>
          <w:color w:val="111111"/>
        </w:rPr>
        <w:t>Cibest</w:t>
      </w:r>
      <w:proofErr w:type="spellEnd"/>
      <w:r>
        <w:rPr>
          <w:color w:val="111111"/>
        </w:rPr>
        <w:t xml:space="preserve"> se estructura en torno a cinco dimensiones que, en conjunto, determinan si la organización puede ejecutar la entrada a un mercado con una línea de negocio específica. Cada dimensión se evalúa en una escala de cuatro niveles — Alta, Media, Baja o Ausente — para cada línea de negocio. La evaluación es conducida por los líderes de cada línea de negocio, facilitada por el equipo de Estrategia Corporativa y validada por el CEO y el CFO.</w:t>
      </w:r>
    </w:p>
    <w:p w14:paraId="5E631834" w14:textId="77777777" w:rsidR="00182F4A" w:rsidRDefault="00182F4A" w:rsidP="00182F4A">
      <w:pPr>
        <w:pStyle w:val="Ttulo3"/>
      </w:pPr>
      <w:bookmarkStart w:id="58" w:name="_Toc232659607"/>
      <w:r>
        <w:t>Capacidades tecnológicas</w:t>
      </w:r>
      <w:bookmarkEnd w:id="58"/>
    </w:p>
    <w:p w14:paraId="1AA47409" w14:textId="77777777" w:rsidR="00182F4A" w:rsidRDefault="00182F4A" w:rsidP="00182F4A">
      <w:pPr>
        <w:spacing w:before="140" w:after="140" w:line="320" w:lineRule="auto"/>
        <w:jc w:val="both"/>
      </w:pPr>
      <w:r>
        <w:rPr>
          <w:color w:val="111111"/>
        </w:rPr>
        <w:t xml:space="preserve">Esta dimensión </w:t>
      </w:r>
      <w:r w:rsidRPr="0025576B">
        <w:rPr>
          <w:color w:val="111111"/>
          <w:highlight w:val="yellow"/>
        </w:rPr>
        <w:t xml:space="preserve">evalúa si </w:t>
      </w:r>
      <w:proofErr w:type="spellStart"/>
      <w:r w:rsidRPr="0025576B">
        <w:rPr>
          <w:color w:val="111111"/>
          <w:highlight w:val="yellow"/>
        </w:rPr>
        <w:t>Cibest</w:t>
      </w:r>
      <w:proofErr w:type="spellEnd"/>
      <w:r w:rsidRPr="0025576B">
        <w:rPr>
          <w:color w:val="111111"/>
          <w:highlight w:val="yellow"/>
        </w:rPr>
        <w:t xml:space="preserve"> tiene los sistemas, plataformas, </w:t>
      </w:r>
      <w:proofErr w:type="spellStart"/>
      <w:r w:rsidRPr="0025576B">
        <w:rPr>
          <w:color w:val="111111"/>
          <w:highlight w:val="yellow"/>
        </w:rPr>
        <w:t>APIs</w:t>
      </w:r>
      <w:proofErr w:type="spellEnd"/>
      <w:r w:rsidRPr="0025576B">
        <w:rPr>
          <w:color w:val="111111"/>
          <w:highlight w:val="yellow"/>
        </w:rPr>
        <w:t xml:space="preserve"> e infraestructura tecnológica necesarios para operar en el mercado destino, con la línea de negocio específica, en el marco de los requisitos técnicos del regulador local y la infraestructura del ecosistema del país. Para la línea de Intermediación Bancaria, la pregunta central es si el </w:t>
      </w:r>
      <w:proofErr w:type="spellStart"/>
      <w:r w:rsidRPr="0025576B">
        <w:rPr>
          <w:color w:val="111111"/>
          <w:highlight w:val="yellow"/>
        </w:rPr>
        <w:t>core</w:t>
      </w:r>
      <w:proofErr w:type="spellEnd"/>
      <w:r w:rsidRPr="0025576B">
        <w:rPr>
          <w:color w:val="111111"/>
          <w:highlight w:val="yellow"/>
        </w:rPr>
        <w:t xml:space="preserve"> bancario de </w:t>
      </w:r>
      <w:proofErr w:type="spellStart"/>
      <w:r w:rsidRPr="0025576B">
        <w:rPr>
          <w:color w:val="111111"/>
          <w:highlight w:val="yellow"/>
        </w:rPr>
        <w:t>Cibest</w:t>
      </w:r>
      <w:proofErr w:type="spellEnd"/>
      <w:r w:rsidRPr="0025576B">
        <w:rPr>
          <w:color w:val="111111"/>
          <w:highlight w:val="yellow"/>
        </w:rPr>
        <w:t xml:space="preserve"> es adaptable a los requisitos contables, regulatorios y de reporte del regulador del mercado destino sin rediseño estructural.</w:t>
      </w:r>
      <w:r>
        <w:rPr>
          <w:color w:val="111111"/>
        </w:rPr>
        <w:t xml:space="preserve"> Para Bancos Digitales, la pregunta es si la plataforma digital de </w:t>
      </w:r>
      <w:proofErr w:type="spellStart"/>
      <w:r>
        <w:rPr>
          <w:color w:val="111111"/>
        </w:rPr>
        <w:t>Cibest</w:t>
      </w:r>
      <w:proofErr w:type="spellEnd"/>
      <w:r>
        <w:rPr>
          <w:color w:val="111111"/>
        </w:rPr>
        <w:t xml:space="preserve"> es desplegable en el mercado destino con la latencia, seguridad y disponibilidad que el regulador y los clientes locales esperan. Para Activos Digitales, la pregunta es si los sistemas de custodia, gestión de billeteras y liquidación de </w:t>
      </w:r>
      <w:proofErr w:type="spellStart"/>
      <w:r>
        <w:rPr>
          <w:color w:val="111111"/>
        </w:rPr>
        <w:t>Cibest</w:t>
      </w:r>
      <w:proofErr w:type="spellEnd"/>
      <w:r>
        <w:rPr>
          <w:color w:val="111111"/>
        </w:rPr>
        <w:t xml:space="preserve"> son compatibles con la infraestructura </w:t>
      </w:r>
      <w:proofErr w:type="spellStart"/>
      <w:r>
        <w:rPr>
          <w:color w:val="111111"/>
        </w:rPr>
        <w:t>blockchain</w:t>
      </w:r>
      <w:proofErr w:type="spellEnd"/>
      <w:r>
        <w:rPr>
          <w:color w:val="111111"/>
        </w:rPr>
        <w:t xml:space="preserve"> y los estándares de custodia del mercado destino. Para Pagos y Flujos, la pregunta es si la </w:t>
      </w:r>
      <w:r>
        <w:rPr>
          <w:color w:val="111111"/>
        </w:rPr>
        <w:lastRenderedPageBreak/>
        <w:t xml:space="preserve">plataforma de procesamiento de </w:t>
      </w:r>
      <w:proofErr w:type="spellStart"/>
      <w:r>
        <w:rPr>
          <w:color w:val="111111"/>
        </w:rPr>
        <w:t>Cibest</w:t>
      </w:r>
      <w:proofErr w:type="spellEnd"/>
      <w:r>
        <w:rPr>
          <w:color w:val="111111"/>
        </w:rPr>
        <w:t xml:space="preserve"> tiene los conectores necesarios para interoperar con las redes de pago locales — ACH, SINPE, SPEI u otras — del mercado candidato.</w:t>
      </w:r>
    </w:p>
    <w:p w14:paraId="32043B63" w14:textId="77777777" w:rsidR="00182F4A" w:rsidRDefault="00182F4A" w:rsidP="00182F4A">
      <w:pPr>
        <w:pStyle w:val="Ttulo3"/>
      </w:pPr>
      <w:bookmarkStart w:id="59" w:name="_Toc232659608"/>
      <w:r>
        <w:t>Capacidades de talento</w:t>
      </w:r>
      <w:bookmarkEnd w:id="59"/>
    </w:p>
    <w:p w14:paraId="67670EB1" w14:textId="77777777" w:rsidR="00182F4A" w:rsidRDefault="00182F4A" w:rsidP="00182F4A">
      <w:pPr>
        <w:spacing w:before="140" w:after="140" w:line="320" w:lineRule="auto"/>
        <w:jc w:val="both"/>
      </w:pPr>
      <w:r>
        <w:rPr>
          <w:color w:val="111111"/>
        </w:rPr>
        <w:t xml:space="preserve">Esta dimensión evalúa si </w:t>
      </w:r>
      <w:proofErr w:type="spellStart"/>
      <w:r>
        <w:rPr>
          <w:color w:val="111111"/>
        </w:rPr>
        <w:t>Cibest</w:t>
      </w:r>
      <w:proofErr w:type="spellEnd"/>
      <w:r>
        <w:rPr>
          <w:color w:val="111111"/>
        </w:rPr>
        <w:t xml:space="preserve"> tiene —o puede adquirir en el horizonte estratégico— el </w:t>
      </w:r>
      <w:r w:rsidRPr="0025576B">
        <w:rPr>
          <w:color w:val="111111"/>
          <w:highlight w:val="yellow"/>
        </w:rPr>
        <w:t>talento humano con conocimiento del mercado destino, comprensión del marco regulatorio local, dominio de las dinámicas competitivas del sector en ese país y, en caso necesario, dominio del idioma local.</w:t>
      </w:r>
      <w:r>
        <w:rPr>
          <w:color w:val="111111"/>
        </w:rPr>
        <w:t xml:space="preserve"> Para mercados hispanohablantes, la barrera idiomática es baja pero el conocimiento del mercado específico sigue siendo un activo crítico que no se adquiere de manera genérica. Para mercados anglófonos como Estados Unidos, Trinidad y Tobago o Jamaica, o </w:t>
      </w:r>
      <w:proofErr w:type="spellStart"/>
      <w:r>
        <w:rPr>
          <w:color w:val="111111"/>
        </w:rPr>
        <w:t>lusófonos</w:t>
      </w:r>
      <w:proofErr w:type="spellEnd"/>
      <w:r>
        <w:rPr>
          <w:color w:val="111111"/>
        </w:rPr>
        <w:t xml:space="preserve"> como Brasil, la barrera idiomática se suma a la de conocimiento local, elevando el desafío de talento. La pregunta práctica es triple: ¿</w:t>
      </w:r>
      <w:proofErr w:type="spellStart"/>
      <w:r>
        <w:rPr>
          <w:color w:val="111111"/>
        </w:rPr>
        <w:t>Cibest</w:t>
      </w:r>
      <w:proofErr w:type="spellEnd"/>
      <w:r>
        <w:rPr>
          <w:color w:val="111111"/>
        </w:rPr>
        <w:t xml:space="preserve"> tiene internamente personas con ese conocimiento? ¿Puede contratarlas en el mercado laboral? ¿Puede transferirlas desde Colombia para los roles directivos críticos de la operación inicial?</w:t>
      </w:r>
    </w:p>
    <w:p w14:paraId="77AB924F" w14:textId="77777777" w:rsidR="00182F4A" w:rsidRDefault="00182F4A" w:rsidP="00182F4A">
      <w:pPr>
        <w:pStyle w:val="Ttulo3"/>
      </w:pPr>
      <w:bookmarkStart w:id="60" w:name="_Toc232659609"/>
      <w:r>
        <w:t>Capacidades de capital</w:t>
      </w:r>
      <w:bookmarkEnd w:id="60"/>
    </w:p>
    <w:p w14:paraId="0C18E420" w14:textId="77777777" w:rsidR="00182F4A" w:rsidRDefault="00182F4A" w:rsidP="00182F4A">
      <w:pPr>
        <w:spacing w:before="140" w:after="140" w:line="320" w:lineRule="auto"/>
        <w:jc w:val="both"/>
      </w:pPr>
      <w:r>
        <w:rPr>
          <w:color w:val="111111"/>
        </w:rPr>
        <w:t xml:space="preserve">Esta dimensión evalúa si </w:t>
      </w:r>
      <w:proofErr w:type="spellStart"/>
      <w:r>
        <w:rPr>
          <w:color w:val="111111"/>
        </w:rPr>
        <w:t>Cibest</w:t>
      </w:r>
      <w:proofErr w:type="spellEnd"/>
      <w:r>
        <w:rPr>
          <w:color w:val="111111"/>
        </w:rPr>
        <w:t xml:space="preserve"> tiene disponible el capital para </w:t>
      </w:r>
      <w:r w:rsidRPr="00BD787C">
        <w:rPr>
          <w:color w:val="111111"/>
          <w:highlight w:val="yellow"/>
        </w:rPr>
        <w:t xml:space="preserve">cumplir con los requisitos de capital mínimo del regulador del mercado destino, financiar los costos de establecimiento de la operación, sostener el período de maduración antes de alcanzar el punto de equilibrio —que para Intermediación Bancaria puede ser de cuatro a siete años en un mercado nuevo— y mantener simultáneamente </w:t>
      </w:r>
      <w:proofErr w:type="gramStart"/>
      <w:r w:rsidRPr="00BD787C">
        <w:rPr>
          <w:color w:val="111111"/>
          <w:highlight w:val="yellow"/>
        </w:rPr>
        <w:t>los ratios</w:t>
      </w:r>
      <w:proofErr w:type="gramEnd"/>
      <w:r w:rsidRPr="00BD787C">
        <w:rPr>
          <w:color w:val="111111"/>
          <w:highlight w:val="yellow"/>
        </w:rPr>
        <w:t xml:space="preserve"> de capital regulatorio de sus operaciones existentes en Colombia</w:t>
      </w:r>
      <w:r>
        <w:rPr>
          <w:color w:val="111111"/>
        </w:rPr>
        <w:t xml:space="preserve">. Esta evaluación requiere la participación del CFO con información precisa sobre la hoja de balance proyectada de </w:t>
      </w:r>
      <w:proofErr w:type="spellStart"/>
      <w:r>
        <w:rPr>
          <w:color w:val="111111"/>
        </w:rPr>
        <w:t>Cibest</w:t>
      </w:r>
      <w:proofErr w:type="spellEnd"/>
      <w:r>
        <w:rPr>
          <w:color w:val="111111"/>
        </w:rPr>
        <w:t xml:space="preserve"> en el horizonte de la estrategia. Un error frecuente en los procesos de internacionalización es subestimar el capital total comprometido: el capital mínimo regulatorio es visible, pero los costos de establecimiento, los primeros años de pérdidas operativas y el capital de trabajo de la nueva operación se suman al requerimiento total y frecuentemente lo duplican o triplican.</w:t>
      </w:r>
    </w:p>
    <w:p w14:paraId="31F46A2E" w14:textId="77777777" w:rsidR="00182F4A" w:rsidRDefault="00182F4A" w:rsidP="00182F4A">
      <w:pPr>
        <w:pStyle w:val="Ttulo3"/>
      </w:pPr>
      <w:bookmarkStart w:id="61" w:name="_Toc232659610"/>
      <w:r>
        <w:t>Capacidades relacionales</w:t>
      </w:r>
      <w:bookmarkEnd w:id="61"/>
    </w:p>
    <w:p w14:paraId="089A364A" w14:textId="77777777" w:rsidR="00182F4A" w:rsidRDefault="00182F4A" w:rsidP="00182F4A">
      <w:pPr>
        <w:spacing w:before="140" w:after="140" w:line="320" w:lineRule="auto"/>
        <w:jc w:val="both"/>
      </w:pPr>
      <w:r>
        <w:rPr>
          <w:color w:val="111111"/>
        </w:rPr>
        <w:t xml:space="preserve">Esta dimensión evalúa si </w:t>
      </w:r>
      <w:proofErr w:type="spellStart"/>
      <w:r>
        <w:rPr>
          <w:color w:val="111111"/>
        </w:rPr>
        <w:t>Cibest</w:t>
      </w:r>
      <w:proofErr w:type="spellEnd"/>
      <w:r>
        <w:rPr>
          <w:color w:val="111111"/>
        </w:rPr>
        <w:t xml:space="preserve"> tiene </w:t>
      </w:r>
      <w:r w:rsidRPr="00BD787C">
        <w:rPr>
          <w:color w:val="111111"/>
          <w:highlight w:val="yellow"/>
        </w:rPr>
        <w:t xml:space="preserve">relaciones previas o acceso a relaciones con los actores del ecosistema del mercado destino que son indispensables para operar: reguladores financieros con los que establecer una relación de confianza antes del licenciamiento, potenciales socios locales con quienes desarrollar una alianza o </w:t>
      </w:r>
      <w:proofErr w:type="spellStart"/>
      <w:r w:rsidRPr="00BD787C">
        <w:rPr>
          <w:color w:val="111111"/>
          <w:highlight w:val="yellow"/>
        </w:rPr>
        <w:t>joint</w:t>
      </w:r>
      <w:proofErr w:type="spellEnd"/>
      <w:r w:rsidRPr="00BD787C">
        <w:rPr>
          <w:color w:val="111111"/>
          <w:highlight w:val="yellow"/>
        </w:rPr>
        <w:t xml:space="preserve"> venture, clientes corporativos colombianos con operaciones en ese mercado que puedan ser la base inicial del negocio CIB, y redes de distribución o corresponsalía bancaria que permitan operar la línea de Pagos sin presencia física.</w:t>
      </w:r>
      <w:r>
        <w:rPr>
          <w:color w:val="111111"/>
        </w:rPr>
        <w:t xml:space="preserve"> La evaluación de esta dimensión se alimenta directamente del análisis de </w:t>
      </w:r>
      <w:proofErr w:type="spellStart"/>
      <w:r>
        <w:rPr>
          <w:color w:val="111111"/>
        </w:rPr>
        <w:t>client</w:t>
      </w:r>
      <w:proofErr w:type="spellEnd"/>
      <w:r>
        <w:rPr>
          <w:color w:val="111111"/>
        </w:rPr>
        <w:t xml:space="preserve"> </w:t>
      </w:r>
      <w:proofErr w:type="spellStart"/>
      <w:r>
        <w:rPr>
          <w:color w:val="111111"/>
        </w:rPr>
        <w:t>following</w:t>
      </w:r>
      <w:proofErr w:type="spellEnd"/>
      <w:r>
        <w:rPr>
          <w:color w:val="111111"/>
        </w:rPr>
        <w:t xml:space="preserve"> de la Fase 1: si varios de los grandes clientes corporativos de </w:t>
      </w:r>
      <w:proofErr w:type="spellStart"/>
      <w:r>
        <w:rPr>
          <w:color w:val="111111"/>
        </w:rPr>
        <w:t>Cibest</w:t>
      </w:r>
      <w:proofErr w:type="spellEnd"/>
      <w:r>
        <w:rPr>
          <w:color w:val="111111"/>
        </w:rPr>
        <w:t xml:space="preserve"> tienen operaciones en el mercado </w:t>
      </w:r>
      <w:r>
        <w:rPr>
          <w:color w:val="111111"/>
        </w:rPr>
        <w:lastRenderedPageBreak/>
        <w:t xml:space="preserve">candidato, </w:t>
      </w:r>
      <w:proofErr w:type="spellStart"/>
      <w:r>
        <w:rPr>
          <w:color w:val="111111"/>
        </w:rPr>
        <w:t>Cibest</w:t>
      </w:r>
      <w:proofErr w:type="spellEnd"/>
      <w:r>
        <w:rPr>
          <w:color w:val="111111"/>
        </w:rPr>
        <w:t xml:space="preserve"> ya tiene capacidades relacionales en ese mercado antes de haber entrado formalmente.</w:t>
      </w:r>
    </w:p>
    <w:p w14:paraId="1F21649D" w14:textId="77777777" w:rsidR="00182F4A" w:rsidRDefault="00182F4A" w:rsidP="00182F4A">
      <w:pPr>
        <w:pStyle w:val="Ttulo3"/>
      </w:pPr>
      <w:bookmarkStart w:id="62" w:name="_Toc232659611"/>
      <w:r>
        <w:t>Capacidades de gestión internacional</w:t>
      </w:r>
      <w:bookmarkEnd w:id="62"/>
    </w:p>
    <w:p w14:paraId="5F1DA98F" w14:textId="77777777" w:rsidR="00182F4A" w:rsidRDefault="00182F4A" w:rsidP="00182F4A">
      <w:pPr>
        <w:spacing w:before="140" w:after="140" w:line="320" w:lineRule="auto"/>
        <w:jc w:val="both"/>
      </w:pPr>
      <w:r>
        <w:rPr>
          <w:color w:val="111111"/>
        </w:rPr>
        <w:t xml:space="preserve">Esta dimensión evalúa si </w:t>
      </w:r>
      <w:proofErr w:type="spellStart"/>
      <w:r>
        <w:rPr>
          <w:color w:val="111111"/>
        </w:rPr>
        <w:t>Cibest</w:t>
      </w:r>
      <w:proofErr w:type="spellEnd"/>
      <w:r>
        <w:rPr>
          <w:color w:val="111111"/>
        </w:rPr>
        <w:t xml:space="preserve"> tiene </w:t>
      </w:r>
      <w:r w:rsidRPr="00AE5B8B">
        <w:rPr>
          <w:color w:val="111111"/>
          <w:highlight w:val="yellow"/>
        </w:rPr>
        <w:t>experiencia previa en gestión de operaciones internacionales y si tiene o puede desarrollar la estructura de gobierno corporativo necesaria para gestionar una subsidiaria, una alianza estratégica o una operación digital transfronteriza en otro país.</w:t>
      </w:r>
      <w:r>
        <w:rPr>
          <w:color w:val="111111"/>
        </w:rPr>
        <w:t xml:space="preserve"> Incluye la evaluación de si la alta dirección tiene experiencia personal en gestión de negocios fuera de Colombia, si el Comité de Riesgos de </w:t>
      </w:r>
      <w:proofErr w:type="spellStart"/>
      <w:r>
        <w:rPr>
          <w:color w:val="111111"/>
        </w:rPr>
        <w:t>Cibest</w:t>
      </w:r>
      <w:proofErr w:type="spellEnd"/>
      <w:r>
        <w:rPr>
          <w:color w:val="111111"/>
        </w:rPr>
        <w:t xml:space="preserve"> tiene metodologías para gestionar riesgo cambiario, riesgo político y riesgo regulatorio en mercados extranjeros, y si el Directorio de </w:t>
      </w:r>
      <w:proofErr w:type="spellStart"/>
      <w:r>
        <w:rPr>
          <w:color w:val="111111"/>
        </w:rPr>
        <w:t>Cibest</w:t>
      </w:r>
      <w:proofErr w:type="spellEnd"/>
      <w:r>
        <w:rPr>
          <w:color w:val="111111"/>
        </w:rPr>
        <w:t xml:space="preserve"> tiene la composición y el conocimiento necesarios para supervisar una operación internacional. Para una </w:t>
      </w:r>
      <w:proofErr w:type="gramStart"/>
      <w:r>
        <w:rPr>
          <w:color w:val="111111"/>
        </w:rPr>
        <w:t>holding financiera</w:t>
      </w:r>
      <w:proofErr w:type="gramEnd"/>
      <w:r>
        <w:rPr>
          <w:color w:val="111111"/>
        </w:rPr>
        <w:t xml:space="preserve"> que se internacionaliza por primera vez, la ausencia de capacidades de gestión internacional es la brecha más difícil de cerrar en el corto plazo, porque requiere transformación organizacional, no solo inversión de capital o tecnología.</w:t>
      </w:r>
    </w:p>
    <w:p w14:paraId="0FFEBA94" w14:textId="77777777" w:rsidR="00182F4A" w:rsidRDefault="00182F4A" w:rsidP="00182F4A">
      <w:pPr>
        <w:spacing w:after="100"/>
      </w:pPr>
    </w:p>
    <w:p w14:paraId="3A487B42" w14:textId="77777777" w:rsidR="00182F4A" w:rsidRDefault="00182F4A" w:rsidP="00182F4A">
      <w:pPr>
        <w:pStyle w:val="Ttulo2"/>
        <w:pBdr>
          <w:bottom w:val="single" w:sz="4" w:space="4" w:color="E8B931"/>
        </w:pBdr>
      </w:pPr>
      <w:bookmarkStart w:id="63" w:name="_Toc232659612"/>
      <w:proofErr w:type="gramStart"/>
      <w:r>
        <w:t>7.3  Cómo</w:t>
      </w:r>
      <w:proofErr w:type="gramEnd"/>
      <w:r>
        <w:t xml:space="preserve"> se realiza la evaluación: el proceso de </w:t>
      </w:r>
      <w:proofErr w:type="spellStart"/>
      <w:proofErr w:type="gramStart"/>
      <w:r>
        <w:t>auto-evaluación</w:t>
      </w:r>
      <w:proofErr w:type="spellEnd"/>
      <w:proofErr w:type="gramEnd"/>
      <w:r>
        <w:t xml:space="preserve"> facilitada</w:t>
      </w:r>
      <w:bookmarkEnd w:id="63"/>
    </w:p>
    <w:p w14:paraId="09AD755C" w14:textId="77777777" w:rsidR="00182F4A" w:rsidRDefault="00182F4A" w:rsidP="00182F4A">
      <w:pPr>
        <w:spacing w:before="140" w:after="140" w:line="320" w:lineRule="auto"/>
        <w:jc w:val="both"/>
      </w:pPr>
      <w:r>
        <w:rPr>
          <w:color w:val="111111"/>
        </w:rPr>
        <w:t xml:space="preserve">La evaluación de capacidades no es un ejercicio técnico que el equipo de Estrategia Corporativa pueda realizar de manera independiente: </w:t>
      </w:r>
      <w:r w:rsidRPr="00AE5B8B">
        <w:rPr>
          <w:color w:val="111111"/>
          <w:highlight w:val="yellow"/>
        </w:rPr>
        <w:t xml:space="preserve">requiere la </w:t>
      </w:r>
      <w:proofErr w:type="gramStart"/>
      <w:r w:rsidRPr="00AE5B8B">
        <w:rPr>
          <w:color w:val="111111"/>
          <w:highlight w:val="yellow"/>
        </w:rPr>
        <w:t>participación activa</w:t>
      </w:r>
      <w:proofErr w:type="gramEnd"/>
      <w:r w:rsidRPr="00AE5B8B">
        <w:rPr>
          <w:color w:val="111111"/>
          <w:highlight w:val="yellow"/>
        </w:rPr>
        <w:t xml:space="preserve"> de los líderes de cada línea de negocio, que son quienes tienen el conocimiento necesario para evaluar con precisión qué capacidades tienen realmente sus equipos.</w:t>
      </w:r>
      <w:r>
        <w:rPr>
          <w:color w:val="111111"/>
        </w:rPr>
        <w:t xml:space="preserve"> El rol del equipo de Estrategia es diseñar el proceso de evaluación, facilitar las sesiones de trabajo con cada líder de línea, consolidar los resultados y </w:t>
      </w:r>
      <w:r w:rsidRPr="003B38AC">
        <w:rPr>
          <w:color w:val="111111"/>
          <w:highlight w:val="yellow"/>
        </w:rPr>
        <w:t xml:space="preserve">gestionar las divergencias entre las </w:t>
      </w:r>
      <w:proofErr w:type="spellStart"/>
      <w:proofErr w:type="gramStart"/>
      <w:r w:rsidRPr="003B38AC">
        <w:rPr>
          <w:color w:val="111111"/>
          <w:highlight w:val="yellow"/>
        </w:rPr>
        <w:t>auto-evaluaciones</w:t>
      </w:r>
      <w:proofErr w:type="spellEnd"/>
      <w:proofErr w:type="gramEnd"/>
      <w:r w:rsidRPr="003B38AC">
        <w:rPr>
          <w:color w:val="111111"/>
          <w:highlight w:val="yellow"/>
        </w:rPr>
        <w:t xml:space="preserve"> y la percepción del equipo directivo.</w:t>
      </w:r>
    </w:p>
    <w:p w14:paraId="5E7C10DA" w14:textId="77777777" w:rsidR="00182F4A" w:rsidRDefault="00182F4A" w:rsidP="00182F4A">
      <w:pPr>
        <w:spacing w:before="140" w:after="140" w:line="320" w:lineRule="auto"/>
        <w:jc w:val="both"/>
      </w:pPr>
      <w:r>
        <w:rPr>
          <w:color w:val="111111"/>
        </w:rPr>
        <w:t xml:space="preserve">El proceso de </w:t>
      </w:r>
      <w:proofErr w:type="spellStart"/>
      <w:proofErr w:type="gramStart"/>
      <w:r>
        <w:rPr>
          <w:color w:val="111111"/>
        </w:rPr>
        <w:t>auto-evaluación</w:t>
      </w:r>
      <w:proofErr w:type="spellEnd"/>
      <w:proofErr w:type="gramEnd"/>
      <w:r>
        <w:rPr>
          <w:color w:val="111111"/>
        </w:rPr>
        <w:t xml:space="preserve"> facilitada consta de cuatro pasos. En el primero, el equipo de </w:t>
      </w:r>
      <w:r w:rsidRPr="003B38AC">
        <w:rPr>
          <w:color w:val="111111"/>
          <w:highlight w:val="yellow"/>
        </w:rPr>
        <w:t>Estrategia presenta a cada líder de línea el marco de cinco dimensiones de capacidad y los mercados candidatos que han pasado el filtro de RADAR e inteligencia cualitativa.</w:t>
      </w:r>
      <w:r>
        <w:rPr>
          <w:color w:val="111111"/>
        </w:rPr>
        <w:t xml:space="preserve"> En el segundo, </w:t>
      </w:r>
      <w:r w:rsidRPr="003B38AC">
        <w:rPr>
          <w:color w:val="111111"/>
          <w:highlight w:val="yellow"/>
        </w:rPr>
        <w:t>cada líder de línea completa un cuestionario estructurado de no más de cuarenta minutos por mercado candidato, asignando una calificación de Alta, Media, Baja o Ausente a cada dimensión de capacidad para su línea específica.</w:t>
      </w:r>
      <w:r>
        <w:rPr>
          <w:color w:val="111111"/>
        </w:rPr>
        <w:t xml:space="preserve"> En el tercero, el equipo de </w:t>
      </w:r>
      <w:r w:rsidRPr="003B38AC">
        <w:rPr>
          <w:color w:val="111111"/>
          <w:highlight w:val="yellow"/>
        </w:rPr>
        <w:t>Estrategia consolida las evaluaciones, identifica inconsistencias entre líneas</w:t>
      </w:r>
      <w:r>
        <w:rPr>
          <w:color w:val="111111"/>
        </w:rPr>
        <w:t xml:space="preserve"> —por ejemplo, si la línea de IB evalúa las capacidades tecnológicas como Altas pero la línea de BD las evalúa como Medias para el mismo mercado, usando la misma plataforma tecnológica de </w:t>
      </w:r>
      <w:proofErr w:type="spellStart"/>
      <w:r>
        <w:rPr>
          <w:color w:val="111111"/>
        </w:rPr>
        <w:t>Cibest</w:t>
      </w:r>
      <w:proofErr w:type="spellEnd"/>
      <w:r>
        <w:rPr>
          <w:color w:val="111111"/>
        </w:rPr>
        <w:t xml:space="preserve">— y las devuelve para revisión. En el cuarto, </w:t>
      </w:r>
      <w:r w:rsidRPr="00514D69">
        <w:rPr>
          <w:color w:val="111111"/>
          <w:highlight w:val="yellow"/>
        </w:rPr>
        <w:t>el CEO y el CFO revisan la evaluación consolidada, validan la evaluación de capital con datos financieros precisos, y aprueban la matriz definitiva.</w:t>
      </w:r>
    </w:p>
    <w:p w14:paraId="589F7182" w14:textId="77777777" w:rsidR="00182F4A" w:rsidRDefault="00182F4A" w:rsidP="00182F4A">
      <w:pPr>
        <w:spacing w:after="100"/>
      </w:pPr>
    </w:p>
    <w:p w14:paraId="77D25ACB" w14:textId="77777777" w:rsidR="00182F4A" w:rsidRDefault="00182F4A" w:rsidP="00182F4A">
      <w:pPr>
        <w:pStyle w:val="Ttulo2"/>
        <w:pBdr>
          <w:bottom w:val="single" w:sz="4" w:space="4" w:color="E8B931"/>
        </w:pBdr>
      </w:pPr>
      <w:bookmarkStart w:id="64" w:name="_Toc232659613"/>
      <w:proofErr w:type="gramStart"/>
      <w:r>
        <w:lastRenderedPageBreak/>
        <w:t>7.4  La</w:t>
      </w:r>
      <w:proofErr w:type="gramEnd"/>
      <w:r>
        <w:t xml:space="preserve"> matriz de prioridad ajustada: Atractivo RADAR × Capacidades </w:t>
      </w:r>
      <w:proofErr w:type="spellStart"/>
      <w:r>
        <w:t>Cibest</w:t>
      </w:r>
      <w:bookmarkEnd w:id="64"/>
      <w:proofErr w:type="spellEnd"/>
    </w:p>
    <w:p w14:paraId="5BF22464" w14:textId="77777777" w:rsidR="00182F4A" w:rsidRDefault="00182F4A" w:rsidP="00182F4A">
      <w:pPr>
        <w:spacing w:before="140" w:after="140" w:line="320" w:lineRule="auto"/>
        <w:jc w:val="both"/>
      </w:pPr>
      <w:r>
        <w:rPr>
          <w:color w:val="111111"/>
        </w:rPr>
        <w:t xml:space="preserve">El resultado de cruzar el score de atractivo RADAR con la evaluación de capacidades de </w:t>
      </w:r>
      <w:proofErr w:type="spellStart"/>
      <w:r>
        <w:rPr>
          <w:color w:val="111111"/>
        </w:rPr>
        <w:t>Cibest</w:t>
      </w:r>
      <w:proofErr w:type="spellEnd"/>
      <w:r>
        <w:rPr>
          <w:color w:val="111111"/>
        </w:rPr>
        <w:t xml:space="preserve"> es </w:t>
      </w:r>
      <w:r w:rsidRPr="00EA432C">
        <w:rPr>
          <w:color w:val="111111"/>
          <w:highlight w:val="yellow"/>
        </w:rPr>
        <w:t>la Matriz de Prioridad Ajustada, que es el output más estratégicamente relevante</w:t>
      </w:r>
      <w:r>
        <w:rPr>
          <w:color w:val="111111"/>
        </w:rPr>
        <w:t xml:space="preserve"> de toda la Fase 5. Esta matriz tiene dos ejes: el eje horizontal mide el atractivo del mercado según RADAR para una línea de negocio específica, clasificado en alto o bajo en función de si el score supera o no el umbral del motor de reglas; el eje vertical mide la capacidad de </w:t>
      </w:r>
      <w:proofErr w:type="spellStart"/>
      <w:r>
        <w:rPr>
          <w:color w:val="111111"/>
        </w:rPr>
        <w:t>Cibest</w:t>
      </w:r>
      <w:proofErr w:type="spellEnd"/>
      <w:r>
        <w:rPr>
          <w:color w:val="111111"/>
        </w:rPr>
        <w:t xml:space="preserve"> para ejecutar en ese mercado con esa línea, clasificada en alta o baja como resultado de la </w:t>
      </w:r>
      <w:proofErr w:type="spellStart"/>
      <w:proofErr w:type="gramStart"/>
      <w:r>
        <w:rPr>
          <w:color w:val="111111"/>
        </w:rPr>
        <w:t>auto-evaluación</w:t>
      </w:r>
      <w:proofErr w:type="spellEnd"/>
      <w:proofErr w:type="gramEnd"/>
      <w:r>
        <w:rPr>
          <w:color w:val="111111"/>
        </w:rPr>
        <w:t xml:space="preserve"> facilitada. El cruce de los dos ejes produce cuatro cuadrantes estratégicos con implicaciones de acción radicalmente distintas.</w:t>
      </w:r>
    </w:p>
    <w:tbl>
      <w:tblPr>
        <w:tblW w:w="9356" w:type="dxa"/>
        <w:tblCellMar>
          <w:left w:w="70" w:type="dxa"/>
          <w:right w:w="70" w:type="dxa"/>
        </w:tblCellMar>
        <w:tblLook w:val="04A0" w:firstRow="1" w:lastRow="0" w:firstColumn="1" w:lastColumn="0" w:noHBand="0" w:noVBand="1"/>
      </w:tblPr>
      <w:tblGrid>
        <w:gridCol w:w="1240"/>
        <w:gridCol w:w="4005"/>
        <w:gridCol w:w="4111"/>
      </w:tblGrid>
      <w:tr w:rsidR="00411438" w:rsidRPr="00411438" w14:paraId="0E57F98B" w14:textId="77777777" w:rsidTr="00411438">
        <w:trPr>
          <w:trHeight w:val="300"/>
        </w:trPr>
        <w:tc>
          <w:tcPr>
            <w:tcW w:w="1240" w:type="dxa"/>
            <w:tcBorders>
              <w:top w:val="nil"/>
              <w:left w:val="nil"/>
              <w:bottom w:val="nil"/>
              <w:right w:val="nil"/>
            </w:tcBorders>
            <w:shd w:val="clear" w:color="000000" w:fill="0D1B2A"/>
            <w:vAlign w:val="center"/>
            <w:hideMark/>
          </w:tcPr>
          <w:p w14:paraId="1AF50126" w14:textId="77777777" w:rsidR="00411438" w:rsidRPr="00411438" w:rsidRDefault="00411438" w:rsidP="00411438">
            <w:pPr>
              <w:rPr>
                <w:rFonts w:eastAsia="Times New Roman"/>
                <w:b/>
                <w:bCs/>
                <w:color w:val="FFFFFF"/>
                <w:sz w:val="20"/>
                <w:szCs w:val="20"/>
              </w:rPr>
            </w:pPr>
            <w:r w:rsidRPr="00411438">
              <w:rPr>
                <w:rFonts w:eastAsia="Times New Roman"/>
                <w:b/>
                <w:bCs/>
                <w:color w:val="FFFFFF"/>
                <w:sz w:val="20"/>
                <w:szCs w:val="20"/>
              </w:rPr>
              <w:t> </w:t>
            </w:r>
          </w:p>
        </w:tc>
        <w:tc>
          <w:tcPr>
            <w:tcW w:w="4005" w:type="dxa"/>
            <w:tcBorders>
              <w:top w:val="nil"/>
              <w:left w:val="nil"/>
              <w:bottom w:val="nil"/>
              <w:right w:val="nil"/>
            </w:tcBorders>
            <w:shd w:val="clear" w:color="000000" w:fill="F2F4F6"/>
            <w:vAlign w:val="center"/>
            <w:hideMark/>
          </w:tcPr>
          <w:p w14:paraId="4439D144" w14:textId="77777777" w:rsidR="00411438" w:rsidRPr="00411438" w:rsidRDefault="00411438" w:rsidP="00411438">
            <w:pPr>
              <w:jc w:val="center"/>
              <w:rPr>
                <w:rFonts w:eastAsia="Times New Roman"/>
                <w:b/>
                <w:bCs/>
                <w:color w:val="111111"/>
                <w:sz w:val="20"/>
                <w:szCs w:val="20"/>
              </w:rPr>
            </w:pPr>
            <w:r w:rsidRPr="00411438">
              <w:rPr>
                <w:rFonts w:eastAsia="Times New Roman"/>
                <w:b/>
                <w:bCs/>
                <w:color w:val="111111"/>
                <w:sz w:val="20"/>
                <w:szCs w:val="20"/>
              </w:rPr>
              <w:t>Capacidad CIBEST ALTA</w:t>
            </w:r>
          </w:p>
        </w:tc>
        <w:tc>
          <w:tcPr>
            <w:tcW w:w="4111" w:type="dxa"/>
            <w:tcBorders>
              <w:top w:val="nil"/>
              <w:left w:val="nil"/>
              <w:bottom w:val="nil"/>
              <w:right w:val="nil"/>
            </w:tcBorders>
            <w:shd w:val="clear" w:color="000000" w:fill="F2F4F6"/>
            <w:vAlign w:val="center"/>
            <w:hideMark/>
          </w:tcPr>
          <w:p w14:paraId="791DFBF6" w14:textId="77777777" w:rsidR="00411438" w:rsidRPr="00411438" w:rsidRDefault="00411438" w:rsidP="00411438">
            <w:pPr>
              <w:jc w:val="center"/>
              <w:rPr>
                <w:rFonts w:eastAsia="Times New Roman"/>
                <w:b/>
                <w:bCs/>
                <w:color w:val="111111"/>
                <w:sz w:val="20"/>
                <w:szCs w:val="20"/>
              </w:rPr>
            </w:pPr>
            <w:r w:rsidRPr="00411438">
              <w:rPr>
                <w:rFonts w:eastAsia="Times New Roman"/>
                <w:b/>
                <w:bCs/>
                <w:color w:val="111111"/>
                <w:sz w:val="20"/>
                <w:szCs w:val="20"/>
              </w:rPr>
              <w:t>Capacidad CIBEST BAJA</w:t>
            </w:r>
          </w:p>
        </w:tc>
      </w:tr>
      <w:tr w:rsidR="00411438" w:rsidRPr="00411438" w14:paraId="3E3BF072" w14:textId="77777777" w:rsidTr="00411438">
        <w:trPr>
          <w:trHeight w:val="300"/>
        </w:trPr>
        <w:tc>
          <w:tcPr>
            <w:tcW w:w="1240" w:type="dxa"/>
            <w:tcBorders>
              <w:top w:val="nil"/>
              <w:left w:val="nil"/>
              <w:bottom w:val="nil"/>
              <w:right w:val="nil"/>
            </w:tcBorders>
            <w:shd w:val="clear" w:color="000000" w:fill="0D1B2A"/>
            <w:vAlign w:val="center"/>
            <w:hideMark/>
          </w:tcPr>
          <w:p w14:paraId="600CEFA2" w14:textId="77777777" w:rsidR="00411438" w:rsidRPr="00411438" w:rsidRDefault="00411438" w:rsidP="00411438">
            <w:pPr>
              <w:rPr>
                <w:rFonts w:eastAsia="Times New Roman"/>
                <w:b/>
                <w:bCs/>
                <w:color w:val="FFFFFF"/>
                <w:sz w:val="20"/>
                <w:szCs w:val="20"/>
              </w:rPr>
            </w:pPr>
            <w:r w:rsidRPr="00411438">
              <w:rPr>
                <w:rFonts w:eastAsia="Times New Roman"/>
                <w:b/>
                <w:bCs/>
                <w:color w:val="FFFFFF"/>
                <w:sz w:val="20"/>
                <w:szCs w:val="20"/>
              </w:rPr>
              <w:t> </w:t>
            </w:r>
          </w:p>
        </w:tc>
        <w:tc>
          <w:tcPr>
            <w:tcW w:w="4005" w:type="dxa"/>
            <w:tcBorders>
              <w:top w:val="nil"/>
              <w:left w:val="nil"/>
              <w:bottom w:val="nil"/>
              <w:right w:val="nil"/>
            </w:tcBorders>
            <w:shd w:val="clear" w:color="000000" w:fill="EBF7EE"/>
            <w:vAlign w:val="center"/>
            <w:hideMark/>
          </w:tcPr>
          <w:p w14:paraId="6B520526" w14:textId="77777777" w:rsidR="00411438" w:rsidRPr="00411438" w:rsidRDefault="00411438" w:rsidP="00411438">
            <w:pPr>
              <w:jc w:val="center"/>
              <w:rPr>
                <w:rFonts w:eastAsia="Times New Roman"/>
                <w:b/>
                <w:bCs/>
                <w:color w:val="111111"/>
                <w:sz w:val="20"/>
                <w:szCs w:val="20"/>
              </w:rPr>
            </w:pPr>
            <w:r w:rsidRPr="00411438">
              <w:rPr>
                <w:rFonts w:eastAsia="Times New Roman"/>
                <w:b/>
                <w:bCs/>
                <w:color w:val="111111"/>
                <w:sz w:val="20"/>
                <w:szCs w:val="20"/>
              </w:rPr>
              <w:t>CUADRANTE 2 — TRAMPA ESTRATÉGICA</w:t>
            </w:r>
          </w:p>
        </w:tc>
        <w:tc>
          <w:tcPr>
            <w:tcW w:w="4111" w:type="dxa"/>
            <w:tcBorders>
              <w:top w:val="nil"/>
              <w:left w:val="nil"/>
              <w:bottom w:val="nil"/>
              <w:right w:val="nil"/>
            </w:tcBorders>
            <w:shd w:val="clear" w:color="000000" w:fill="EBF7EE"/>
            <w:vAlign w:val="center"/>
            <w:hideMark/>
          </w:tcPr>
          <w:p w14:paraId="449C60D7" w14:textId="77777777" w:rsidR="00411438" w:rsidRPr="00411438" w:rsidRDefault="00411438" w:rsidP="00411438">
            <w:pPr>
              <w:jc w:val="center"/>
              <w:rPr>
                <w:rFonts w:eastAsia="Times New Roman"/>
                <w:b/>
                <w:bCs/>
                <w:color w:val="111111"/>
                <w:sz w:val="20"/>
                <w:szCs w:val="20"/>
              </w:rPr>
            </w:pPr>
            <w:r w:rsidRPr="00411438">
              <w:rPr>
                <w:rFonts w:eastAsia="Times New Roman"/>
                <w:b/>
                <w:bCs/>
                <w:color w:val="111111"/>
                <w:sz w:val="20"/>
                <w:szCs w:val="20"/>
              </w:rPr>
              <w:t>CUADRANTE 1 — ENTRADA INMEDIATA</w:t>
            </w:r>
          </w:p>
        </w:tc>
      </w:tr>
      <w:tr w:rsidR="00411438" w:rsidRPr="00411438" w14:paraId="704C5FE3" w14:textId="77777777" w:rsidTr="00411438">
        <w:trPr>
          <w:trHeight w:val="1584"/>
        </w:trPr>
        <w:tc>
          <w:tcPr>
            <w:tcW w:w="1240" w:type="dxa"/>
            <w:tcBorders>
              <w:top w:val="nil"/>
              <w:left w:val="nil"/>
              <w:bottom w:val="nil"/>
              <w:right w:val="nil"/>
            </w:tcBorders>
            <w:shd w:val="clear" w:color="000000" w:fill="0D1B2A"/>
            <w:vAlign w:val="center"/>
            <w:hideMark/>
          </w:tcPr>
          <w:p w14:paraId="1C84252D" w14:textId="77777777" w:rsidR="00411438" w:rsidRPr="00411438" w:rsidRDefault="00411438" w:rsidP="00411438">
            <w:pPr>
              <w:rPr>
                <w:rFonts w:eastAsia="Times New Roman"/>
                <w:b/>
                <w:bCs/>
                <w:color w:val="FFFFFF"/>
                <w:sz w:val="20"/>
                <w:szCs w:val="20"/>
              </w:rPr>
            </w:pPr>
            <w:r w:rsidRPr="00411438">
              <w:rPr>
                <w:rFonts w:eastAsia="Times New Roman"/>
                <w:b/>
                <w:bCs/>
                <w:color w:val="FFFFFF"/>
                <w:sz w:val="20"/>
                <w:szCs w:val="20"/>
              </w:rPr>
              <w:t>Atractivo RADAR ALTO</w:t>
            </w:r>
          </w:p>
        </w:tc>
        <w:tc>
          <w:tcPr>
            <w:tcW w:w="4005" w:type="dxa"/>
            <w:tcBorders>
              <w:top w:val="nil"/>
              <w:left w:val="nil"/>
              <w:bottom w:val="nil"/>
              <w:right w:val="nil"/>
            </w:tcBorders>
            <w:shd w:val="clear" w:color="000000" w:fill="EBF7EE"/>
            <w:vAlign w:val="center"/>
            <w:hideMark/>
          </w:tcPr>
          <w:p w14:paraId="1492E812" w14:textId="77777777" w:rsidR="00411438" w:rsidRPr="00411438" w:rsidRDefault="00411438" w:rsidP="00411438">
            <w:pPr>
              <w:ind w:firstLineChars="100" w:firstLine="200"/>
              <w:rPr>
                <w:rFonts w:eastAsia="Times New Roman"/>
                <w:color w:val="111111"/>
                <w:sz w:val="20"/>
                <w:szCs w:val="20"/>
              </w:rPr>
            </w:pPr>
            <w:r w:rsidRPr="00411438">
              <w:rPr>
                <w:rFonts w:eastAsia="Times New Roman"/>
                <w:color w:val="111111"/>
                <w:sz w:val="20"/>
                <w:szCs w:val="20"/>
              </w:rPr>
              <w:t xml:space="preserve">La oportunidad </w:t>
            </w:r>
            <w:proofErr w:type="gramStart"/>
            <w:r w:rsidRPr="00411438">
              <w:rPr>
                <w:rFonts w:eastAsia="Times New Roman"/>
                <w:color w:val="111111"/>
                <w:sz w:val="20"/>
                <w:szCs w:val="20"/>
              </w:rPr>
              <w:t>existe</w:t>
            </w:r>
            <w:proofErr w:type="gramEnd"/>
            <w:r w:rsidRPr="00411438">
              <w:rPr>
                <w:rFonts w:eastAsia="Times New Roman"/>
                <w:color w:val="111111"/>
                <w:sz w:val="20"/>
                <w:szCs w:val="20"/>
              </w:rPr>
              <w:t xml:space="preserve"> pero </w:t>
            </w:r>
            <w:proofErr w:type="spellStart"/>
            <w:r w:rsidRPr="00411438">
              <w:rPr>
                <w:rFonts w:eastAsia="Times New Roman"/>
                <w:color w:val="111111"/>
                <w:sz w:val="20"/>
                <w:szCs w:val="20"/>
              </w:rPr>
              <w:t>Cibest</w:t>
            </w:r>
            <w:proofErr w:type="spellEnd"/>
            <w:r w:rsidRPr="00411438">
              <w:rPr>
                <w:rFonts w:eastAsia="Times New Roman"/>
                <w:color w:val="111111"/>
                <w:sz w:val="20"/>
                <w:szCs w:val="20"/>
              </w:rPr>
              <w:t xml:space="preserve"> no puede capturarla sin inversión previa en cierre de brechas de capacidad. Requiere un plan de desarrollo de capacidades con horizonte claro antes de poder activar la entrada. No es una decisión de entrada: es una decisión de inversión en capacidades.</w:t>
            </w:r>
          </w:p>
        </w:tc>
        <w:tc>
          <w:tcPr>
            <w:tcW w:w="4111" w:type="dxa"/>
            <w:tcBorders>
              <w:top w:val="nil"/>
              <w:left w:val="nil"/>
              <w:bottom w:val="nil"/>
              <w:right w:val="nil"/>
            </w:tcBorders>
            <w:shd w:val="clear" w:color="000000" w:fill="EBF7EE"/>
            <w:vAlign w:val="center"/>
            <w:hideMark/>
          </w:tcPr>
          <w:p w14:paraId="62DDC145" w14:textId="77777777" w:rsidR="00411438" w:rsidRPr="00411438" w:rsidRDefault="00411438" w:rsidP="00411438">
            <w:pPr>
              <w:ind w:firstLineChars="100" w:firstLine="200"/>
              <w:rPr>
                <w:rFonts w:eastAsia="Times New Roman"/>
                <w:color w:val="111111"/>
                <w:sz w:val="20"/>
                <w:szCs w:val="20"/>
              </w:rPr>
            </w:pPr>
            <w:r w:rsidRPr="00411438">
              <w:rPr>
                <w:rFonts w:eastAsia="Times New Roman"/>
                <w:color w:val="111111"/>
                <w:sz w:val="20"/>
                <w:szCs w:val="20"/>
              </w:rPr>
              <w:t xml:space="preserve">La oportunidad existe y </w:t>
            </w:r>
            <w:proofErr w:type="spellStart"/>
            <w:r w:rsidRPr="00411438">
              <w:rPr>
                <w:rFonts w:eastAsia="Times New Roman"/>
                <w:color w:val="111111"/>
                <w:sz w:val="20"/>
                <w:szCs w:val="20"/>
              </w:rPr>
              <w:t>Cibest</w:t>
            </w:r>
            <w:proofErr w:type="spellEnd"/>
            <w:r w:rsidRPr="00411438">
              <w:rPr>
                <w:rFonts w:eastAsia="Times New Roman"/>
                <w:color w:val="111111"/>
                <w:sz w:val="20"/>
                <w:szCs w:val="20"/>
              </w:rPr>
              <w:t xml:space="preserve"> puede capturarla. Estos son los candidatos de entrada en el horizonte de la estrategia actual. Reciben prioridad de recursos en el presupuesto de internacionalización y avanzan a </w:t>
            </w:r>
            <w:proofErr w:type="spellStart"/>
            <w:r w:rsidRPr="00411438">
              <w:rPr>
                <w:rFonts w:eastAsia="Times New Roman"/>
                <w:color w:val="111111"/>
                <w:sz w:val="20"/>
                <w:szCs w:val="20"/>
              </w:rPr>
              <w:t>due</w:t>
            </w:r>
            <w:proofErr w:type="spellEnd"/>
            <w:r w:rsidRPr="00411438">
              <w:rPr>
                <w:rFonts w:eastAsia="Times New Roman"/>
                <w:color w:val="111111"/>
                <w:sz w:val="20"/>
                <w:szCs w:val="20"/>
              </w:rPr>
              <w:t xml:space="preserve"> </w:t>
            </w:r>
            <w:proofErr w:type="spellStart"/>
            <w:r w:rsidRPr="00411438">
              <w:rPr>
                <w:rFonts w:eastAsia="Times New Roman"/>
                <w:color w:val="111111"/>
                <w:sz w:val="20"/>
                <w:szCs w:val="20"/>
              </w:rPr>
              <w:t>diligence</w:t>
            </w:r>
            <w:proofErr w:type="spellEnd"/>
            <w:r w:rsidRPr="00411438">
              <w:rPr>
                <w:rFonts w:eastAsia="Times New Roman"/>
                <w:color w:val="111111"/>
                <w:sz w:val="20"/>
                <w:szCs w:val="20"/>
              </w:rPr>
              <w:t xml:space="preserve"> formal.</w:t>
            </w:r>
          </w:p>
        </w:tc>
      </w:tr>
      <w:tr w:rsidR="00411438" w:rsidRPr="00411438" w14:paraId="064EFD73" w14:textId="77777777" w:rsidTr="00411438">
        <w:trPr>
          <w:trHeight w:val="288"/>
        </w:trPr>
        <w:tc>
          <w:tcPr>
            <w:tcW w:w="1240" w:type="dxa"/>
            <w:tcBorders>
              <w:top w:val="nil"/>
              <w:left w:val="nil"/>
              <w:bottom w:val="nil"/>
              <w:right w:val="nil"/>
            </w:tcBorders>
            <w:shd w:val="clear" w:color="000000" w:fill="0D1B2A"/>
            <w:vAlign w:val="center"/>
            <w:hideMark/>
          </w:tcPr>
          <w:p w14:paraId="3D076FEA" w14:textId="77777777" w:rsidR="00411438" w:rsidRPr="00411438" w:rsidRDefault="00411438" w:rsidP="00411438">
            <w:pPr>
              <w:rPr>
                <w:rFonts w:eastAsia="Times New Roman"/>
                <w:b/>
                <w:bCs/>
                <w:color w:val="FFFFFF"/>
                <w:sz w:val="20"/>
                <w:szCs w:val="20"/>
              </w:rPr>
            </w:pPr>
            <w:r w:rsidRPr="00411438">
              <w:rPr>
                <w:rFonts w:eastAsia="Times New Roman"/>
                <w:b/>
                <w:bCs/>
                <w:color w:val="FFFFFF"/>
                <w:sz w:val="20"/>
                <w:szCs w:val="20"/>
              </w:rPr>
              <w:t> </w:t>
            </w:r>
          </w:p>
        </w:tc>
        <w:tc>
          <w:tcPr>
            <w:tcW w:w="4005" w:type="dxa"/>
            <w:tcBorders>
              <w:top w:val="nil"/>
              <w:left w:val="nil"/>
              <w:bottom w:val="nil"/>
              <w:right w:val="nil"/>
            </w:tcBorders>
            <w:shd w:val="clear" w:color="000000" w:fill="FFF8E7"/>
            <w:vAlign w:val="center"/>
            <w:hideMark/>
          </w:tcPr>
          <w:p w14:paraId="615D45F0" w14:textId="77777777" w:rsidR="00411438" w:rsidRPr="00411438" w:rsidRDefault="00411438" w:rsidP="00411438">
            <w:pPr>
              <w:jc w:val="center"/>
              <w:rPr>
                <w:rFonts w:eastAsia="Times New Roman"/>
                <w:b/>
                <w:bCs/>
                <w:color w:val="111111"/>
                <w:sz w:val="20"/>
                <w:szCs w:val="20"/>
              </w:rPr>
            </w:pPr>
            <w:r w:rsidRPr="00411438">
              <w:rPr>
                <w:rFonts w:eastAsia="Times New Roman"/>
                <w:b/>
                <w:bCs/>
                <w:color w:val="111111"/>
                <w:sz w:val="20"/>
                <w:szCs w:val="20"/>
              </w:rPr>
              <w:t>CUADRANTE 4 — DESCARTE</w:t>
            </w:r>
          </w:p>
        </w:tc>
        <w:tc>
          <w:tcPr>
            <w:tcW w:w="4111" w:type="dxa"/>
            <w:tcBorders>
              <w:top w:val="nil"/>
              <w:left w:val="nil"/>
              <w:bottom w:val="nil"/>
              <w:right w:val="nil"/>
            </w:tcBorders>
            <w:shd w:val="clear" w:color="000000" w:fill="FFF8E7"/>
            <w:vAlign w:val="center"/>
            <w:hideMark/>
          </w:tcPr>
          <w:p w14:paraId="5250F189" w14:textId="77777777" w:rsidR="00411438" w:rsidRPr="00411438" w:rsidRDefault="00411438" w:rsidP="00411438">
            <w:pPr>
              <w:jc w:val="center"/>
              <w:rPr>
                <w:rFonts w:eastAsia="Times New Roman"/>
                <w:b/>
                <w:bCs/>
                <w:color w:val="111111"/>
                <w:sz w:val="20"/>
                <w:szCs w:val="20"/>
              </w:rPr>
            </w:pPr>
            <w:r w:rsidRPr="00411438">
              <w:rPr>
                <w:rFonts w:eastAsia="Times New Roman"/>
                <w:b/>
                <w:bCs/>
                <w:color w:val="111111"/>
                <w:sz w:val="20"/>
                <w:szCs w:val="20"/>
              </w:rPr>
              <w:t>CUADRANTE 3 — EFICIENCIA OPERATIVA</w:t>
            </w:r>
          </w:p>
        </w:tc>
      </w:tr>
      <w:tr w:rsidR="00411438" w:rsidRPr="00411438" w14:paraId="6AAC7344" w14:textId="77777777" w:rsidTr="00411438">
        <w:trPr>
          <w:trHeight w:val="1320"/>
        </w:trPr>
        <w:tc>
          <w:tcPr>
            <w:tcW w:w="1240" w:type="dxa"/>
            <w:tcBorders>
              <w:top w:val="nil"/>
              <w:left w:val="nil"/>
              <w:bottom w:val="nil"/>
              <w:right w:val="nil"/>
            </w:tcBorders>
            <w:shd w:val="clear" w:color="000000" w:fill="0D1B2A"/>
            <w:vAlign w:val="center"/>
            <w:hideMark/>
          </w:tcPr>
          <w:p w14:paraId="1F5DCEBD" w14:textId="77777777" w:rsidR="00411438" w:rsidRPr="00411438" w:rsidRDefault="00411438" w:rsidP="00411438">
            <w:pPr>
              <w:rPr>
                <w:rFonts w:eastAsia="Times New Roman"/>
                <w:b/>
                <w:bCs/>
                <w:color w:val="FFFFFF"/>
                <w:sz w:val="20"/>
                <w:szCs w:val="20"/>
              </w:rPr>
            </w:pPr>
            <w:r w:rsidRPr="00411438">
              <w:rPr>
                <w:rFonts w:eastAsia="Times New Roman"/>
                <w:b/>
                <w:bCs/>
                <w:color w:val="FFFFFF"/>
                <w:sz w:val="20"/>
                <w:szCs w:val="20"/>
              </w:rPr>
              <w:t>Atractivo RADAR BAJO</w:t>
            </w:r>
          </w:p>
        </w:tc>
        <w:tc>
          <w:tcPr>
            <w:tcW w:w="4005" w:type="dxa"/>
            <w:tcBorders>
              <w:top w:val="nil"/>
              <w:left w:val="nil"/>
              <w:bottom w:val="nil"/>
              <w:right w:val="nil"/>
            </w:tcBorders>
            <w:shd w:val="clear" w:color="000000" w:fill="FFF8E7"/>
            <w:vAlign w:val="center"/>
            <w:hideMark/>
          </w:tcPr>
          <w:p w14:paraId="6CD0F7B5" w14:textId="77777777" w:rsidR="00411438" w:rsidRPr="00411438" w:rsidRDefault="00411438" w:rsidP="00411438">
            <w:pPr>
              <w:rPr>
                <w:rFonts w:eastAsia="Times New Roman"/>
                <w:color w:val="111111"/>
                <w:sz w:val="20"/>
                <w:szCs w:val="20"/>
              </w:rPr>
            </w:pPr>
            <w:r w:rsidRPr="00411438">
              <w:rPr>
                <w:rFonts w:eastAsia="Times New Roman"/>
                <w:color w:val="111111"/>
                <w:sz w:val="20"/>
                <w:szCs w:val="20"/>
              </w:rPr>
              <w:t>Bajo atractivo y baja capacidad. No merece recursos de análisis adicionales en el horizonte estratégico actual. Se documenta el criterio de descarte y se revisa en el ciclo anual siguiente si las condiciones cambian.</w:t>
            </w:r>
          </w:p>
        </w:tc>
        <w:tc>
          <w:tcPr>
            <w:tcW w:w="4111" w:type="dxa"/>
            <w:tcBorders>
              <w:top w:val="nil"/>
              <w:left w:val="nil"/>
              <w:bottom w:val="nil"/>
              <w:right w:val="nil"/>
            </w:tcBorders>
            <w:shd w:val="clear" w:color="000000" w:fill="FFF8E7"/>
            <w:vAlign w:val="center"/>
            <w:hideMark/>
          </w:tcPr>
          <w:p w14:paraId="27BBCCCC" w14:textId="77777777" w:rsidR="00411438" w:rsidRPr="00411438" w:rsidRDefault="00411438" w:rsidP="00411438">
            <w:pPr>
              <w:rPr>
                <w:rFonts w:eastAsia="Times New Roman"/>
                <w:color w:val="111111"/>
                <w:sz w:val="20"/>
                <w:szCs w:val="20"/>
              </w:rPr>
            </w:pPr>
            <w:proofErr w:type="spellStart"/>
            <w:r w:rsidRPr="00411438">
              <w:rPr>
                <w:rFonts w:eastAsia="Times New Roman"/>
                <w:color w:val="111111"/>
                <w:sz w:val="20"/>
                <w:szCs w:val="20"/>
              </w:rPr>
              <w:t>Cibest</w:t>
            </w:r>
            <w:proofErr w:type="spellEnd"/>
            <w:r w:rsidRPr="00411438">
              <w:rPr>
                <w:rFonts w:eastAsia="Times New Roman"/>
                <w:color w:val="111111"/>
                <w:sz w:val="20"/>
                <w:szCs w:val="20"/>
              </w:rPr>
              <w:t xml:space="preserve"> tiene capacidad de </w:t>
            </w:r>
            <w:proofErr w:type="gramStart"/>
            <w:r w:rsidRPr="00411438">
              <w:rPr>
                <w:rFonts w:eastAsia="Times New Roman"/>
                <w:color w:val="111111"/>
                <w:sz w:val="20"/>
                <w:szCs w:val="20"/>
              </w:rPr>
              <w:t>ejecución</w:t>
            </w:r>
            <w:proofErr w:type="gramEnd"/>
            <w:r w:rsidRPr="00411438">
              <w:rPr>
                <w:rFonts w:eastAsia="Times New Roman"/>
                <w:color w:val="111111"/>
                <w:sz w:val="20"/>
                <w:szCs w:val="20"/>
              </w:rPr>
              <w:t xml:space="preserve"> pero el mercado no ofrece suficiente oportunidad. Puede ser útil como destino de primer aprendizaje internacional o como operación de corredor específico (remesas). No prioridad de inversión estratégica.</w:t>
            </w:r>
          </w:p>
        </w:tc>
      </w:tr>
    </w:tbl>
    <w:p w14:paraId="609AA756" w14:textId="77777777" w:rsidR="00182F4A" w:rsidRDefault="00182F4A" w:rsidP="00182F4A">
      <w:pPr>
        <w:spacing w:after="100"/>
      </w:pPr>
    </w:p>
    <w:p w14:paraId="28127113" w14:textId="19E8C0C9" w:rsidR="00182F4A" w:rsidRDefault="00182F4A" w:rsidP="00182F4A">
      <w:pPr>
        <w:spacing w:before="140" w:after="140" w:line="320" w:lineRule="auto"/>
        <w:jc w:val="both"/>
      </w:pPr>
      <w:r>
        <w:rPr>
          <w:color w:val="111111"/>
        </w:rPr>
        <w:t xml:space="preserve">La implicación más importante del Cuadrante 3 — la trampa estratégica — merece atención particular del Comité Ejecutivo. La dinámica más frecuente en organizaciones con alta ambición de internacionalización es que </w:t>
      </w:r>
      <w:r w:rsidRPr="004506DE">
        <w:rPr>
          <w:color w:val="111111"/>
          <w:highlight w:val="yellow"/>
        </w:rPr>
        <w:t>los mercados más atractivos del ranking RADAR generan entusiasmo directivo independientemente de las capacidades internas disponibles, y que ese entusiasmo lleva a decisiones de entrada prematuras en mercados para los cuales la organización no está lista.</w:t>
      </w:r>
      <w:r>
        <w:rPr>
          <w:color w:val="111111"/>
        </w:rPr>
        <w:t xml:space="preserve"> El proceso SIM que propone este </w:t>
      </w:r>
      <w:r w:rsidR="00AA01B4">
        <w:rPr>
          <w:color w:val="111111"/>
        </w:rPr>
        <w:t>documento</w:t>
      </w:r>
      <w:r>
        <w:rPr>
          <w:color w:val="111111"/>
        </w:rPr>
        <w:t xml:space="preserve"> previene esa trampa haciendo explícita la brecha entre atractivo y capacidad antes de que se tome ninguna decisión de inversión. Si el Comité identifica un mercado de Cuadrante 3 al que considera estratégicamente irrenunciable, la respuesta correcta no es ignorar la brecha de capacidades: es definir un plan de cierre de esa brecha con hitos medibles y un horizonte de tiempo realista, y actualizar la evaluación cuando el plan esté ejecutado.</w:t>
      </w:r>
    </w:p>
    <w:p w14:paraId="6688AFC8" w14:textId="77777777" w:rsidR="00182F4A" w:rsidRDefault="00182F4A" w:rsidP="00182F4A">
      <w:pPr>
        <w:spacing w:after="100"/>
      </w:pPr>
    </w:p>
    <w:p w14:paraId="24CC693E" w14:textId="77777777" w:rsidR="00182F4A" w:rsidRDefault="00182F4A" w:rsidP="00182F4A">
      <w:pPr>
        <w:pStyle w:val="Ttulo2"/>
        <w:pBdr>
          <w:bottom w:val="single" w:sz="4" w:space="4" w:color="E8B931"/>
        </w:pBdr>
      </w:pPr>
      <w:bookmarkStart w:id="65" w:name="_Toc232659614"/>
      <w:proofErr w:type="gramStart"/>
      <w:r>
        <w:lastRenderedPageBreak/>
        <w:t>7.5  Entregables</w:t>
      </w:r>
      <w:proofErr w:type="gramEnd"/>
      <w:r>
        <w:t>, participantes y tiempo</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82F4A" w14:paraId="7E0B1937"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50EE4457" w14:textId="77777777" w:rsidR="00182F4A" w:rsidRDefault="00182F4A" w:rsidP="001F40FE">
            <w:r>
              <w:rPr>
                <w:b/>
                <w:bCs/>
                <w:color w:val="FFFFFF"/>
                <w:sz w:val="20"/>
                <w:szCs w:val="20"/>
              </w:rPr>
              <w:t>Elemento</w:t>
            </w:r>
          </w:p>
        </w:tc>
        <w:tc>
          <w:tcPr>
            <w:tcW w:w="716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5FC0AF1F" w14:textId="77777777" w:rsidR="00182F4A" w:rsidRDefault="00182F4A" w:rsidP="001F40FE">
            <w:r>
              <w:rPr>
                <w:b/>
                <w:bCs/>
                <w:color w:val="FFFFFF"/>
                <w:sz w:val="20"/>
                <w:szCs w:val="20"/>
              </w:rPr>
              <w:t>Descripción</w:t>
            </w:r>
          </w:p>
        </w:tc>
      </w:tr>
      <w:tr w:rsidR="00182F4A" w14:paraId="4F4B893E"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AD354D6" w14:textId="77777777" w:rsidR="00182F4A" w:rsidRDefault="00182F4A" w:rsidP="001F40FE">
            <w:r>
              <w:rPr>
                <w:b/>
                <w:bCs/>
                <w:color w:val="111111"/>
                <w:sz w:val="20"/>
                <w:szCs w:val="20"/>
              </w:rPr>
              <w:t>Entregable 1: Matriz de capacidades</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86A40F9" w14:textId="77777777" w:rsidR="00182F4A" w:rsidRDefault="00182F4A" w:rsidP="001F40FE">
            <w:r>
              <w:rPr>
                <w:color w:val="111111"/>
                <w:sz w:val="20"/>
                <w:szCs w:val="20"/>
              </w:rPr>
              <w:t xml:space="preserve">Tabla de doble entrada: filas = cinco dimensiones de capacidad, columnas = cinco líneas de negocio de </w:t>
            </w:r>
            <w:proofErr w:type="spellStart"/>
            <w:r>
              <w:rPr>
                <w:color w:val="111111"/>
                <w:sz w:val="20"/>
                <w:szCs w:val="20"/>
              </w:rPr>
              <w:t>Cibest</w:t>
            </w:r>
            <w:proofErr w:type="spellEnd"/>
            <w:r>
              <w:rPr>
                <w:color w:val="111111"/>
                <w:sz w:val="20"/>
                <w:szCs w:val="20"/>
              </w:rPr>
              <w:t xml:space="preserve"> × mercados candidatos en análisis. Cada celda contiene la calificación de capacidad (Alta/Media/Baja/Ausente) con una nota de justificación de máximo tres líneas. Instrumento principal para el diálogo con los líderes de línea.</w:t>
            </w:r>
          </w:p>
        </w:tc>
      </w:tr>
      <w:tr w:rsidR="00182F4A" w14:paraId="4C7312D4"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FDCE1DF" w14:textId="77777777" w:rsidR="00182F4A" w:rsidRDefault="00182F4A" w:rsidP="001F40FE">
            <w:r>
              <w:rPr>
                <w:b/>
                <w:bCs/>
                <w:color w:val="111111"/>
                <w:sz w:val="20"/>
                <w:szCs w:val="20"/>
              </w:rPr>
              <w:t>Entregable 2: Matriz de prioridad ajustada</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7D1F363" w14:textId="77777777" w:rsidR="00182F4A" w:rsidRDefault="00182F4A" w:rsidP="001F40FE">
            <w:r>
              <w:rPr>
                <w:color w:val="111111"/>
                <w:sz w:val="20"/>
                <w:szCs w:val="20"/>
              </w:rPr>
              <w:t>Para cada combinación mercado-línea de negocio que superó el filtro de inteligencia cualitativa: clasificación en uno de los cuatro cuadrantes de la matriz Atractivo × Capacidad, con la narrativa estratégica que justifica la clasificación. Este documento es el insumo directo de la Fase 6 (Embudo de Decisión).</w:t>
            </w:r>
          </w:p>
        </w:tc>
      </w:tr>
      <w:tr w:rsidR="00182F4A" w14:paraId="78CA9359"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5A61E36" w14:textId="77777777" w:rsidR="00182F4A" w:rsidRDefault="00182F4A" w:rsidP="001F40FE">
            <w:r>
              <w:rPr>
                <w:b/>
                <w:bCs/>
                <w:color w:val="111111"/>
                <w:sz w:val="20"/>
                <w:szCs w:val="20"/>
              </w:rPr>
              <w:t>Entregable 3: Plan de cierre de brechas (si aplica)</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0E1FD99" w14:textId="77777777" w:rsidR="00182F4A" w:rsidRDefault="00182F4A" w:rsidP="001F40FE">
            <w:r>
              <w:rPr>
                <w:color w:val="111111"/>
                <w:sz w:val="20"/>
                <w:szCs w:val="20"/>
              </w:rPr>
              <w:t>Si algún mercado de Cuadrante 3 es considerado estratégicamente irrenunciable por el Comité Ejecutivo: un plan de desarrollo de capacidades de 1-2 páginas que identifica las brechas específicas, las acciones necesarias para cerrarlas (contratación, alianza, inversión tecnológica, desarrollo de relaciones), el costo estimado y el horizonte de tiempo para que el mercado pase a Cuadrante 1.</w:t>
            </w:r>
          </w:p>
        </w:tc>
      </w:tr>
      <w:tr w:rsidR="00182F4A" w14:paraId="070C2B20"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E83A317" w14:textId="77777777" w:rsidR="00182F4A" w:rsidRDefault="00182F4A" w:rsidP="001F40FE">
            <w:r>
              <w:rPr>
                <w:b/>
                <w:bCs/>
                <w:color w:val="111111"/>
                <w:sz w:val="20"/>
                <w:szCs w:val="20"/>
              </w:rPr>
              <w:t>Participantes</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B145BA1" w14:textId="77777777" w:rsidR="00182F4A" w:rsidRDefault="00182F4A" w:rsidP="001F40FE">
            <w:r>
              <w:rPr>
                <w:color w:val="111111"/>
                <w:sz w:val="20"/>
                <w:szCs w:val="20"/>
              </w:rPr>
              <w:t>Líderes de cada línea de negocio (</w:t>
            </w:r>
            <w:proofErr w:type="spellStart"/>
            <w:proofErr w:type="gramStart"/>
            <w:r>
              <w:rPr>
                <w:color w:val="111111"/>
                <w:sz w:val="20"/>
                <w:szCs w:val="20"/>
              </w:rPr>
              <w:t>auto-evaluación</w:t>
            </w:r>
            <w:proofErr w:type="spellEnd"/>
            <w:proofErr w:type="gramEnd"/>
            <w:r>
              <w:rPr>
                <w:color w:val="111111"/>
                <w:sz w:val="20"/>
                <w:szCs w:val="20"/>
              </w:rPr>
              <w:t xml:space="preserve"> de capacidades — 40 min/mercado). </w:t>
            </w:r>
            <w:proofErr w:type="spellStart"/>
            <w:proofErr w:type="gramStart"/>
            <w:r>
              <w:rPr>
                <w:color w:val="111111"/>
                <w:sz w:val="20"/>
                <w:szCs w:val="20"/>
              </w:rPr>
              <w:t>Co-líderes</w:t>
            </w:r>
            <w:proofErr w:type="spellEnd"/>
            <w:proofErr w:type="gramEnd"/>
            <w:r>
              <w:rPr>
                <w:color w:val="111111"/>
                <w:sz w:val="20"/>
                <w:szCs w:val="20"/>
              </w:rPr>
              <w:t xml:space="preserve"> de RADAR </w:t>
            </w:r>
            <w:proofErr w:type="spellStart"/>
            <w:r>
              <w:rPr>
                <w:color w:val="111111"/>
                <w:sz w:val="20"/>
                <w:szCs w:val="20"/>
              </w:rPr>
              <w:t>Cibest</w:t>
            </w:r>
            <w:proofErr w:type="spellEnd"/>
            <w:r>
              <w:rPr>
                <w:color w:val="111111"/>
                <w:sz w:val="20"/>
                <w:szCs w:val="20"/>
              </w:rPr>
              <w:t xml:space="preserve"> (diseño del proceso de evaluación, facilitación y consolidación). CEO y CFO (validación de capital disponible y revisión de la evaluación consolidada). Director de Estrategia Corporativa (aprobación de la Matriz de Prioridad Ajustada).</w:t>
            </w:r>
          </w:p>
        </w:tc>
      </w:tr>
      <w:tr w:rsidR="00182F4A" w14:paraId="2CED299F"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8DF1302" w14:textId="77777777" w:rsidR="00182F4A" w:rsidRDefault="00182F4A" w:rsidP="001F40FE">
            <w:r>
              <w:rPr>
                <w:b/>
                <w:bCs/>
                <w:color w:val="111111"/>
                <w:sz w:val="20"/>
                <w:szCs w:val="20"/>
              </w:rPr>
              <w:t>Tiempo estimado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0E93042" w14:textId="77777777" w:rsidR="00182F4A" w:rsidRDefault="00182F4A" w:rsidP="001F40FE">
            <w:r>
              <w:rPr>
                <w:color w:val="111111"/>
                <w:sz w:val="20"/>
                <w:szCs w:val="20"/>
              </w:rPr>
              <w:t xml:space="preserve">2 a 3 semanas: 1 semana para las sesiones de </w:t>
            </w:r>
            <w:proofErr w:type="spellStart"/>
            <w:proofErr w:type="gramStart"/>
            <w:r>
              <w:rPr>
                <w:color w:val="111111"/>
                <w:sz w:val="20"/>
                <w:szCs w:val="20"/>
              </w:rPr>
              <w:t>auto-evaluación</w:t>
            </w:r>
            <w:proofErr w:type="spellEnd"/>
            <w:proofErr w:type="gramEnd"/>
            <w:r>
              <w:rPr>
                <w:color w:val="111111"/>
                <w:sz w:val="20"/>
                <w:szCs w:val="20"/>
              </w:rPr>
              <w:t xml:space="preserve"> con los líderes de línea (pueden hacerse en paralelo si hay varios mercados en análisis), 3-5 días para la consolidación y resolución de inconsistencias, 1 semana para la revisión del CEO y CFO y la aprobación del </w:t>
            </w:r>
            <w:proofErr w:type="gramStart"/>
            <w:r>
              <w:rPr>
                <w:color w:val="111111"/>
                <w:sz w:val="20"/>
                <w:szCs w:val="20"/>
              </w:rPr>
              <w:t>Director</w:t>
            </w:r>
            <w:proofErr w:type="gramEnd"/>
            <w:r>
              <w:rPr>
                <w:color w:val="111111"/>
                <w:sz w:val="20"/>
                <w:szCs w:val="20"/>
              </w:rPr>
              <w:t xml:space="preserve"> de Estrategia.</w:t>
            </w:r>
          </w:p>
        </w:tc>
      </w:tr>
    </w:tbl>
    <w:p w14:paraId="216283D8" w14:textId="77777777" w:rsidR="00182F4A" w:rsidRDefault="00182F4A" w:rsidP="00182F4A">
      <w:r>
        <w:br w:type="page"/>
      </w:r>
    </w:p>
    <w:p w14:paraId="5B68A918" w14:textId="77777777" w:rsidR="00182F4A" w:rsidRPr="004F7F45" w:rsidRDefault="00182F4A" w:rsidP="00182F4A">
      <w:pPr>
        <w:pStyle w:val="Ttulo1"/>
        <w:ind w:left="200" w:right="200"/>
        <w:rPr>
          <w:color w:val="auto"/>
        </w:rPr>
      </w:pPr>
      <w:bookmarkStart w:id="66" w:name="_Toc232659615"/>
      <w:r w:rsidRPr="004F7F45">
        <w:rPr>
          <w:color w:val="auto"/>
        </w:rPr>
        <w:lastRenderedPageBreak/>
        <w:t>Sección 8 — Fase 6: Embudo de Decisión y Perfilamiento Estratégico Final</w:t>
      </w:r>
      <w:bookmarkEnd w:id="66"/>
    </w:p>
    <w:p w14:paraId="592BDD53" w14:textId="77777777" w:rsidR="00182F4A" w:rsidRDefault="00182F4A" w:rsidP="00182F4A">
      <w:pPr>
        <w:spacing w:after="100"/>
      </w:pPr>
    </w:p>
    <w:p w14:paraId="02D6B0AB" w14:textId="77777777" w:rsidR="00182F4A" w:rsidRDefault="00182F4A" w:rsidP="00182F4A">
      <w:pPr>
        <w:spacing w:before="140" w:after="140" w:line="320" w:lineRule="auto"/>
        <w:jc w:val="both"/>
      </w:pPr>
      <w:r>
        <w:rPr>
          <w:color w:val="111111"/>
        </w:rPr>
        <w:t xml:space="preserve">Las cinco fases anteriores han aplicado filtros de complejidad y profundidad creciente al universo inicial de mercados candidatos. En cada fase, el conjunto de mercados bajo análisis se ha reducido: algunos por exclusiones absolutas de viabilidad en la Fase 2, otros por su posición en el ranking cuantitativo en la Fase 3, otros por hallazgos negativos de la inteligencia cualitativa en la Fase 4, y otros por brechas insalvables de capacidad de </w:t>
      </w:r>
      <w:proofErr w:type="spellStart"/>
      <w:r>
        <w:rPr>
          <w:color w:val="111111"/>
        </w:rPr>
        <w:t>Cibest</w:t>
      </w:r>
      <w:proofErr w:type="spellEnd"/>
      <w:r>
        <w:rPr>
          <w:color w:val="111111"/>
        </w:rPr>
        <w:t xml:space="preserve"> en la Fase 5. El resultado de este proceso de reducción progresiva es lo que en la literatura de selección internacional de mercados se denomina el embudo de decisión: el mecanismo mediante el cual un universo amplio de posibilidades se convierte, a través de evaluaciones de creciente rigor, en un conjunto pequeño de candidatos que merecen la inversión de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formal y, eventualmente, la decisión de entrada.</w:t>
      </w:r>
    </w:p>
    <w:p w14:paraId="014438BD" w14:textId="77777777" w:rsidR="00182F4A" w:rsidRDefault="00182F4A" w:rsidP="00182F4A">
      <w:pPr>
        <w:spacing w:after="100"/>
      </w:pPr>
    </w:p>
    <w:p w14:paraId="31414902" w14:textId="77777777" w:rsidR="00182F4A" w:rsidRDefault="00182F4A" w:rsidP="00182F4A">
      <w:pPr>
        <w:pStyle w:val="Ttulo2"/>
        <w:pBdr>
          <w:bottom w:val="single" w:sz="4" w:space="4" w:color="E8B931"/>
        </w:pBdr>
      </w:pPr>
      <w:bookmarkStart w:id="67" w:name="_Toc232659616"/>
      <w:proofErr w:type="gramStart"/>
      <w:r>
        <w:t>8.1  La</w:t>
      </w:r>
      <w:proofErr w:type="gramEnd"/>
      <w:r>
        <w:t xml:space="preserve"> lógica del embudo: por qué la reducción progresiva es más eficiente que la evaluación total</w:t>
      </w:r>
      <w:bookmarkEnd w:id="67"/>
    </w:p>
    <w:p w14:paraId="309AB1DB" w14:textId="77777777" w:rsidR="00182F4A" w:rsidRDefault="00182F4A" w:rsidP="00182F4A">
      <w:pPr>
        <w:spacing w:before="140" w:after="140" w:line="320" w:lineRule="auto"/>
        <w:jc w:val="both"/>
      </w:pPr>
      <w:r>
        <w:rPr>
          <w:color w:val="111111"/>
        </w:rPr>
        <w:t>La alternativa al embudo progresivo es realizar un análisis igualmente profundo de todos los mercados del universo desde el inicio. Esta alternativa es ineficiente por tres razones fundamentales. Primero, el costo de la información aumenta exponencialmente con su profundidad: obtener la viabilidad regulatoria básica de un país cuesta días de trabajo; obtener un memorando de inteligencia regulatoria completo de ese mismo país con un bufete local cuesta semanas y honorarios significativos. Si se hiciera el memorando completo para los treinta y cinco mercados del universo antes de correr ningún filtro, se estarían invirtiendo recursos en mercados que el análisis cuantitativo y el screening básico habrían descartado en horas. Segundo, la concentración del análisis profundo en un subconjunto reducido de candidatos mejora su calidad: el equipo de Estrategia puede hacer un análisis más riguroso de cinco mercados que de veinte, con el mismo tiempo disponible. Tercero, el embudo mantiene el proceso manejable para el Comité Ejecutivo, que necesita tomar decisiones sobre un conjunto pequeño de opciones bien analizadas, no sobre un conjunto grande de opciones superficialmente evaluadas.</w:t>
      </w:r>
    </w:p>
    <w:p w14:paraId="39A5E6FA" w14:textId="424D6453" w:rsidR="00182F4A" w:rsidRDefault="00182F4A" w:rsidP="00182F4A">
      <w:pPr>
        <w:spacing w:before="140" w:after="140" w:line="320" w:lineRule="auto"/>
        <w:jc w:val="both"/>
      </w:pPr>
      <w:r>
        <w:rPr>
          <w:color w:val="111111"/>
        </w:rPr>
        <w:t xml:space="preserve">El embudo de decisión del proceso SIM de </w:t>
      </w:r>
      <w:proofErr w:type="spellStart"/>
      <w:r>
        <w:rPr>
          <w:color w:val="111111"/>
        </w:rPr>
        <w:t>Cibest</w:t>
      </w:r>
      <w:proofErr w:type="spellEnd"/>
      <w:r>
        <w:rPr>
          <w:color w:val="111111"/>
        </w:rPr>
        <w:t xml:space="preserve"> opera en siete etapas de reducción que se corresponden con las fases del proceso descritas en este </w:t>
      </w:r>
      <w:r w:rsidR="00AA01B4">
        <w:rPr>
          <w:color w:val="111111"/>
        </w:rPr>
        <w:t>documento</w:t>
      </w:r>
      <w:r>
        <w:rPr>
          <w:color w:val="111111"/>
        </w:rPr>
        <w:t>. La reducción estimada en cada etapa no es un resultado predeterminado: es una estimación de referencia que puede variar según las condiciones del universo evaluado. Lo que sí es determinístico es la secuencia: ninguna etapa puede saltarse, porque cada una depende del output de la anterior.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
        <w:gridCol w:w="2450"/>
        <w:gridCol w:w="2456"/>
        <w:gridCol w:w="2058"/>
        <w:gridCol w:w="2023"/>
      </w:tblGrid>
      <w:tr w:rsidR="00182F4A" w14:paraId="30303A9D" w14:textId="77777777" w:rsidTr="00800E51">
        <w:tc>
          <w:tcPr>
            <w:tcW w:w="28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2C9AE0CC" w14:textId="77777777" w:rsidR="00182F4A" w:rsidRDefault="00182F4A" w:rsidP="001F40FE">
            <w:r>
              <w:rPr>
                <w:b/>
                <w:bCs/>
                <w:color w:val="FFFFFF"/>
                <w:sz w:val="20"/>
                <w:szCs w:val="20"/>
              </w:rPr>
              <w:lastRenderedPageBreak/>
              <w:t>#</w:t>
            </w:r>
          </w:p>
        </w:tc>
        <w:tc>
          <w:tcPr>
            <w:tcW w:w="248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4CAEB758" w14:textId="77777777" w:rsidR="00182F4A" w:rsidRDefault="00182F4A" w:rsidP="001F40FE">
            <w:r>
              <w:rPr>
                <w:b/>
                <w:bCs/>
                <w:color w:val="FFFFFF"/>
                <w:sz w:val="20"/>
                <w:szCs w:val="20"/>
              </w:rPr>
              <w:t>Etapa de reducción</w:t>
            </w:r>
          </w:p>
        </w:tc>
        <w:tc>
          <w:tcPr>
            <w:tcW w:w="248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65BC7E83" w14:textId="77777777" w:rsidR="00182F4A" w:rsidRDefault="00182F4A" w:rsidP="001F40FE">
            <w:r>
              <w:rPr>
                <w:b/>
                <w:bCs/>
                <w:color w:val="FFFFFF"/>
                <w:sz w:val="20"/>
                <w:szCs w:val="20"/>
              </w:rPr>
              <w:t>Criterio aplicado</w:t>
            </w:r>
          </w:p>
        </w:tc>
        <w:tc>
          <w:tcPr>
            <w:tcW w:w="208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0B4E55BD" w14:textId="77777777" w:rsidR="00182F4A" w:rsidRDefault="00182F4A" w:rsidP="001F40FE">
            <w:r>
              <w:rPr>
                <w:b/>
                <w:bCs/>
                <w:color w:val="FFFFFF"/>
                <w:sz w:val="20"/>
                <w:szCs w:val="20"/>
              </w:rPr>
              <w:t>Mercados restantes (estimado)</w:t>
            </w:r>
          </w:p>
        </w:tc>
        <w:tc>
          <w:tcPr>
            <w:tcW w:w="204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573BE796" w14:textId="77777777" w:rsidR="00182F4A" w:rsidRDefault="00182F4A" w:rsidP="001F40FE">
            <w:r>
              <w:rPr>
                <w:b/>
                <w:bCs/>
                <w:color w:val="FFFFFF"/>
                <w:sz w:val="20"/>
                <w:szCs w:val="20"/>
              </w:rPr>
              <w:t>Fase del proceso SIM</w:t>
            </w:r>
          </w:p>
        </w:tc>
      </w:tr>
      <w:tr w:rsidR="00182F4A" w14:paraId="6D0BFDD0" w14:textId="77777777" w:rsidTr="00800E51">
        <w:tc>
          <w:tcPr>
            <w:tcW w:w="2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54559B3" w14:textId="77777777" w:rsidR="00182F4A" w:rsidRDefault="00182F4A" w:rsidP="001F40FE">
            <w:r>
              <w:rPr>
                <w:color w:val="111111"/>
                <w:sz w:val="20"/>
                <w:szCs w:val="20"/>
              </w:rPr>
              <w:t>1</w:t>
            </w:r>
          </w:p>
        </w:tc>
        <w:tc>
          <w:tcPr>
            <w:tcW w:w="2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08EF881" w14:textId="77777777" w:rsidR="00182F4A" w:rsidRDefault="00182F4A" w:rsidP="001F40FE">
            <w:r>
              <w:rPr>
                <w:color w:val="111111"/>
                <w:sz w:val="20"/>
                <w:szCs w:val="20"/>
              </w:rPr>
              <w:t>Universo estratégico declarado</w:t>
            </w:r>
          </w:p>
        </w:tc>
        <w:tc>
          <w:tcPr>
            <w:tcW w:w="2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7E0237C" w14:textId="77777777" w:rsidR="00182F4A" w:rsidRDefault="00182F4A" w:rsidP="001F40FE">
            <w:r>
              <w:rPr>
                <w:color w:val="111111"/>
                <w:sz w:val="20"/>
                <w:szCs w:val="20"/>
              </w:rPr>
              <w:t xml:space="preserve">Mercados de América y España, según estrategia corporativa de </w:t>
            </w:r>
            <w:proofErr w:type="spellStart"/>
            <w:r>
              <w:rPr>
                <w:color w:val="111111"/>
                <w:sz w:val="20"/>
                <w:szCs w:val="20"/>
              </w:rPr>
              <w:t>Cibest</w:t>
            </w:r>
            <w:proofErr w:type="spellEnd"/>
          </w:p>
        </w:tc>
        <w:tc>
          <w:tcPr>
            <w:tcW w:w="2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CBE35D8" w14:textId="77777777" w:rsidR="00182F4A" w:rsidRDefault="00182F4A" w:rsidP="001F40FE">
            <w:r>
              <w:rPr>
                <w:color w:val="111111"/>
                <w:sz w:val="20"/>
                <w:szCs w:val="20"/>
              </w:rPr>
              <w:t>~35 a 40 mercados</w:t>
            </w:r>
          </w:p>
        </w:tc>
        <w:tc>
          <w:tcPr>
            <w:tcW w:w="20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8248B97" w14:textId="77777777" w:rsidR="00182F4A" w:rsidRDefault="00182F4A" w:rsidP="001F40FE">
            <w:r>
              <w:rPr>
                <w:color w:val="111111"/>
                <w:sz w:val="20"/>
                <w:szCs w:val="20"/>
              </w:rPr>
              <w:t>Fase 1 — Definición del objetivo</w:t>
            </w:r>
          </w:p>
        </w:tc>
      </w:tr>
      <w:tr w:rsidR="00182F4A" w14:paraId="7C7E7297" w14:textId="77777777" w:rsidTr="00800E51">
        <w:tc>
          <w:tcPr>
            <w:tcW w:w="2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0150C3A" w14:textId="77777777" w:rsidR="00182F4A" w:rsidRDefault="00182F4A" w:rsidP="001F40FE">
            <w:r>
              <w:rPr>
                <w:color w:val="111111"/>
                <w:sz w:val="20"/>
                <w:szCs w:val="20"/>
              </w:rPr>
              <w:t>2</w:t>
            </w:r>
          </w:p>
        </w:tc>
        <w:tc>
          <w:tcPr>
            <w:tcW w:w="2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282C3B1" w14:textId="77777777" w:rsidR="00182F4A" w:rsidRDefault="00182F4A" w:rsidP="001F40FE">
            <w:proofErr w:type="spellStart"/>
            <w:r>
              <w:rPr>
                <w:color w:val="111111"/>
                <w:sz w:val="20"/>
                <w:szCs w:val="20"/>
              </w:rPr>
              <w:t>Post-exclusiones</w:t>
            </w:r>
            <w:proofErr w:type="spellEnd"/>
            <w:r>
              <w:rPr>
                <w:color w:val="111111"/>
                <w:sz w:val="20"/>
                <w:szCs w:val="20"/>
              </w:rPr>
              <w:t xml:space="preserve"> absolutas</w:t>
            </w:r>
          </w:p>
        </w:tc>
        <w:tc>
          <w:tcPr>
            <w:tcW w:w="2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D9A471A" w14:textId="77777777" w:rsidR="00182F4A" w:rsidRDefault="00182F4A" w:rsidP="001F40FE">
            <w:r>
              <w:rPr>
                <w:color w:val="111111"/>
                <w:sz w:val="20"/>
                <w:szCs w:val="20"/>
              </w:rPr>
              <w:t>Eliminación de mercados con sanciones, hiperinflación estructural, default soberano activo o tamaño irrelevante</w:t>
            </w:r>
          </w:p>
        </w:tc>
        <w:tc>
          <w:tcPr>
            <w:tcW w:w="2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2A683D8" w14:textId="77777777" w:rsidR="00182F4A" w:rsidRDefault="00182F4A" w:rsidP="001F40FE">
            <w:r>
              <w:rPr>
                <w:color w:val="111111"/>
                <w:sz w:val="20"/>
                <w:szCs w:val="20"/>
              </w:rPr>
              <w:t>~28 a 32 mercados</w:t>
            </w:r>
          </w:p>
        </w:tc>
        <w:tc>
          <w:tcPr>
            <w:tcW w:w="20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91CAF51" w14:textId="77777777" w:rsidR="00182F4A" w:rsidRDefault="00182F4A" w:rsidP="001F40FE">
            <w:r>
              <w:rPr>
                <w:color w:val="111111"/>
                <w:sz w:val="20"/>
                <w:szCs w:val="20"/>
              </w:rPr>
              <w:t>Fase 2 — Screening primario</w:t>
            </w:r>
          </w:p>
        </w:tc>
      </w:tr>
      <w:tr w:rsidR="00182F4A" w14:paraId="75E2D075" w14:textId="77777777" w:rsidTr="00800E51">
        <w:tc>
          <w:tcPr>
            <w:tcW w:w="2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9FF0597" w14:textId="77777777" w:rsidR="00182F4A" w:rsidRDefault="00182F4A" w:rsidP="001F40FE">
            <w:r>
              <w:rPr>
                <w:color w:val="111111"/>
                <w:sz w:val="20"/>
                <w:szCs w:val="20"/>
              </w:rPr>
              <w:t>3</w:t>
            </w:r>
          </w:p>
        </w:tc>
        <w:tc>
          <w:tcPr>
            <w:tcW w:w="2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78639B6" w14:textId="77777777" w:rsidR="00182F4A" w:rsidRDefault="00182F4A" w:rsidP="001F40FE">
            <w:proofErr w:type="spellStart"/>
            <w:r>
              <w:rPr>
                <w:color w:val="111111"/>
                <w:sz w:val="20"/>
                <w:szCs w:val="20"/>
              </w:rPr>
              <w:t>Post-screening</w:t>
            </w:r>
            <w:proofErr w:type="spellEnd"/>
            <w:r>
              <w:rPr>
                <w:color w:val="111111"/>
                <w:sz w:val="20"/>
                <w:szCs w:val="20"/>
              </w:rPr>
              <w:t xml:space="preserve"> regulatorio básico</w:t>
            </w:r>
          </w:p>
        </w:tc>
        <w:tc>
          <w:tcPr>
            <w:tcW w:w="2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360DC60" w14:textId="77777777" w:rsidR="00182F4A" w:rsidRDefault="00182F4A" w:rsidP="001F40FE">
            <w:r>
              <w:rPr>
                <w:color w:val="111111"/>
                <w:sz w:val="20"/>
                <w:szCs w:val="20"/>
              </w:rPr>
              <w:t xml:space="preserve">Eliminación de mercados con prohibición de IED bancaria para todas las líneas de negocio de </w:t>
            </w:r>
            <w:proofErr w:type="spellStart"/>
            <w:r>
              <w:rPr>
                <w:color w:val="111111"/>
                <w:sz w:val="20"/>
                <w:szCs w:val="20"/>
              </w:rPr>
              <w:t>Cibest</w:t>
            </w:r>
            <w:proofErr w:type="spellEnd"/>
          </w:p>
        </w:tc>
        <w:tc>
          <w:tcPr>
            <w:tcW w:w="2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5F31FDF" w14:textId="77777777" w:rsidR="00182F4A" w:rsidRDefault="00182F4A" w:rsidP="001F40FE">
            <w:r>
              <w:rPr>
                <w:color w:val="111111"/>
                <w:sz w:val="20"/>
                <w:szCs w:val="20"/>
              </w:rPr>
              <w:t>~24 a 28 mercados</w:t>
            </w:r>
          </w:p>
        </w:tc>
        <w:tc>
          <w:tcPr>
            <w:tcW w:w="20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B1A9569" w14:textId="77777777" w:rsidR="00182F4A" w:rsidRDefault="00182F4A" w:rsidP="001F40FE">
            <w:r>
              <w:rPr>
                <w:color w:val="111111"/>
                <w:sz w:val="20"/>
                <w:szCs w:val="20"/>
              </w:rPr>
              <w:t>Fase 2 — Screening primario</w:t>
            </w:r>
          </w:p>
        </w:tc>
      </w:tr>
      <w:tr w:rsidR="00182F4A" w14:paraId="0B25F5A6" w14:textId="77777777" w:rsidTr="00800E51">
        <w:tc>
          <w:tcPr>
            <w:tcW w:w="280" w:type="dxa"/>
            <w:tcBorders>
              <w:top w:val="single" w:sz="1" w:space="0" w:color="D0D5DB"/>
              <w:left w:val="single" w:sz="1" w:space="0" w:color="D0D5DB"/>
              <w:bottom w:val="single" w:sz="1" w:space="0" w:color="D0D5DB"/>
              <w:right w:val="single" w:sz="1" w:space="0" w:color="D0D5DB"/>
            </w:tcBorders>
            <w:shd w:val="clear" w:color="auto" w:fill="EBF3FB"/>
            <w:tcMar>
              <w:top w:w="80" w:type="dxa"/>
              <w:left w:w="130" w:type="dxa"/>
              <w:bottom w:w="80" w:type="dxa"/>
              <w:right w:w="130" w:type="dxa"/>
            </w:tcMar>
          </w:tcPr>
          <w:p w14:paraId="19640753" w14:textId="77777777" w:rsidR="00182F4A" w:rsidRDefault="00182F4A" w:rsidP="001F40FE">
            <w:r>
              <w:rPr>
                <w:color w:val="111111"/>
                <w:sz w:val="20"/>
                <w:szCs w:val="20"/>
              </w:rPr>
              <w:t>4</w:t>
            </w:r>
          </w:p>
        </w:tc>
        <w:tc>
          <w:tcPr>
            <w:tcW w:w="2480" w:type="dxa"/>
            <w:tcBorders>
              <w:top w:val="single" w:sz="1" w:space="0" w:color="D0D5DB"/>
              <w:left w:val="single" w:sz="1" w:space="0" w:color="D0D5DB"/>
              <w:bottom w:val="single" w:sz="1" w:space="0" w:color="D0D5DB"/>
              <w:right w:val="single" w:sz="1" w:space="0" w:color="D0D5DB"/>
            </w:tcBorders>
            <w:shd w:val="clear" w:color="auto" w:fill="EBF3FB"/>
            <w:tcMar>
              <w:top w:w="80" w:type="dxa"/>
              <w:left w:w="130" w:type="dxa"/>
              <w:bottom w:w="80" w:type="dxa"/>
              <w:right w:w="130" w:type="dxa"/>
            </w:tcMar>
          </w:tcPr>
          <w:p w14:paraId="2D79C781" w14:textId="77777777" w:rsidR="00182F4A" w:rsidRDefault="00182F4A" w:rsidP="001F40FE">
            <w:r>
              <w:rPr>
                <w:color w:val="111111"/>
                <w:sz w:val="20"/>
                <w:szCs w:val="20"/>
              </w:rPr>
              <w:t>Post-RADAR: análisis profundo</w:t>
            </w:r>
          </w:p>
        </w:tc>
        <w:tc>
          <w:tcPr>
            <w:tcW w:w="2480" w:type="dxa"/>
            <w:tcBorders>
              <w:top w:val="single" w:sz="1" w:space="0" w:color="D0D5DB"/>
              <w:left w:val="single" w:sz="1" w:space="0" w:color="D0D5DB"/>
              <w:bottom w:val="single" w:sz="1" w:space="0" w:color="D0D5DB"/>
              <w:right w:val="single" w:sz="1" w:space="0" w:color="D0D5DB"/>
            </w:tcBorders>
            <w:shd w:val="clear" w:color="auto" w:fill="EBF3FB"/>
            <w:tcMar>
              <w:top w:w="80" w:type="dxa"/>
              <w:left w:w="130" w:type="dxa"/>
              <w:bottom w:w="80" w:type="dxa"/>
              <w:right w:w="130" w:type="dxa"/>
            </w:tcMar>
          </w:tcPr>
          <w:p w14:paraId="33E77D3A" w14:textId="77777777" w:rsidR="00182F4A" w:rsidRDefault="00182F4A" w:rsidP="001F40FE">
            <w:r>
              <w:rPr>
                <w:color w:val="111111"/>
                <w:sz w:val="20"/>
                <w:szCs w:val="20"/>
              </w:rPr>
              <w:t>Solo los mercados clasificados como Prioritarios, Atractivos con Riesgo u Oportunidades Especializadas por el motor de reglas</w:t>
            </w:r>
          </w:p>
        </w:tc>
        <w:tc>
          <w:tcPr>
            <w:tcW w:w="2080" w:type="dxa"/>
            <w:tcBorders>
              <w:top w:val="single" w:sz="1" w:space="0" w:color="D0D5DB"/>
              <w:left w:val="single" w:sz="1" w:space="0" w:color="D0D5DB"/>
              <w:bottom w:val="single" w:sz="1" w:space="0" w:color="D0D5DB"/>
              <w:right w:val="single" w:sz="1" w:space="0" w:color="D0D5DB"/>
            </w:tcBorders>
            <w:shd w:val="clear" w:color="auto" w:fill="EBF3FB"/>
            <w:tcMar>
              <w:top w:w="80" w:type="dxa"/>
              <w:left w:w="130" w:type="dxa"/>
              <w:bottom w:w="80" w:type="dxa"/>
              <w:right w:w="130" w:type="dxa"/>
            </w:tcMar>
          </w:tcPr>
          <w:p w14:paraId="52BBD9FC" w14:textId="77777777" w:rsidR="00182F4A" w:rsidRDefault="00182F4A" w:rsidP="001F40FE">
            <w:r>
              <w:rPr>
                <w:color w:val="111111"/>
                <w:sz w:val="20"/>
                <w:szCs w:val="20"/>
              </w:rPr>
              <w:t>~8 a 12 mercados</w:t>
            </w:r>
          </w:p>
        </w:tc>
        <w:tc>
          <w:tcPr>
            <w:tcW w:w="2040" w:type="dxa"/>
            <w:tcBorders>
              <w:top w:val="single" w:sz="1" w:space="0" w:color="D0D5DB"/>
              <w:left w:val="single" w:sz="1" w:space="0" w:color="D0D5DB"/>
              <w:bottom w:val="single" w:sz="1" w:space="0" w:color="D0D5DB"/>
              <w:right w:val="single" w:sz="1" w:space="0" w:color="D0D5DB"/>
            </w:tcBorders>
            <w:shd w:val="clear" w:color="auto" w:fill="EBF3FB"/>
            <w:tcMar>
              <w:top w:w="80" w:type="dxa"/>
              <w:left w:w="130" w:type="dxa"/>
              <w:bottom w:w="80" w:type="dxa"/>
              <w:right w:w="130" w:type="dxa"/>
            </w:tcMar>
          </w:tcPr>
          <w:p w14:paraId="0BA67011" w14:textId="77777777" w:rsidR="00182F4A" w:rsidRDefault="00182F4A" w:rsidP="001F40FE">
            <w:r>
              <w:rPr>
                <w:color w:val="111111"/>
                <w:sz w:val="20"/>
                <w:szCs w:val="20"/>
              </w:rPr>
              <w:t xml:space="preserve">Fase 3 — RADAR </w:t>
            </w:r>
            <w:proofErr w:type="spellStart"/>
            <w:r>
              <w:rPr>
                <w:color w:val="111111"/>
                <w:sz w:val="20"/>
                <w:szCs w:val="20"/>
              </w:rPr>
              <w:t>Cibest</w:t>
            </w:r>
            <w:proofErr w:type="spellEnd"/>
          </w:p>
        </w:tc>
      </w:tr>
      <w:tr w:rsidR="00182F4A" w14:paraId="217E2BEA" w14:textId="77777777" w:rsidTr="00800E51">
        <w:tc>
          <w:tcPr>
            <w:tcW w:w="2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A4DA0FE" w14:textId="77777777" w:rsidR="00182F4A" w:rsidRDefault="00182F4A" w:rsidP="001F40FE">
            <w:r>
              <w:rPr>
                <w:color w:val="111111"/>
                <w:sz w:val="20"/>
                <w:szCs w:val="20"/>
              </w:rPr>
              <w:t>5</w:t>
            </w:r>
          </w:p>
        </w:tc>
        <w:tc>
          <w:tcPr>
            <w:tcW w:w="2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F261940" w14:textId="77777777" w:rsidR="00182F4A" w:rsidRDefault="00182F4A" w:rsidP="001F40FE">
            <w:proofErr w:type="spellStart"/>
            <w:r>
              <w:rPr>
                <w:color w:val="111111"/>
                <w:sz w:val="20"/>
                <w:szCs w:val="20"/>
              </w:rPr>
              <w:t>Post-inteligencia</w:t>
            </w:r>
            <w:proofErr w:type="spellEnd"/>
            <w:r>
              <w:rPr>
                <w:color w:val="111111"/>
                <w:sz w:val="20"/>
                <w:szCs w:val="20"/>
              </w:rPr>
              <w:t xml:space="preserve"> cualitativa</w:t>
            </w:r>
          </w:p>
        </w:tc>
        <w:tc>
          <w:tcPr>
            <w:tcW w:w="2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3A37216" w14:textId="77777777" w:rsidR="00182F4A" w:rsidRDefault="00182F4A" w:rsidP="001F40FE">
            <w:r>
              <w:rPr>
                <w:color w:val="111111"/>
                <w:sz w:val="20"/>
                <w:szCs w:val="20"/>
              </w:rPr>
              <w:t>Eliminación de mercados donde la inteligencia cualitativa revela barreras insalvables o ausencia de demanda suficiente en el horizonte estratégico</w:t>
            </w:r>
          </w:p>
        </w:tc>
        <w:tc>
          <w:tcPr>
            <w:tcW w:w="2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05C7490" w14:textId="77777777" w:rsidR="00182F4A" w:rsidRDefault="00182F4A" w:rsidP="001F40FE">
            <w:r>
              <w:rPr>
                <w:color w:val="111111"/>
                <w:sz w:val="20"/>
                <w:szCs w:val="20"/>
              </w:rPr>
              <w:t>~4 a 7 mercados</w:t>
            </w:r>
          </w:p>
        </w:tc>
        <w:tc>
          <w:tcPr>
            <w:tcW w:w="20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5F05F1F" w14:textId="77777777" w:rsidR="00182F4A" w:rsidRDefault="00182F4A" w:rsidP="001F40FE">
            <w:r>
              <w:rPr>
                <w:color w:val="111111"/>
                <w:sz w:val="20"/>
                <w:szCs w:val="20"/>
              </w:rPr>
              <w:t>Fase 4 — Inteligencia cualitativa</w:t>
            </w:r>
          </w:p>
        </w:tc>
      </w:tr>
      <w:tr w:rsidR="00182F4A" w14:paraId="337B0EEC" w14:textId="77777777" w:rsidTr="00800E51">
        <w:tc>
          <w:tcPr>
            <w:tcW w:w="2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067776B" w14:textId="77777777" w:rsidR="00182F4A" w:rsidRDefault="00182F4A" w:rsidP="001F40FE">
            <w:r>
              <w:rPr>
                <w:color w:val="111111"/>
                <w:sz w:val="20"/>
                <w:szCs w:val="20"/>
              </w:rPr>
              <w:t>6</w:t>
            </w:r>
          </w:p>
        </w:tc>
        <w:tc>
          <w:tcPr>
            <w:tcW w:w="2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C5CFB52" w14:textId="77777777" w:rsidR="00182F4A" w:rsidRDefault="00182F4A" w:rsidP="001F40FE">
            <w:proofErr w:type="spellStart"/>
            <w:r>
              <w:rPr>
                <w:color w:val="111111"/>
                <w:sz w:val="20"/>
                <w:szCs w:val="20"/>
              </w:rPr>
              <w:t>Post-evaluación</w:t>
            </w:r>
            <w:proofErr w:type="spellEnd"/>
            <w:r>
              <w:rPr>
                <w:color w:val="111111"/>
                <w:sz w:val="20"/>
                <w:szCs w:val="20"/>
              </w:rPr>
              <w:t xml:space="preserve"> de capacidades</w:t>
            </w:r>
          </w:p>
        </w:tc>
        <w:tc>
          <w:tcPr>
            <w:tcW w:w="2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6223C27" w14:textId="77777777" w:rsidR="00182F4A" w:rsidRDefault="00182F4A" w:rsidP="001F40FE">
            <w:r>
              <w:rPr>
                <w:color w:val="111111"/>
                <w:sz w:val="20"/>
                <w:szCs w:val="20"/>
              </w:rPr>
              <w:t xml:space="preserve">Eliminación de mercados en Cuadrante 4 (bajo atractivo + baja capacidad); </w:t>
            </w:r>
            <w:proofErr w:type="spellStart"/>
            <w:r>
              <w:rPr>
                <w:color w:val="111111"/>
                <w:sz w:val="20"/>
                <w:szCs w:val="20"/>
              </w:rPr>
              <w:t>re-clasificación</w:t>
            </w:r>
            <w:proofErr w:type="spellEnd"/>
            <w:r>
              <w:rPr>
                <w:color w:val="111111"/>
                <w:sz w:val="20"/>
                <w:szCs w:val="20"/>
              </w:rPr>
              <w:t xml:space="preserve"> de Cuadrante 3 como pendientes de cierre de brechas</w:t>
            </w:r>
          </w:p>
        </w:tc>
        <w:tc>
          <w:tcPr>
            <w:tcW w:w="2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A6A7158" w14:textId="77777777" w:rsidR="00182F4A" w:rsidRDefault="00182F4A" w:rsidP="001F40FE">
            <w:r>
              <w:rPr>
                <w:color w:val="111111"/>
                <w:sz w:val="20"/>
                <w:szCs w:val="20"/>
              </w:rPr>
              <w:t>~2 a 4 mercados en Cuadrante 1</w:t>
            </w:r>
          </w:p>
        </w:tc>
        <w:tc>
          <w:tcPr>
            <w:tcW w:w="20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08B1A41" w14:textId="77777777" w:rsidR="00182F4A" w:rsidRDefault="00182F4A" w:rsidP="001F40FE">
            <w:r>
              <w:rPr>
                <w:color w:val="111111"/>
                <w:sz w:val="20"/>
                <w:szCs w:val="20"/>
              </w:rPr>
              <w:t xml:space="preserve">Fase 5 — Capacidades de </w:t>
            </w:r>
            <w:proofErr w:type="spellStart"/>
            <w:r>
              <w:rPr>
                <w:color w:val="111111"/>
                <w:sz w:val="20"/>
                <w:szCs w:val="20"/>
              </w:rPr>
              <w:t>Cibest</w:t>
            </w:r>
            <w:proofErr w:type="spellEnd"/>
          </w:p>
        </w:tc>
      </w:tr>
      <w:tr w:rsidR="00182F4A" w14:paraId="1CB3FFDA" w14:textId="77777777" w:rsidTr="00800E51">
        <w:tc>
          <w:tcPr>
            <w:tcW w:w="280" w:type="dxa"/>
            <w:tcBorders>
              <w:top w:val="single" w:sz="1" w:space="0" w:color="D0D5DB"/>
              <w:left w:val="single" w:sz="1" w:space="0" w:color="D0D5DB"/>
              <w:bottom w:val="single" w:sz="1" w:space="0" w:color="D0D5DB"/>
              <w:right w:val="single" w:sz="1" w:space="0" w:color="D0D5DB"/>
            </w:tcBorders>
            <w:shd w:val="clear" w:color="auto" w:fill="EBF7EE"/>
            <w:tcMar>
              <w:top w:w="80" w:type="dxa"/>
              <w:left w:w="130" w:type="dxa"/>
              <w:bottom w:w="80" w:type="dxa"/>
              <w:right w:w="130" w:type="dxa"/>
            </w:tcMar>
          </w:tcPr>
          <w:p w14:paraId="12F84F60" w14:textId="77777777" w:rsidR="00182F4A" w:rsidRDefault="00182F4A" w:rsidP="001F40FE">
            <w:r>
              <w:rPr>
                <w:color w:val="111111"/>
                <w:sz w:val="20"/>
                <w:szCs w:val="20"/>
              </w:rPr>
              <w:t>7</w:t>
            </w:r>
          </w:p>
        </w:tc>
        <w:tc>
          <w:tcPr>
            <w:tcW w:w="2480" w:type="dxa"/>
            <w:tcBorders>
              <w:top w:val="single" w:sz="1" w:space="0" w:color="D0D5DB"/>
              <w:left w:val="single" w:sz="1" w:space="0" w:color="D0D5DB"/>
              <w:bottom w:val="single" w:sz="1" w:space="0" w:color="D0D5DB"/>
              <w:right w:val="single" w:sz="1" w:space="0" w:color="D0D5DB"/>
            </w:tcBorders>
            <w:shd w:val="clear" w:color="auto" w:fill="EBF7EE"/>
            <w:tcMar>
              <w:top w:w="80" w:type="dxa"/>
              <w:left w:w="130" w:type="dxa"/>
              <w:bottom w:w="80" w:type="dxa"/>
              <w:right w:w="130" w:type="dxa"/>
            </w:tcMar>
          </w:tcPr>
          <w:p w14:paraId="5B09CEF8" w14:textId="77777777" w:rsidR="00182F4A" w:rsidRDefault="00182F4A" w:rsidP="001F40FE">
            <w:r>
              <w:rPr>
                <w:color w:val="111111"/>
                <w:sz w:val="20"/>
                <w:szCs w:val="20"/>
              </w:rPr>
              <w:t xml:space="preserve">Candidatos para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 xml:space="preserve"> formal y decisión de entrada</w:t>
            </w:r>
          </w:p>
        </w:tc>
        <w:tc>
          <w:tcPr>
            <w:tcW w:w="2480" w:type="dxa"/>
            <w:tcBorders>
              <w:top w:val="single" w:sz="1" w:space="0" w:color="D0D5DB"/>
              <w:left w:val="single" w:sz="1" w:space="0" w:color="D0D5DB"/>
              <w:bottom w:val="single" w:sz="1" w:space="0" w:color="D0D5DB"/>
              <w:right w:val="single" w:sz="1" w:space="0" w:color="D0D5DB"/>
            </w:tcBorders>
            <w:shd w:val="clear" w:color="auto" w:fill="EBF7EE"/>
            <w:tcMar>
              <w:top w:w="80" w:type="dxa"/>
              <w:left w:w="130" w:type="dxa"/>
              <w:bottom w:w="80" w:type="dxa"/>
              <w:right w:w="130" w:type="dxa"/>
            </w:tcMar>
          </w:tcPr>
          <w:p w14:paraId="2255E9AB" w14:textId="77777777" w:rsidR="00182F4A" w:rsidRDefault="00182F4A" w:rsidP="001F40FE">
            <w:r>
              <w:rPr>
                <w:color w:val="111111"/>
                <w:sz w:val="20"/>
                <w:szCs w:val="20"/>
              </w:rPr>
              <w:t xml:space="preserve">Mercados de Cuadrante 1 con perfilamiento estratégico completo y aprobación del Comité Ejecutivo para avanzar a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p>
        </w:tc>
        <w:tc>
          <w:tcPr>
            <w:tcW w:w="2080" w:type="dxa"/>
            <w:tcBorders>
              <w:top w:val="single" w:sz="1" w:space="0" w:color="D0D5DB"/>
              <w:left w:val="single" w:sz="1" w:space="0" w:color="D0D5DB"/>
              <w:bottom w:val="single" w:sz="1" w:space="0" w:color="D0D5DB"/>
              <w:right w:val="single" w:sz="1" w:space="0" w:color="D0D5DB"/>
            </w:tcBorders>
            <w:shd w:val="clear" w:color="auto" w:fill="EBF7EE"/>
            <w:tcMar>
              <w:top w:w="80" w:type="dxa"/>
              <w:left w:w="130" w:type="dxa"/>
              <w:bottom w:w="80" w:type="dxa"/>
              <w:right w:w="130" w:type="dxa"/>
            </w:tcMar>
          </w:tcPr>
          <w:p w14:paraId="54F21C56" w14:textId="77777777" w:rsidR="00182F4A" w:rsidRDefault="00182F4A" w:rsidP="001F40FE">
            <w:r>
              <w:rPr>
                <w:color w:val="111111"/>
                <w:sz w:val="20"/>
                <w:szCs w:val="20"/>
              </w:rPr>
              <w:t>~1 a 3 mercados</w:t>
            </w:r>
          </w:p>
        </w:tc>
        <w:tc>
          <w:tcPr>
            <w:tcW w:w="2040" w:type="dxa"/>
            <w:tcBorders>
              <w:top w:val="single" w:sz="1" w:space="0" w:color="D0D5DB"/>
              <w:left w:val="single" w:sz="1" w:space="0" w:color="D0D5DB"/>
              <w:bottom w:val="single" w:sz="1" w:space="0" w:color="D0D5DB"/>
              <w:right w:val="single" w:sz="1" w:space="0" w:color="D0D5DB"/>
            </w:tcBorders>
            <w:shd w:val="clear" w:color="auto" w:fill="EBF7EE"/>
            <w:tcMar>
              <w:top w:w="80" w:type="dxa"/>
              <w:left w:w="130" w:type="dxa"/>
              <w:bottom w:w="80" w:type="dxa"/>
              <w:right w:w="130" w:type="dxa"/>
            </w:tcMar>
          </w:tcPr>
          <w:p w14:paraId="6735F990" w14:textId="77777777" w:rsidR="00182F4A" w:rsidRDefault="00182F4A" w:rsidP="001F40FE">
            <w:r>
              <w:rPr>
                <w:color w:val="111111"/>
                <w:sz w:val="20"/>
                <w:szCs w:val="20"/>
              </w:rPr>
              <w:t>Fase 6 — Embudo de decisión</w:t>
            </w:r>
          </w:p>
        </w:tc>
      </w:tr>
    </w:tbl>
    <w:p w14:paraId="406B0F4F" w14:textId="77777777" w:rsidR="00182F4A" w:rsidRDefault="00182F4A" w:rsidP="00182F4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2F4A" w14:paraId="7A97A8DC" w14:textId="77777777" w:rsidTr="00800E51">
        <w:tc>
          <w:tcPr>
            <w:tcW w:w="9360" w:type="dxa"/>
            <w:tcBorders>
              <w:top w:val="single" w:sz="1" w:space="0" w:color="0D1B2A"/>
              <w:left w:val="single" w:sz="1" w:space="0" w:color="0D1B2A"/>
              <w:bottom w:val="single" w:sz="1" w:space="0" w:color="0D1B2A"/>
              <w:right w:val="single" w:sz="1" w:space="0" w:color="0D1B2A"/>
            </w:tcBorders>
            <w:shd w:val="clear" w:color="auto" w:fill="F2F4F6"/>
            <w:tcMar>
              <w:top w:w="140" w:type="dxa"/>
              <w:left w:w="220" w:type="dxa"/>
              <w:bottom w:w="140" w:type="dxa"/>
              <w:right w:w="220" w:type="dxa"/>
            </w:tcMar>
          </w:tcPr>
          <w:p w14:paraId="66371D9E" w14:textId="77777777" w:rsidR="00182F4A" w:rsidRDefault="00182F4A" w:rsidP="001F40FE">
            <w:pPr>
              <w:spacing w:after="80"/>
            </w:pPr>
            <w:proofErr w:type="gramStart"/>
            <w:r>
              <w:rPr>
                <w:b/>
                <w:bCs/>
                <w:caps/>
                <w:color w:val="0D1B2A"/>
                <w:sz w:val="20"/>
                <w:szCs w:val="20"/>
              </w:rPr>
              <w:lastRenderedPageBreak/>
              <w:t>🔍  Sobre</w:t>
            </w:r>
            <w:proofErr w:type="gramEnd"/>
            <w:r>
              <w:rPr>
                <w:b/>
                <w:bCs/>
                <w:caps/>
                <w:color w:val="0D1B2A"/>
                <w:sz w:val="20"/>
                <w:szCs w:val="20"/>
              </w:rPr>
              <w:t xml:space="preserve"> los mercados que no avanzan en el embudo</w:t>
            </w:r>
          </w:p>
          <w:p w14:paraId="6B782105" w14:textId="77777777" w:rsidR="00182F4A" w:rsidRDefault="00182F4A" w:rsidP="001F40FE">
            <w:pPr>
              <w:spacing w:after="60"/>
              <w:jc w:val="both"/>
            </w:pPr>
            <w:r w:rsidRPr="00B30EA8">
              <w:rPr>
                <w:color w:val="1A1A1A"/>
                <w:sz w:val="20"/>
                <w:szCs w:val="20"/>
                <w:highlight w:val="yellow"/>
              </w:rPr>
              <w:t xml:space="preserve">Un mercado que no supera un filtro del embudo no es un mercado descartado permanentemente: es un mercado que no es el candidato correcto para </w:t>
            </w:r>
            <w:proofErr w:type="spellStart"/>
            <w:r w:rsidRPr="00B30EA8">
              <w:rPr>
                <w:color w:val="1A1A1A"/>
                <w:sz w:val="20"/>
                <w:szCs w:val="20"/>
                <w:highlight w:val="yellow"/>
              </w:rPr>
              <w:t>Cibest</w:t>
            </w:r>
            <w:proofErr w:type="spellEnd"/>
            <w:r w:rsidRPr="00B30EA8">
              <w:rPr>
                <w:color w:val="1A1A1A"/>
                <w:sz w:val="20"/>
                <w:szCs w:val="20"/>
                <w:highlight w:val="yellow"/>
              </w:rPr>
              <w:t xml:space="preserve"> en el horizonte de tiempo de la estrategia actual y con las capacidades actuales</w:t>
            </w:r>
            <w:r>
              <w:rPr>
                <w:color w:val="1A1A1A"/>
                <w:sz w:val="20"/>
                <w:szCs w:val="20"/>
              </w:rPr>
              <w:t>. Los mercados clasificados como 'En Monitoreo' por el motor de reglas de RADAR, o como Cuadrante 3 por insuficiencia de capacidades, ingresan a un registro de seguimiento continuo que se actualiza en el ciclo anual del proceso SIM. Un cambio regulatorio en un mercado descartado, la adquisición de un nuevo socio local, o el cierre de una brecha de capacidades identificada en la Fase 5 pueden reactivar el análisis de ese mercado en el ciclo siguiente.</w:t>
            </w:r>
          </w:p>
        </w:tc>
      </w:tr>
    </w:tbl>
    <w:p w14:paraId="2735FD6E" w14:textId="77777777" w:rsidR="00182F4A" w:rsidRDefault="00182F4A" w:rsidP="00182F4A">
      <w:pPr>
        <w:spacing w:after="100"/>
      </w:pPr>
    </w:p>
    <w:p w14:paraId="5D482207" w14:textId="77777777" w:rsidR="00182F4A" w:rsidRDefault="00182F4A" w:rsidP="00182F4A">
      <w:pPr>
        <w:pStyle w:val="Ttulo2"/>
        <w:pBdr>
          <w:bottom w:val="single" w:sz="4" w:space="4" w:color="E8B931"/>
        </w:pBdr>
      </w:pPr>
      <w:bookmarkStart w:id="68" w:name="_Toc232659617"/>
      <w:proofErr w:type="gramStart"/>
      <w:r>
        <w:t>8.2  Perfilamiento</w:t>
      </w:r>
      <w:proofErr w:type="gramEnd"/>
      <w:r>
        <w:t xml:space="preserve"> estratégico de los candidatos finales</w:t>
      </w:r>
      <w:bookmarkEnd w:id="68"/>
    </w:p>
    <w:p w14:paraId="334E41CF" w14:textId="77777777" w:rsidR="00182F4A" w:rsidRDefault="00182F4A" w:rsidP="00182F4A">
      <w:pPr>
        <w:spacing w:before="140" w:after="140" w:line="320" w:lineRule="auto"/>
        <w:jc w:val="both"/>
      </w:pPr>
      <w:r>
        <w:rPr>
          <w:color w:val="111111"/>
        </w:rPr>
        <w:t xml:space="preserve">Para los mercados que llegan al final del embudo — los clasificados en el Cuadrante 1 de la Matriz de Prioridad Ajustada, con señal de entrada para al menos una línea de negocio de </w:t>
      </w:r>
      <w:proofErr w:type="spellStart"/>
      <w:r>
        <w:rPr>
          <w:color w:val="111111"/>
        </w:rPr>
        <w:t>Cibest</w:t>
      </w:r>
      <w:proofErr w:type="spellEnd"/>
      <w:r>
        <w:rPr>
          <w:color w:val="111111"/>
        </w:rPr>
        <w:t xml:space="preserve"> — el equipo de Estrategia Corporativa construye un Perfil Estratégico Integrado. Este documento es el instrumento central de la presentación al Comité Ejecutivo para la decisión de avanzar a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formal: integra en un documento coherente y narrado todos los resultados de las cinco fases previas, traducidos a un lenguaje ejecutivo accionable.</w:t>
      </w:r>
    </w:p>
    <w:p w14:paraId="5C3F5ED1" w14:textId="04370F46" w:rsidR="00182F4A" w:rsidRDefault="00182F4A" w:rsidP="00182F4A">
      <w:pPr>
        <w:spacing w:before="140" w:after="140" w:line="320" w:lineRule="auto"/>
        <w:jc w:val="both"/>
      </w:pPr>
      <w:r w:rsidRPr="008A45EE">
        <w:rPr>
          <w:color w:val="111111"/>
          <w:highlight w:val="yellow"/>
        </w:rPr>
        <w:t>El Perfil Estratégico Integrado de cada candidato final tiene una estructura estándar de seis componentes.</w:t>
      </w:r>
      <w:r>
        <w:rPr>
          <w:color w:val="111111"/>
        </w:rPr>
        <w:t xml:space="preserve"> El primero es la síntesis del posicionamiento RADAR: el score compuesto del mercado, su posición en el ranking general, la clasificación del motor de reglas, y el perfil visual de fortalezas y debilidades por dimensión. El segundo es la narrativa de la oportunidad: una descripción en tres a cinco párrafos del por qué ese mercado es atractivo para </w:t>
      </w:r>
      <w:proofErr w:type="spellStart"/>
      <w:r>
        <w:rPr>
          <w:color w:val="111111"/>
        </w:rPr>
        <w:t>Cibest</w:t>
      </w:r>
      <w:proofErr w:type="spellEnd"/>
      <w:r>
        <w:rPr>
          <w:color w:val="111111"/>
        </w:rPr>
        <w:t xml:space="preserve">, con énfasis en las señales diferenciadas para la línea o líneas de negocio con mayor oportunidad. El tercero es la síntesis de los cuatro bloques de inteligencia cualitativa: los hallazgos regulatorios, competitivos, de demanda y de modelo de negocio más relevantes para la decisión de entrada. El cuarto es la evaluación de capacidades de </w:t>
      </w:r>
      <w:proofErr w:type="spellStart"/>
      <w:r>
        <w:rPr>
          <w:color w:val="111111"/>
        </w:rPr>
        <w:t>Cibest</w:t>
      </w:r>
      <w:proofErr w:type="spellEnd"/>
      <w:r>
        <w:rPr>
          <w:color w:val="111111"/>
        </w:rPr>
        <w:t xml:space="preserve"> para ese mercado específico, con las brechas identificadas y las acciones necesarias para cerrarlas. El quinto es el modo de entrada recomendado, que se describe con mayor detalle en la Sección 9 de este </w:t>
      </w:r>
      <w:r w:rsidR="00AA01B4">
        <w:rPr>
          <w:color w:val="111111"/>
        </w:rPr>
        <w:t>documento</w:t>
      </w:r>
      <w:r>
        <w:rPr>
          <w:color w:val="111111"/>
        </w:rPr>
        <w:t xml:space="preserve">. El sexto es la agenda de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las preguntas específicas —derivadas de las debilidades del perfil RADAR y los hallazgos de la inteligencia cualitativa— que el equipo legal, financiero y de mercado debe responder en la fase de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formal.</w:t>
      </w:r>
    </w:p>
    <w:p w14:paraId="06254FBF" w14:textId="77777777" w:rsidR="00182F4A" w:rsidRDefault="00182F4A" w:rsidP="00182F4A">
      <w:pPr>
        <w:spacing w:after="100"/>
      </w:pPr>
    </w:p>
    <w:p w14:paraId="6071015D" w14:textId="77777777" w:rsidR="00182F4A" w:rsidRDefault="00182F4A" w:rsidP="00182F4A">
      <w:pPr>
        <w:pStyle w:val="Ttulo2"/>
        <w:pBdr>
          <w:bottom w:val="single" w:sz="4" w:space="4" w:color="E8B931"/>
        </w:pBdr>
      </w:pPr>
      <w:bookmarkStart w:id="69" w:name="_Toc232659618"/>
      <w:proofErr w:type="gramStart"/>
      <w:r>
        <w:t>8.3  El</w:t>
      </w:r>
      <w:proofErr w:type="gramEnd"/>
      <w:r>
        <w:t xml:space="preserve"> motor narrativo de RADAR </w:t>
      </w:r>
      <w:proofErr w:type="spellStart"/>
      <w:r>
        <w:t>Cibest</w:t>
      </w:r>
      <w:proofErr w:type="spellEnd"/>
      <w:r>
        <w:t xml:space="preserve"> (Fase B): automatización del perfilamiento</w:t>
      </w:r>
      <w:bookmarkEnd w:id="69"/>
    </w:p>
    <w:p w14:paraId="6A4E48B7" w14:textId="77777777" w:rsidR="00182F4A" w:rsidRDefault="00182F4A" w:rsidP="00182F4A">
      <w:pPr>
        <w:spacing w:before="140" w:after="140" w:line="320" w:lineRule="auto"/>
        <w:jc w:val="both"/>
      </w:pPr>
      <w:r>
        <w:rPr>
          <w:color w:val="111111"/>
        </w:rPr>
        <w:t xml:space="preserve">La Fase B del sistema RADAR </w:t>
      </w:r>
      <w:proofErr w:type="spellStart"/>
      <w:r>
        <w:rPr>
          <w:color w:val="111111"/>
        </w:rPr>
        <w:t>Cibest</w:t>
      </w:r>
      <w:proofErr w:type="spellEnd"/>
      <w:r>
        <w:rPr>
          <w:color w:val="111111"/>
        </w:rPr>
        <w:t xml:space="preserve"> — denominada fase de inteligencia narrativa — implementa un motor de generación de narrativas ejecutivas asistido por modelos de lenguaje </w:t>
      </w:r>
      <w:r>
        <w:rPr>
          <w:color w:val="111111"/>
        </w:rPr>
        <w:lastRenderedPageBreak/>
        <w:t xml:space="preserve">de gran escala (LLM) que automatiza parcialmente la producción de los Perfiles Estratégicos Integrados. A partir del output cuantitativo del modelo — scores por dimensión, clasificaciones del motor de reglas, señales por </w:t>
      </w:r>
      <w:proofErr w:type="gramStart"/>
      <w:r>
        <w:rPr>
          <w:color w:val="111111"/>
        </w:rPr>
        <w:t>línea</w:t>
      </w:r>
      <w:proofErr w:type="gramEnd"/>
      <w:r>
        <w:rPr>
          <w:color w:val="111111"/>
        </w:rPr>
        <w:t xml:space="preserve"> de negocio, comparaciones con la mediana del universo — el motor narrativo genera un borrador de la síntesis RADAR y la narrativa de oportunidad para cada mercado candidato, en el tono ejecutivo y el formato estructurado que el Comité de </w:t>
      </w:r>
      <w:proofErr w:type="spellStart"/>
      <w:r>
        <w:rPr>
          <w:color w:val="111111"/>
        </w:rPr>
        <w:t>Cibest</w:t>
      </w:r>
      <w:proofErr w:type="spellEnd"/>
      <w:r>
        <w:rPr>
          <w:color w:val="111111"/>
        </w:rPr>
        <w:t xml:space="preserve"> espera. El equipo de Estrategia Corporativa complementa ese borrador con los hallazgos cualitativos de la Fase 4 y la evaluación de capacidades de la Fase 5, produciendo el Perfil Estratégico Integrado final.</w:t>
      </w:r>
    </w:p>
    <w:p w14:paraId="58487EF4" w14:textId="77777777" w:rsidR="00182F4A" w:rsidRDefault="00182F4A" w:rsidP="00182F4A">
      <w:pPr>
        <w:spacing w:before="140" w:after="140" w:line="320" w:lineRule="auto"/>
        <w:jc w:val="both"/>
      </w:pPr>
      <w:r>
        <w:rPr>
          <w:color w:val="111111"/>
        </w:rPr>
        <w:t>Es importante que el Comité Ejecutivo comprenda qué hace y qué no hace el motor narrativo. Lo que hace es acelerar significativamente la producción del primer borrador del perfil de cada mercado — tarea que manualmente tomaría al equipo de Estrategia varios días por mercado — y garantizar que todos los perfiles tienen la misma estructura, la misma profundidad analítica y el mismo tono, eliminando la variabilidad que se introduce cuando distintos miembros del equipo escriben distintos perfiles. Lo que no hace es reemplazar el juicio analítico del equipo sobre los hallazgos cualitativos, ni la validación directiva sobre si la narrativa de oportunidad es coherente con el objetivo estratégico de internacionalización que el Comité declaró en la Fase 1. El motor narrativo es un instrumento de productividad del equipo, no un oráculo estratégico.</w:t>
      </w:r>
    </w:p>
    <w:p w14:paraId="703B34BF" w14:textId="77777777" w:rsidR="00182F4A" w:rsidRDefault="00182F4A" w:rsidP="00182F4A">
      <w:pPr>
        <w:spacing w:after="100"/>
      </w:pPr>
    </w:p>
    <w:p w14:paraId="2A6388FC" w14:textId="77777777" w:rsidR="00182F4A" w:rsidRDefault="00182F4A" w:rsidP="00182F4A">
      <w:pPr>
        <w:pStyle w:val="Ttulo2"/>
        <w:pBdr>
          <w:bottom w:val="single" w:sz="4" w:space="4" w:color="E8B931"/>
        </w:pBdr>
      </w:pPr>
      <w:bookmarkStart w:id="70" w:name="_Toc232659619"/>
      <w:proofErr w:type="gramStart"/>
      <w:r>
        <w:t>8.4  La</w:t>
      </w:r>
      <w:proofErr w:type="gramEnd"/>
      <w:r>
        <w:t xml:space="preserve"> sesión del Comité Ejecutivo para la decisión de avance a </w:t>
      </w:r>
      <w:proofErr w:type="spellStart"/>
      <w:r>
        <w:t>due</w:t>
      </w:r>
      <w:proofErr w:type="spellEnd"/>
      <w:r>
        <w:t xml:space="preserve"> </w:t>
      </w:r>
      <w:proofErr w:type="spellStart"/>
      <w:r>
        <w:t>diligence</w:t>
      </w:r>
      <w:bookmarkEnd w:id="70"/>
      <w:proofErr w:type="spellEnd"/>
    </w:p>
    <w:p w14:paraId="478B004A" w14:textId="0A09CCF5" w:rsidR="00182F4A" w:rsidRDefault="00182F4A" w:rsidP="00182F4A">
      <w:pPr>
        <w:spacing w:before="140" w:after="140" w:line="320" w:lineRule="auto"/>
        <w:jc w:val="both"/>
      </w:pPr>
      <w:r>
        <w:rPr>
          <w:color w:val="111111"/>
        </w:rPr>
        <w:t xml:space="preserve">El Comité Ejecutivo se reúne una vez completado el perfilamiento de los candidatos finales para tomar tres decisiones secuenciales. La primera es la decisión de aceptación del conjunto de candidatos: ¿son los mercados del Cuadrante 1 los candidatos correctos para 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formal, o hay alguno que el Comité quiere agregar o retirar con base en información estratégica que el proceso no ha capturado? La segunda es la decisión de priorización entre candidatos: si hay dos o tres mercados en el Cuadrante 1 y el presupuesto o el tiempo del equipo no permiten hacer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formal de todos simultáneamente, ¿cuál es el orden de prioridad? La tercera es la decisión de modo de entrada preliminar: ¿cuál es el modelo de entrada que el Comité considera más apropiado para cada mercado candidato, considerando los recursos disponibles y el horizonte estratégico? Esta última decisión se alimenta directamente de la Sección 9 de este </w:t>
      </w:r>
      <w:r w:rsidR="00AA01B4">
        <w:rPr>
          <w:color w:val="111111"/>
        </w:rPr>
        <w:t>documento</w:t>
      </w:r>
      <w:r>
        <w:rPr>
          <w:color w:val="11111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2F4A" w14:paraId="0C6D60C0" w14:textId="77777777" w:rsidTr="00800E51">
        <w:tc>
          <w:tcPr>
            <w:tcW w:w="9360" w:type="dxa"/>
            <w:tcBorders>
              <w:top w:val="single" w:sz="1" w:space="0" w:color="1B4D6E"/>
              <w:left w:val="single" w:sz="1" w:space="0" w:color="1B4D6E"/>
              <w:bottom w:val="single" w:sz="1" w:space="0" w:color="1B4D6E"/>
              <w:right w:val="single" w:sz="1" w:space="0" w:color="1B4D6E"/>
            </w:tcBorders>
            <w:shd w:val="clear" w:color="auto" w:fill="EBF3FB"/>
            <w:tcMar>
              <w:top w:w="140" w:type="dxa"/>
              <w:left w:w="220" w:type="dxa"/>
              <w:bottom w:w="140" w:type="dxa"/>
              <w:right w:w="220" w:type="dxa"/>
            </w:tcMar>
          </w:tcPr>
          <w:p w14:paraId="3A97016E" w14:textId="77777777" w:rsidR="00182F4A" w:rsidRDefault="00182F4A" w:rsidP="001F40FE">
            <w:pPr>
              <w:spacing w:after="80"/>
            </w:pPr>
            <w:proofErr w:type="gramStart"/>
            <w:r>
              <w:rPr>
                <w:b/>
                <w:bCs/>
                <w:caps/>
                <w:color w:val="1B4D6E"/>
                <w:sz w:val="20"/>
                <w:szCs w:val="20"/>
              </w:rPr>
              <w:t>❓  Pregunta</w:t>
            </w:r>
            <w:proofErr w:type="gramEnd"/>
            <w:r>
              <w:rPr>
                <w:b/>
                <w:bCs/>
                <w:caps/>
                <w:color w:val="1B4D6E"/>
                <w:sz w:val="20"/>
                <w:szCs w:val="20"/>
              </w:rPr>
              <w:t xml:space="preserve"> para el Comité Ejecutivo</w:t>
            </w:r>
          </w:p>
          <w:p w14:paraId="4E1EBE0A" w14:textId="77777777" w:rsidR="00182F4A" w:rsidRDefault="00182F4A" w:rsidP="001F40FE">
            <w:pPr>
              <w:spacing w:after="60"/>
              <w:jc w:val="both"/>
            </w:pPr>
            <w:r>
              <w:rPr>
                <w:color w:val="1A1A1A"/>
                <w:sz w:val="20"/>
                <w:szCs w:val="20"/>
              </w:rPr>
              <w:t xml:space="preserve">¿Con qué frecuencia quiere el Comité revisar el progreso del embudo de decisión? Una revisión trimestral del estado del proceso — en qué etapa están los mercados en análisis, qué hallazgos han surgido en la inteligencia cualitativa — permite al Comité anticipar la decisión de </w:t>
            </w:r>
            <w:proofErr w:type="spellStart"/>
            <w:r>
              <w:rPr>
                <w:color w:val="1A1A1A"/>
                <w:sz w:val="20"/>
                <w:szCs w:val="20"/>
              </w:rPr>
              <w:t>due</w:t>
            </w:r>
            <w:proofErr w:type="spellEnd"/>
            <w:r>
              <w:rPr>
                <w:color w:val="1A1A1A"/>
                <w:sz w:val="20"/>
                <w:szCs w:val="20"/>
              </w:rPr>
              <w:t xml:space="preserve"> </w:t>
            </w:r>
            <w:proofErr w:type="spellStart"/>
            <w:r>
              <w:rPr>
                <w:color w:val="1A1A1A"/>
                <w:sz w:val="20"/>
                <w:szCs w:val="20"/>
              </w:rPr>
              <w:t>diligence</w:t>
            </w:r>
            <w:proofErr w:type="spellEnd"/>
            <w:r>
              <w:rPr>
                <w:color w:val="1A1A1A"/>
                <w:sz w:val="20"/>
                <w:szCs w:val="20"/>
              </w:rPr>
              <w:t xml:space="preserve"> en lugar de recibirla cuando el análisis ya está completo. Esta anticipación mejora la calidad de la </w:t>
            </w:r>
            <w:r>
              <w:rPr>
                <w:color w:val="1A1A1A"/>
                <w:sz w:val="20"/>
                <w:szCs w:val="20"/>
              </w:rPr>
              <w:lastRenderedPageBreak/>
              <w:t>deliberación directiva y reduce el riesgo de que el Comité pida cambios significativos cuando el equipo ya ha invertido semanas de trabajo.</w:t>
            </w:r>
          </w:p>
        </w:tc>
      </w:tr>
    </w:tbl>
    <w:p w14:paraId="5B25546E" w14:textId="77777777" w:rsidR="00182F4A" w:rsidRDefault="00182F4A" w:rsidP="00182F4A">
      <w:pPr>
        <w:spacing w:after="100"/>
      </w:pPr>
    </w:p>
    <w:p w14:paraId="4224E005" w14:textId="77777777" w:rsidR="00182F4A" w:rsidRDefault="00182F4A" w:rsidP="00182F4A">
      <w:pPr>
        <w:pStyle w:val="Ttulo2"/>
        <w:pBdr>
          <w:bottom w:val="single" w:sz="4" w:space="4" w:color="E8B931"/>
        </w:pBdr>
      </w:pPr>
      <w:bookmarkStart w:id="71" w:name="_Toc232659620"/>
      <w:proofErr w:type="gramStart"/>
      <w:r>
        <w:t>8.5  Entregables</w:t>
      </w:r>
      <w:proofErr w:type="gramEnd"/>
      <w:r>
        <w:t>, participantes y tiempo</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82F4A" w14:paraId="1CC2A570"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1BB2F46A" w14:textId="77777777" w:rsidR="00182F4A" w:rsidRDefault="00182F4A" w:rsidP="001F40FE">
            <w:r>
              <w:rPr>
                <w:b/>
                <w:bCs/>
                <w:color w:val="FFFFFF"/>
                <w:sz w:val="20"/>
                <w:szCs w:val="20"/>
              </w:rPr>
              <w:t>Elemento</w:t>
            </w:r>
          </w:p>
        </w:tc>
        <w:tc>
          <w:tcPr>
            <w:tcW w:w="716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3B573CC2" w14:textId="77777777" w:rsidR="00182F4A" w:rsidRDefault="00182F4A" w:rsidP="001F40FE">
            <w:r>
              <w:rPr>
                <w:b/>
                <w:bCs/>
                <w:color w:val="FFFFFF"/>
                <w:sz w:val="20"/>
                <w:szCs w:val="20"/>
              </w:rPr>
              <w:t>Descripción</w:t>
            </w:r>
          </w:p>
        </w:tc>
      </w:tr>
      <w:tr w:rsidR="00182F4A" w14:paraId="7D9E2A28"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2516DAF" w14:textId="77777777" w:rsidR="00182F4A" w:rsidRDefault="00182F4A" w:rsidP="001F40FE">
            <w:r>
              <w:rPr>
                <w:b/>
                <w:bCs/>
                <w:color w:val="111111"/>
                <w:sz w:val="20"/>
                <w:szCs w:val="20"/>
              </w:rPr>
              <w:t>Entregable 1: Perfiles Estratégicos Integrados</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8E9D506" w14:textId="77777777" w:rsidR="00182F4A" w:rsidRDefault="00182F4A" w:rsidP="001F40FE">
            <w:r>
              <w:rPr>
                <w:color w:val="111111"/>
                <w:sz w:val="20"/>
                <w:szCs w:val="20"/>
              </w:rPr>
              <w:t>Un perfil por mercado candidato final (Cuadrante 1). Extensión: 5 a 8 páginas por mercado. Incluye los seis componentes descritos en la Sección 8.2. Borrador inicial generado por el motor narrativo de RADAR Fase B; revisado y complementado por el equipo de Estrategia Corporativa.</w:t>
            </w:r>
          </w:p>
        </w:tc>
      </w:tr>
      <w:tr w:rsidR="00182F4A" w14:paraId="598D016F"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7C43EB6" w14:textId="77777777" w:rsidR="00182F4A" w:rsidRDefault="00182F4A" w:rsidP="001F40FE">
            <w:r>
              <w:rPr>
                <w:b/>
                <w:bCs/>
                <w:color w:val="111111"/>
                <w:sz w:val="20"/>
                <w:szCs w:val="20"/>
              </w:rPr>
              <w:t>Entregable 2: Presentación de decisión al Comité Ejecutivo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EA6A175" w14:textId="77777777" w:rsidR="00182F4A" w:rsidRDefault="00182F4A" w:rsidP="001F40FE">
            <w:r>
              <w:rPr>
                <w:color w:val="111111"/>
                <w:sz w:val="20"/>
                <w:szCs w:val="20"/>
              </w:rPr>
              <w:t xml:space="preserve">Presentación ejecutiva de 12 a 15 diapositivas que resume el embudo de decisión completo, presenta los candidatos finales con sus Perfiles Estratégicos Integrados, propone el orden de prioridad para el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 xml:space="preserve"> formal y presenta la recomendación preliminar de modo de entrada para cada candidato. Esta presentación es el cierre del proceso SIM y la apertura de la fase de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w:t>
            </w:r>
          </w:p>
        </w:tc>
      </w:tr>
      <w:tr w:rsidR="00182F4A" w14:paraId="1321B85D"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17CE9F3" w14:textId="77777777" w:rsidR="00182F4A" w:rsidRDefault="00182F4A" w:rsidP="001F40FE">
            <w:r>
              <w:rPr>
                <w:b/>
                <w:bCs/>
                <w:color w:val="111111"/>
                <w:sz w:val="20"/>
                <w:szCs w:val="20"/>
              </w:rPr>
              <w:t>Participantes</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027D4F7" w14:textId="77777777" w:rsidR="00182F4A" w:rsidRDefault="00182F4A" w:rsidP="001F40FE">
            <w:proofErr w:type="spellStart"/>
            <w:proofErr w:type="gramStart"/>
            <w:r>
              <w:rPr>
                <w:color w:val="111111"/>
                <w:sz w:val="20"/>
                <w:szCs w:val="20"/>
              </w:rPr>
              <w:t>Co-líderes</w:t>
            </w:r>
            <w:proofErr w:type="spellEnd"/>
            <w:proofErr w:type="gramEnd"/>
            <w:r>
              <w:rPr>
                <w:color w:val="111111"/>
                <w:sz w:val="20"/>
                <w:szCs w:val="20"/>
              </w:rPr>
              <w:t xml:space="preserve"> de RADAR </w:t>
            </w:r>
            <w:proofErr w:type="spellStart"/>
            <w:r>
              <w:rPr>
                <w:color w:val="111111"/>
                <w:sz w:val="20"/>
                <w:szCs w:val="20"/>
              </w:rPr>
              <w:t>Cibest</w:t>
            </w:r>
            <w:proofErr w:type="spellEnd"/>
            <w:r>
              <w:rPr>
                <w:color w:val="111111"/>
                <w:sz w:val="20"/>
                <w:szCs w:val="20"/>
              </w:rPr>
              <w:t xml:space="preserve"> (construcción de los Perfiles con apoyo del motor narrativo). Director de Estrategia Corporativa (revisión y aprobación de los perfiles y la presentación). Comité Ejecutivo (sesión de decisión de avance a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 xml:space="preserve"> — 2 a 3 horas).</w:t>
            </w:r>
          </w:p>
        </w:tc>
      </w:tr>
      <w:tr w:rsidR="00182F4A" w14:paraId="5D999321"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FAA76D8" w14:textId="77777777" w:rsidR="00182F4A" w:rsidRDefault="00182F4A" w:rsidP="001F40FE">
            <w:r>
              <w:rPr>
                <w:b/>
                <w:bCs/>
                <w:color w:val="111111"/>
                <w:sz w:val="20"/>
                <w:szCs w:val="20"/>
              </w:rPr>
              <w:t>Tiempo estimado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99E0103" w14:textId="77777777" w:rsidR="00182F4A" w:rsidRDefault="00182F4A" w:rsidP="001F40FE">
            <w:r>
              <w:rPr>
                <w:color w:val="111111"/>
                <w:sz w:val="20"/>
                <w:szCs w:val="20"/>
              </w:rPr>
              <w:t xml:space="preserve">2 semanas: 1 semana para la producción de los Perfiles Estratégicos con el motor narrativo y la revisión del </w:t>
            </w:r>
            <w:proofErr w:type="gramStart"/>
            <w:r>
              <w:rPr>
                <w:color w:val="111111"/>
                <w:sz w:val="20"/>
                <w:szCs w:val="20"/>
              </w:rPr>
              <w:t>Director</w:t>
            </w:r>
            <w:proofErr w:type="gramEnd"/>
            <w:r>
              <w:rPr>
                <w:color w:val="111111"/>
                <w:sz w:val="20"/>
                <w:szCs w:val="20"/>
              </w:rPr>
              <w:t xml:space="preserve"> de Estrategia, 1 semana para la preparación de la presentación al Comité Ejecutivo y la sesión de decisión.</w:t>
            </w:r>
          </w:p>
        </w:tc>
      </w:tr>
    </w:tbl>
    <w:p w14:paraId="67AE507A" w14:textId="77777777" w:rsidR="00182F4A" w:rsidRDefault="00182F4A" w:rsidP="00182F4A">
      <w:r>
        <w:br w:type="page"/>
      </w:r>
    </w:p>
    <w:p w14:paraId="25525587" w14:textId="77777777" w:rsidR="00182F4A" w:rsidRPr="004F7F45" w:rsidRDefault="00182F4A" w:rsidP="00182F4A">
      <w:pPr>
        <w:pStyle w:val="Ttulo1"/>
        <w:ind w:left="200" w:right="200"/>
        <w:rPr>
          <w:color w:val="auto"/>
        </w:rPr>
      </w:pPr>
      <w:bookmarkStart w:id="72" w:name="_Toc232659621"/>
      <w:r w:rsidRPr="004F7F45">
        <w:rPr>
          <w:color w:val="auto"/>
        </w:rPr>
        <w:lastRenderedPageBreak/>
        <w:t>Sección 9 — Fase 7: Selección del Modo de Entrada al Mercado</w:t>
      </w:r>
      <w:bookmarkEnd w:id="72"/>
    </w:p>
    <w:p w14:paraId="62A7E386" w14:textId="77777777" w:rsidR="00182F4A" w:rsidRDefault="00182F4A" w:rsidP="00182F4A">
      <w:pPr>
        <w:spacing w:after="100"/>
      </w:pPr>
    </w:p>
    <w:p w14:paraId="5DD07075" w14:textId="77777777" w:rsidR="00182F4A" w:rsidRDefault="00182F4A" w:rsidP="00182F4A">
      <w:pPr>
        <w:spacing w:before="140" w:after="140" w:line="320" w:lineRule="auto"/>
        <w:jc w:val="both"/>
      </w:pPr>
      <w:r>
        <w:rPr>
          <w:color w:val="111111"/>
        </w:rPr>
        <w:t xml:space="preserve">La selección del mercado al que </w:t>
      </w:r>
      <w:proofErr w:type="spellStart"/>
      <w:r>
        <w:rPr>
          <w:color w:val="111111"/>
        </w:rPr>
        <w:t>Cibest</w:t>
      </w:r>
      <w:proofErr w:type="spellEnd"/>
      <w:r>
        <w:rPr>
          <w:color w:val="111111"/>
        </w:rPr>
        <w:t xml:space="preserve"> decide entrar y la selección del modo en que entra a ese mercado son decisiones </w:t>
      </w:r>
      <w:proofErr w:type="gramStart"/>
      <w:r>
        <w:rPr>
          <w:color w:val="111111"/>
        </w:rPr>
        <w:t>relacionadas</w:t>
      </w:r>
      <w:proofErr w:type="gramEnd"/>
      <w:r>
        <w:rPr>
          <w:color w:val="111111"/>
        </w:rPr>
        <w:t xml:space="preserve"> pero analíticamente distintas. El mismo mercado puede abordarse con modos de entrada radicalmente diferentes — desde la apertura de una subsidiaria con licencia bancaria completa hasta el lanzamiento de un producto digital sin presencia física — y la elección del modo correcto determina en gran medida el nivel de control de la operación, la velocidad de entrada al mercado, el capital comprometido, el nivel de riesgo asumido y las probabilidades de éxito en las primeras etapas de la operación. La separación analítica entre estas dos decisiones no es una convención metodológica arbitraria: en la práctica, las organizaciones que confunden el análisis del mercado con el análisis del modo de entrada tienden a elegir el modo más familiar o el más ambicioso en lugar del más apropiado para las condiciones del mercado y las capacidades disponibles.</w:t>
      </w:r>
    </w:p>
    <w:p w14:paraId="20771E1C" w14:textId="77777777" w:rsidR="00182F4A" w:rsidRDefault="00182F4A" w:rsidP="00182F4A">
      <w:pPr>
        <w:spacing w:before="140" w:after="140" w:line="320" w:lineRule="auto"/>
        <w:jc w:val="both"/>
      </w:pPr>
      <w:r>
        <w:rPr>
          <w:color w:val="111111"/>
        </w:rPr>
        <w:t xml:space="preserve">Los marcos teóricos fundamentales para la selección del modo de entrada en servicios financieros son: Root, F.R. (1994). </w:t>
      </w:r>
      <w:proofErr w:type="spellStart"/>
      <w:r>
        <w:rPr>
          <w:color w:val="111111"/>
        </w:rPr>
        <w:t>Entry</w:t>
      </w:r>
      <w:proofErr w:type="spellEnd"/>
      <w:r>
        <w:rPr>
          <w:color w:val="111111"/>
        </w:rPr>
        <w:t xml:space="preserve"> </w:t>
      </w:r>
      <w:proofErr w:type="spellStart"/>
      <w:r>
        <w:rPr>
          <w:color w:val="111111"/>
        </w:rPr>
        <w:t>Strategies</w:t>
      </w:r>
      <w:proofErr w:type="spellEnd"/>
      <w:r>
        <w:rPr>
          <w:color w:val="111111"/>
        </w:rPr>
        <w:t xml:space="preserve"> </w:t>
      </w:r>
      <w:proofErr w:type="spellStart"/>
      <w:r>
        <w:rPr>
          <w:color w:val="111111"/>
        </w:rPr>
        <w:t>for</w:t>
      </w:r>
      <w:proofErr w:type="spellEnd"/>
      <w:r>
        <w:rPr>
          <w:color w:val="111111"/>
        </w:rPr>
        <w:t xml:space="preserve"> International </w:t>
      </w:r>
      <w:proofErr w:type="spellStart"/>
      <w:r>
        <w:rPr>
          <w:color w:val="111111"/>
        </w:rPr>
        <w:t>Markets</w:t>
      </w:r>
      <w:proofErr w:type="spellEnd"/>
      <w:r>
        <w:rPr>
          <w:color w:val="111111"/>
        </w:rPr>
        <w:t xml:space="preserve">. Lexington Books — el estudio más citado sobre estrategias de entrada internacionales, que desarrolla el modelo de selección del modo de entrada por ajuste óptimo entre condiciones del mercado y capacidades del entrante; Anderson, E. &amp; </w:t>
      </w:r>
      <w:proofErr w:type="spellStart"/>
      <w:r>
        <w:rPr>
          <w:color w:val="111111"/>
        </w:rPr>
        <w:t>Gatignon</w:t>
      </w:r>
      <w:proofErr w:type="spellEnd"/>
      <w:r>
        <w:rPr>
          <w:color w:val="111111"/>
        </w:rPr>
        <w:t xml:space="preserve">, H. (1986). Modes </w:t>
      </w:r>
      <w:proofErr w:type="spellStart"/>
      <w:r>
        <w:rPr>
          <w:color w:val="111111"/>
        </w:rPr>
        <w:t>of</w:t>
      </w:r>
      <w:proofErr w:type="spellEnd"/>
      <w:r>
        <w:rPr>
          <w:color w:val="111111"/>
        </w:rPr>
        <w:t xml:space="preserve"> Foreign </w:t>
      </w:r>
      <w:proofErr w:type="spellStart"/>
      <w:r>
        <w:rPr>
          <w:color w:val="111111"/>
        </w:rPr>
        <w:t>Entry</w:t>
      </w:r>
      <w:proofErr w:type="spellEnd"/>
      <w:r>
        <w:rPr>
          <w:color w:val="111111"/>
        </w:rPr>
        <w:t xml:space="preserve">: A </w:t>
      </w:r>
      <w:proofErr w:type="spellStart"/>
      <w:r>
        <w:rPr>
          <w:color w:val="111111"/>
        </w:rPr>
        <w:t>Transaction</w:t>
      </w:r>
      <w:proofErr w:type="spellEnd"/>
      <w:r>
        <w:rPr>
          <w:color w:val="111111"/>
        </w:rPr>
        <w:t xml:space="preserve"> Cost </w:t>
      </w:r>
      <w:proofErr w:type="spellStart"/>
      <w:r>
        <w:rPr>
          <w:color w:val="111111"/>
        </w:rPr>
        <w:t>Analysis</w:t>
      </w:r>
      <w:proofErr w:type="spellEnd"/>
      <w:r>
        <w:rPr>
          <w:color w:val="111111"/>
        </w:rPr>
        <w:t xml:space="preserve"> and </w:t>
      </w:r>
      <w:proofErr w:type="spellStart"/>
      <w:r>
        <w:rPr>
          <w:color w:val="111111"/>
        </w:rPr>
        <w:t>Propositions</w:t>
      </w:r>
      <w:proofErr w:type="spellEnd"/>
      <w:r>
        <w:rPr>
          <w:color w:val="111111"/>
        </w:rPr>
        <w:t xml:space="preserve">. </w:t>
      </w:r>
      <w:proofErr w:type="spellStart"/>
      <w:r>
        <w:rPr>
          <w:color w:val="111111"/>
        </w:rPr>
        <w:t>Journal</w:t>
      </w:r>
      <w:proofErr w:type="spellEnd"/>
      <w:r>
        <w:rPr>
          <w:color w:val="111111"/>
        </w:rPr>
        <w:t xml:space="preserve"> </w:t>
      </w:r>
      <w:proofErr w:type="spellStart"/>
      <w:r>
        <w:rPr>
          <w:color w:val="111111"/>
        </w:rPr>
        <w:t>of</w:t>
      </w:r>
      <w:proofErr w:type="spellEnd"/>
      <w:r>
        <w:rPr>
          <w:color w:val="111111"/>
        </w:rPr>
        <w:t xml:space="preserve"> International Business </w:t>
      </w:r>
      <w:proofErr w:type="spellStart"/>
      <w:r>
        <w:rPr>
          <w:color w:val="111111"/>
        </w:rPr>
        <w:t>Studies</w:t>
      </w:r>
      <w:proofErr w:type="spellEnd"/>
      <w:r>
        <w:rPr>
          <w:color w:val="111111"/>
        </w:rPr>
        <w:t xml:space="preserve">, 17(3), 1-26 [https://doi.org/10.1057/palgrave.jibs.8490432] — que introduce el análisis de costos de transacción como criterio de selección del modo de entrada; y Hill, C.W.L., Hwang, P. &amp; Kim, W.C. (1990). </w:t>
      </w:r>
      <w:proofErr w:type="spellStart"/>
      <w:r>
        <w:rPr>
          <w:color w:val="111111"/>
        </w:rPr>
        <w:t>An</w:t>
      </w:r>
      <w:proofErr w:type="spellEnd"/>
      <w:r>
        <w:rPr>
          <w:color w:val="111111"/>
        </w:rPr>
        <w:t xml:space="preserve"> </w:t>
      </w:r>
      <w:proofErr w:type="spellStart"/>
      <w:r>
        <w:rPr>
          <w:color w:val="111111"/>
        </w:rPr>
        <w:t>Eclectic</w:t>
      </w:r>
      <w:proofErr w:type="spellEnd"/>
      <w:r>
        <w:rPr>
          <w:color w:val="111111"/>
        </w:rPr>
        <w:t xml:space="preserve"> Theory </w:t>
      </w:r>
      <w:proofErr w:type="spellStart"/>
      <w:r>
        <w:rPr>
          <w:color w:val="111111"/>
        </w:rPr>
        <w:t>of</w:t>
      </w:r>
      <w:proofErr w:type="spellEnd"/>
      <w:r>
        <w:rPr>
          <w:color w:val="111111"/>
        </w:rPr>
        <w:t xml:space="preserve"> </w:t>
      </w:r>
      <w:proofErr w:type="spellStart"/>
      <w:r>
        <w:rPr>
          <w:color w:val="111111"/>
        </w:rPr>
        <w:t>the</w:t>
      </w:r>
      <w:proofErr w:type="spellEnd"/>
      <w:r>
        <w:rPr>
          <w:color w:val="111111"/>
        </w:rPr>
        <w:t xml:space="preserve"> Choice </w:t>
      </w:r>
      <w:proofErr w:type="spellStart"/>
      <w:r>
        <w:rPr>
          <w:color w:val="111111"/>
        </w:rPr>
        <w:t>of</w:t>
      </w:r>
      <w:proofErr w:type="spellEnd"/>
      <w:r>
        <w:rPr>
          <w:color w:val="111111"/>
        </w:rPr>
        <w:t xml:space="preserve"> International </w:t>
      </w:r>
      <w:proofErr w:type="spellStart"/>
      <w:r>
        <w:rPr>
          <w:color w:val="111111"/>
        </w:rPr>
        <w:t>Entry</w:t>
      </w:r>
      <w:proofErr w:type="spellEnd"/>
      <w:r>
        <w:rPr>
          <w:color w:val="111111"/>
        </w:rPr>
        <w:t xml:space="preserve"> Mode. </w:t>
      </w:r>
      <w:proofErr w:type="spellStart"/>
      <w:r>
        <w:rPr>
          <w:color w:val="111111"/>
        </w:rPr>
        <w:t>Strategic</w:t>
      </w:r>
      <w:proofErr w:type="spellEnd"/>
      <w:r>
        <w:rPr>
          <w:color w:val="111111"/>
        </w:rPr>
        <w:t xml:space="preserve"> Management </w:t>
      </w:r>
      <w:proofErr w:type="spellStart"/>
      <w:r>
        <w:rPr>
          <w:color w:val="111111"/>
        </w:rPr>
        <w:t>Journal</w:t>
      </w:r>
      <w:proofErr w:type="spellEnd"/>
      <w:r>
        <w:rPr>
          <w:color w:val="111111"/>
        </w:rPr>
        <w:t>, 11(2), 117-128 [https://doi.org/10.1002/smj.4250110204] — que integra la teoría de los costos de transacción con el Paradigma OLI de Dunning en un marco ecléctico.</w:t>
      </w:r>
    </w:p>
    <w:p w14:paraId="14CAD757" w14:textId="77777777" w:rsidR="00182F4A" w:rsidRDefault="00182F4A" w:rsidP="00182F4A">
      <w:pPr>
        <w:spacing w:after="100"/>
      </w:pPr>
    </w:p>
    <w:p w14:paraId="44B3DCCD" w14:textId="77777777" w:rsidR="00182F4A" w:rsidRDefault="00182F4A" w:rsidP="00182F4A">
      <w:pPr>
        <w:pStyle w:val="Ttulo2"/>
        <w:pBdr>
          <w:bottom w:val="single" w:sz="4" w:space="4" w:color="E8B931"/>
        </w:pBdr>
      </w:pPr>
      <w:bookmarkStart w:id="73" w:name="_Toc232659622"/>
      <w:proofErr w:type="gramStart"/>
      <w:r>
        <w:t>9.1  Los</w:t>
      </w:r>
      <w:proofErr w:type="gramEnd"/>
      <w:r>
        <w:t xml:space="preserve"> cuatro criterios de selección del modo de entrada</w:t>
      </w:r>
      <w:bookmarkEnd w:id="73"/>
    </w:p>
    <w:p w14:paraId="432A8727" w14:textId="77777777" w:rsidR="00182F4A" w:rsidRDefault="00182F4A" w:rsidP="00182F4A">
      <w:pPr>
        <w:spacing w:before="140" w:after="140" w:line="320" w:lineRule="auto"/>
        <w:jc w:val="both"/>
      </w:pPr>
      <w:r>
        <w:rPr>
          <w:color w:val="111111"/>
        </w:rPr>
        <w:t xml:space="preserve">Antes de describir los modos de entrada disponibles para </w:t>
      </w:r>
      <w:proofErr w:type="spellStart"/>
      <w:r>
        <w:rPr>
          <w:color w:val="111111"/>
        </w:rPr>
        <w:t>Cibest</w:t>
      </w:r>
      <w:proofErr w:type="spellEnd"/>
      <w:r>
        <w:rPr>
          <w:color w:val="111111"/>
        </w:rPr>
        <w:t xml:space="preserve">, es útil establecer los cuatro criterios mediante los cuales se evalúa la conveniencia de cada modo en un mercado y línea de negocio específicos. El primero es el nivel de control deseado sobre la operación: cuanto mayor es el control que </w:t>
      </w:r>
      <w:proofErr w:type="spellStart"/>
      <w:r>
        <w:rPr>
          <w:color w:val="111111"/>
        </w:rPr>
        <w:t>Cibest</w:t>
      </w:r>
      <w:proofErr w:type="spellEnd"/>
      <w:r>
        <w:rPr>
          <w:color w:val="111111"/>
        </w:rPr>
        <w:t xml:space="preserve"> necesita para transferir y proteger sus capacidades y su marca, mayor es el argumento a favor de modos de entrada con mayor compromiso de capital, como el </w:t>
      </w:r>
      <w:proofErr w:type="spellStart"/>
      <w:r>
        <w:rPr>
          <w:color w:val="111111"/>
        </w:rPr>
        <w:t>greenfield</w:t>
      </w:r>
      <w:proofErr w:type="spellEnd"/>
      <w:r>
        <w:rPr>
          <w:color w:val="111111"/>
        </w:rPr>
        <w:t xml:space="preserve"> o la adquisición mayoritaria. El segundo es la velocidad de entrada requerida por la estrategia: si la ventana de oportunidad en un mercado es estrecha — por ejemplo, porque un competidor está en proceso de obtener la misma licencia regulatoria — los modos de entrada </w:t>
      </w:r>
      <w:r>
        <w:rPr>
          <w:color w:val="111111"/>
        </w:rPr>
        <w:lastRenderedPageBreak/>
        <w:t xml:space="preserve">que permiten operar en menos tiempo tienen una ventaja adicional sobre los que requieren procesos regulatorios prolongados. El tercero es el nivel de riesgo aceptable para el horizonte estratégico de </w:t>
      </w:r>
      <w:proofErr w:type="spellStart"/>
      <w:r>
        <w:rPr>
          <w:color w:val="111111"/>
        </w:rPr>
        <w:t>Cibest</w:t>
      </w:r>
      <w:proofErr w:type="spellEnd"/>
      <w:r>
        <w:rPr>
          <w:color w:val="111111"/>
        </w:rPr>
        <w:t xml:space="preserve">: modos de mayor compromiso de capital como el </w:t>
      </w:r>
      <w:proofErr w:type="spellStart"/>
      <w:r>
        <w:rPr>
          <w:color w:val="111111"/>
        </w:rPr>
        <w:t>greenfield</w:t>
      </w:r>
      <w:proofErr w:type="spellEnd"/>
      <w:r>
        <w:rPr>
          <w:color w:val="111111"/>
        </w:rPr>
        <w:t xml:space="preserve"> implican mayor riesgo de pérdida en caso de que el mercado no se desarrolle como se proyectó; modos de menor compromiso como la alianza o el lanzamiento digital permiten salir del mercado con pérdidas más acotadas si los supuestos iniciales resultan incorrectos. El cuarto es la disponibilidad de socios locales: algunos de los modos de entrada más eficientes — la adquisición de una institución local, la alianza estratégica, </w:t>
      </w:r>
      <w:proofErr w:type="gramStart"/>
      <w:r>
        <w:rPr>
          <w:color w:val="111111"/>
        </w:rPr>
        <w:t xml:space="preserve">el </w:t>
      </w:r>
      <w:proofErr w:type="spellStart"/>
      <w:r>
        <w:rPr>
          <w:color w:val="111111"/>
        </w:rPr>
        <w:t>joint</w:t>
      </w:r>
      <w:proofErr w:type="spellEnd"/>
      <w:r>
        <w:rPr>
          <w:color w:val="111111"/>
        </w:rPr>
        <w:t xml:space="preserve"> venture</w:t>
      </w:r>
      <w:proofErr w:type="gramEnd"/>
      <w:r>
        <w:rPr>
          <w:color w:val="111111"/>
        </w:rPr>
        <w:t xml:space="preserve"> — requieren la existencia de un socio o </w:t>
      </w:r>
      <w:proofErr w:type="gramStart"/>
      <w:r>
        <w:rPr>
          <w:color w:val="111111"/>
        </w:rPr>
        <w:t>target</w:t>
      </w:r>
      <w:proofErr w:type="gramEnd"/>
      <w:r>
        <w:rPr>
          <w:color w:val="111111"/>
        </w:rPr>
        <w:t xml:space="preserve"> local adecuado con disposición de negociar, lo que no siempre está disponible en todos los mercados candidatos.</w:t>
      </w:r>
    </w:p>
    <w:p w14:paraId="518FC579" w14:textId="77777777" w:rsidR="00182F4A" w:rsidRDefault="00182F4A" w:rsidP="00182F4A">
      <w:pPr>
        <w:spacing w:after="100"/>
      </w:pPr>
    </w:p>
    <w:p w14:paraId="139798CA" w14:textId="77777777" w:rsidR="00182F4A" w:rsidRDefault="00182F4A" w:rsidP="00182F4A">
      <w:pPr>
        <w:pStyle w:val="Ttulo2"/>
        <w:pBdr>
          <w:bottom w:val="single" w:sz="4" w:space="4" w:color="E8B931"/>
        </w:pBdr>
      </w:pPr>
      <w:bookmarkStart w:id="74" w:name="_Toc232659623"/>
      <w:proofErr w:type="gramStart"/>
      <w:r>
        <w:t>9.2  Los</w:t>
      </w:r>
      <w:proofErr w:type="gramEnd"/>
      <w:r>
        <w:t xml:space="preserve"> siete modos de entrada disponibles para </w:t>
      </w:r>
      <w:proofErr w:type="spellStart"/>
      <w:r>
        <w:t>Cibest</w:t>
      </w:r>
      <w:bookmarkEnd w:id="74"/>
      <w:proofErr w:type="spellEnd"/>
    </w:p>
    <w:p w14:paraId="39CD2B17" w14:textId="77777777" w:rsidR="00182F4A" w:rsidRDefault="00182F4A" w:rsidP="00182F4A">
      <w:pPr>
        <w:spacing w:before="140" w:after="140" w:line="320" w:lineRule="auto"/>
        <w:jc w:val="both"/>
      </w:pPr>
      <w:r>
        <w:rPr>
          <w:color w:val="111111"/>
        </w:rPr>
        <w:t xml:space="preserve">Los modos de entrada que son realistas para Grupo </w:t>
      </w:r>
      <w:proofErr w:type="spellStart"/>
      <w:r>
        <w:rPr>
          <w:color w:val="111111"/>
        </w:rPr>
        <w:t>Cibest</w:t>
      </w:r>
      <w:proofErr w:type="spellEnd"/>
      <w:r>
        <w:rPr>
          <w:color w:val="111111"/>
        </w:rPr>
        <w:t>, dado su tamaño, sus líneas de negocio y el universo de mercados que evalúa, se describen a continuación con sus requerimientos, características y compatibilidad con cada línea de negocio.</w:t>
      </w:r>
    </w:p>
    <w:p w14:paraId="0EFAE38E" w14:textId="77777777" w:rsidR="00182F4A" w:rsidRDefault="00182F4A" w:rsidP="00182F4A">
      <w:pPr>
        <w:pStyle w:val="Ttulo3"/>
      </w:pPr>
      <w:bookmarkStart w:id="75" w:name="_Toc232659624"/>
      <w:r>
        <w:t>Modo 1 — Licencia bancaria propia (</w:t>
      </w:r>
      <w:proofErr w:type="spellStart"/>
      <w:r>
        <w:t>greenfield</w:t>
      </w:r>
      <w:proofErr w:type="spellEnd"/>
      <w:r>
        <w:t>)</w:t>
      </w:r>
      <w:bookmarkEnd w:id="75"/>
    </w:p>
    <w:p w14:paraId="49F87C07" w14:textId="77777777" w:rsidR="00182F4A" w:rsidRDefault="00182F4A" w:rsidP="00182F4A">
      <w:pPr>
        <w:spacing w:before="140" w:after="140" w:line="320" w:lineRule="auto"/>
        <w:jc w:val="both"/>
      </w:pPr>
      <w:r>
        <w:rPr>
          <w:color w:val="111111"/>
        </w:rPr>
        <w:t xml:space="preserve">El </w:t>
      </w:r>
      <w:proofErr w:type="spellStart"/>
      <w:r>
        <w:rPr>
          <w:color w:val="111111"/>
        </w:rPr>
        <w:t>greenfield</w:t>
      </w:r>
      <w:proofErr w:type="spellEnd"/>
      <w:r>
        <w:rPr>
          <w:color w:val="111111"/>
        </w:rPr>
        <w:t xml:space="preserve"> consiste en establecer una subsidiaria bancaria nueva en el mercado destino, obtener la licencia bancaria del regulador local y construir la operación desde cero. Es el modo de entrada que ofrece mayor control sobre la estrategia, la marca, el modelo de negocio y la tecnología de la operación, porque </w:t>
      </w:r>
      <w:proofErr w:type="spellStart"/>
      <w:r>
        <w:rPr>
          <w:color w:val="111111"/>
        </w:rPr>
        <w:t>Cibest</w:t>
      </w:r>
      <w:proofErr w:type="spellEnd"/>
      <w:r>
        <w:rPr>
          <w:color w:val="111111"/>
        </w:rPr>
        <w:t xml:space="preserve"> no hereda las estructuras, culturas ni carteras de crédito de ningún incumbente. Su costo es, en consecuencia, el más alto en todas las dimensiones: el proceso de obtención de licencia bancaria requiere entre dieciocho meses y cuatro años en la mayoría de los mercados latinoamericanos, el capital mínimo regulatorio varía entre veinte y doscientos millones de dólares según el país, y el período hasta alcanzar el punto de equilibrio operativo es típicamente de cuatro a siete años. El riesgo de ejecución es máximo porque la organización debe construir simultáneamente la capacidad regulatoria, el talento local, la base de clientes y la infraestructura tecnológica sin el apoyo de ninguna estructura preexistente. Este modo es apropiado para mercados que el Comité considera prioritarios a largo plazo, donde </w:t>
      </w:r>
      <w:proofErr w:type="spellStart"/>
      <w:r>
        <w:rPr>
          <w:color w:val="111111"/>
        </w:rPr>
        <w:t>Cibest</w:t>
      </w:r>
      <w:proofErr w:type="spellEnd"/>
      <w:r>
        <w:rPr>
          <w:color w:val="111111"/>
        </w:rPr>
        <w:t xml:space="preserve"> tiene todas las capacidades de Cuadrante 1, y para la línea de Intermediación Bancaria — que requiere licencia bancaria completa y donde el control del modelo de negocio y del riesgo de crédito es crítico.</w:t>
      </w:r>
    </w:p>
    <w:p w14:paraId="5CBAF048" w14:textId="77777777" w:rsidR="00182F4A" w:rsidRDefault="00182F4A" w:rsidP="00182F4A">
      <w:pPr>
        <w:pStyle w:val="Ttulo3"/>
      </w:pPr>
      <w:bookmarkStart w:id="76" w:name="_Toc232659625"/>
      <w:r>
        <w:t>Modo 2 — Adquisición con participación mayoritaria</w:t>
      </w:r>
      <w:bookmarkEnd w:id="76"/>
    </w:p>
    <w:p w14:paraId="0AA0EEE6" w14:textId="77777777" w:rsidR="00182F4A" w:rsidRDefault="00182F4A" w:rsidP="00182F4A">
      <w:pPr>
        <w:spacing w:before="140" w:after="140" w:line="320" w:lineRule="auto"/>
        <w:jc w:val="both"/>
      </w:pPr>
      <w:r>
        <w:rPr>
          <w:color w:val="111111"/>
        </w:rPr>
        <w:t xml:space="preserve">La adquisición mayoritaria de una institución financiera local permite a </w:t>
      </w:r>
      <w:proofErr w:type="spellStart"/>
      <w:r>
        <w:rPr>
          <w:color w:val="111111"/>
        </w:rPr>
        <w:t>Cibest</w:t>
      </w:r>
      <w:proofErr w:type="spellEnd"/>
      <w:r>
        <w:rPr>
          <w:color w:val="111111"/>
        </w:rPr>
        <w:t xml:space="preserve"> entrar al mercado con una base de clientes existente, una licencia bancaria vigente, personal con conocimiento del </w:t>
      </w:r>
      <w:r>
        <w:rPr>
          <w:color w:val="111111"/>
        </w:rPr>
        <w:lastRenderedPageBreak/>
        <w:t xml:space="preserve">mercado local y una red de distribución ya operativa. Este modo elimina el largo período de obtención de licencia y reduce significativamente el tiempo hasta generar ingresos, porque la operación ya existe. El costo es elevado — el precio de adquisición de una institución financiera bien posicionada puede ser varias veces el capital mínimo regulatorio de un </w:t>
      </w:r>
      <w:proofErr w:type="spellStart"/>
      <w:r>
        <w:rPr>
          <w:color w:val="111111"/>
        </w:rPr>
        <w:t>greenfield</w:t>
      </w:r>
      <w:proofErr w:type="spellEnd"/>
      <w:r>
        <w:rPr>
          <w:color w:val="111111"/>
        </w:rPr>
        <w:t xml:space="preserve"> — y el riesgo principal es el de integración: cultural, tecnológica y de gobierno corporativo. La experiencia de los bancos colombianos en la región documenta este riesgo: Bancolombia adquirió el Banco Agrícola de El Salvador en 2007 y tardó varios años en integrar completamente los sistemas y la cultura organizacional. Para </w:t>
      </w:r>
      <w:proofErr w:type="spellStart"/>
      <w:r>
        <w:rPr>
          <w:color w:val="111111"/>
        </w:rPr>
        <w:t>Cibest</w:t>
      </w:r>
      <w:proofErr w:type="spellEnd"/>
      <w:r>
        <w:rPr>
          <w:color w:val="111111"/>
        </w:rPr>
        <w:t xml:space="preserve">, este modo es especialmente relevante si existe un </w:t>
      </w:r>
      <w:proofErr w:type="gramStart"/>
      <w:r>
        <w:rPr>
          <w:color w:val="111111"/>
        </w:rPr>
        <w:t>target</w:t>
      </w:r>
      <w:proofErr w:type="gramEnd"/>
      <w:r>
        <w:rPr>
          <w:color w:val="111111"/>
        </w:rPr>
        <w:t xml:space="preserve"> local con una cartera de clientes en el segmento objetivo, en un mercado donde la adquisición de licencia nueva tomaría demasiado tiempo para el horizonte estratégico.</w:t>
      </w:r>
    </w:p>
    <w:p w14:paraId="5AF9A0E1" w14:textId="77777777" w:rsidR="00182F4A" w:rsidRDefault="00182F4A" w:rsidP="00182F4A">
      <w:pPr>
        <w:pStyle w:val="Ttulo3"/>
      </w:pPr>
      <w:bookmarkStart w:id="77" w:name="_Toc232659626"/>
      <w:r>
        <w:t>Modo 3 — Adquisición con participación minoritaria estratégica</w:t>
      </w:r>
      <w:bookmarkEnd w:id="77"/>
    </w:p>
    <w:p w14:paraId="359DC1D6" w14:textId="77777777" w:rsidR="00182F4A" w:rsidRDefault="00182F4A" w:rsidP="00182F4A">
      <w:pPr>
        <w:spacing w:before="140" w:after="140" w:line="320" w:lineRule="auto"/>
        <w:jc w:val="both"/>
      </w:pPr>
      <w:r>
        <w:rPr>
          <w:color w:val="111111"/>
        </w:rPr>
        <w:t xml:space="preserve">La participación minoritaria estratégica — típicamente entre el quince y el cuarenta y nueve por ciento de una institución local — permite a </w:t>
      </w:r>
      <w:proofErr w:type="spellStart"/>
      <w:r>
        <w:rPr>
          <w:color w:val="111111"/>
        </w:rPr>
        <w:t>Cibest</w:t>
      </w:r>
      <w:proofErr w:type="spellEnd"/>
      <w:r>
        <w:rPr>
          <w:color w:val="111111"/>
        </w:rPr>
        <w:t xml:space="preserve"> obtener acceso al mercado, al flujo de información del regulador y a la dinámica competitiva local con una inversión menor y sin asumir el control operativo de la institución. Este modo es particularmente valioso como primer paso en mercados de alta incertidumbre regulatoria o competitiva: </w:t>
      </w:r>
      <w:proofErr w:type="spellStart"/>
      <w:r>
        <w:rPr>
          <w:color w:val="111111"/>
        </w:rPr>
        <w:t>Cibest</w:t>
      </w:r>
      <w:proofErr w:type="spellEnd"/>
      <w:r>
        <w:rPr>
          <w:color w:val="111111"/>
        </w:rPr>
        <w:t xml:space="preserve"> aprende el mercado desde dentro antes de decidir si aumenta su participación a una posición mayoritaria. La limitación principal es que el control limitado puede frustrar la transferencia del modelo de negocio y las capacidades tecnológicas de </w:t>
      </w:r>
      <w:proofErr w:type="spellStart"/>
      <w:r>
        <w:rPr>
          <w:color w:val="111111"/>
        </w:rPr>
        <w:t>Cibest</w:t>
      </w:r>
      <w:proofErr w:type="spellEnd"/>
      <w:r>
        <w:rPr>
          <w:color w:val="111111"/>
        </w:rPr>
        <w:t xml:space="preserve"> al mercado local, ya que la institución participada tiene sus propias estructuras de decisión que </w:t>
      </w:r>
      <w:proofErr w:type="spellStart"/>
      <w:r>
        <w:rPr>
          <w:color w:val="111111"/>
        </w:rPr>
        <w:t>Cibest</w:t>
      </w:r>
      <w:proofErr w:type="spellEnd"/>
      <w:r>
        <w:rPr>
          <w:color w:val="111111"/>
        </w:rPr>
        <w:t xml:space="preserve"> no puede modificar unilateralmente. Este modo es compatible con todas las líneas de negocio, pero es especialmente útil para CIB — donde las relaciones institucionales del socio local son el activo más valioso — y para IB en mercados donde el proceso de licenciamiento de </w:t>
      </w:r>
      <w:proofErr w:type="spellStart"/>
      <w:r>
        <w:rPr>
          <w:color w:val="111111"/>
        </w:rPr>
        <w:t>greenfield</w:t>
      </w:r>
      <w:proofErr w:type="spellEnd"/>
      <w:r>
        <w:rPr>
          <w:color w:val="111111"/>
        </w:rPr>
        <w:t xml:space="preserve"> es particularmente largo o incierto.</w:t>
      </w:r>
    </w:p>
    <w:p w14:paraId="00221061" w14:textId="77777777" w:rsidR="00182F4A" w:rsidRDefault="00182F4A" w:rsidP="00182F4A">
      <w:pPr>
        <w:pStyle w:val="Ttulo3"/>
      </w:pPr>
      <w:bookmarkStart w:id="78" w:name="_Toc232659627"/>
      <w:r>
        <w:t xml:space="preserve">Modo 4 — Alianza estratégica o </w:t>
      </w:r>
      <w:proofErr w:type="spellStart"/>
      <w:proofErr w:type="gramStart"/>
      <w:r>
        <w:t>joint</w:t>
      </w:r>
      <w:proofErr w:type="spellEnd"/>
      <w:r>
        <w:t xml:space="preserve"> venture</w:t>
      </w:r>
      <w:bookmarkEnd w:id="78"/>
      <w:proofErr w:type="gramEnd"/>
    </w:p>
    <w:p w14:paraId="35DB005A" w14:textId="77777777" w:rsidR="00182F4A" w:rsidRDefault="00182F4A" w:rsidP="00182F4A">
      <w:pPr>
        <w:spacing w:before="140" w:after="140" w:line="320" w:lineRule="auto"/>
        <w:jc w:val="both"/>
      </w:pPr>
      <w:r>
        <w:rPr>
          <w:color w:val="111111"/>
        </w:rPr>
        <w:t xml:space="preserve">La alianza estratégica o </w:t>
      </w:r>
      <w:proofErr w:type="spellStart"/>
      <w:proofErr w:type="gramStart"/>
      <w:r>
        <w:rPr>
          <w:color w:val="111111"/>
        </w:rPr>
        <w:t>joint</w:t>
      </w:r>
      <w:proofErr w:type="spellEnd"/>
      <w:r>
        <w:rPr>
          <w:color w:val="111111"/>
        </w:rPr>
        <w:t xml:space="preserve"> venture</w:t>
      </w:r>
      <w:proofErr w:type="gramEnd"/>
      <w:r>
        <w:rPr>
          <w:color w:val="111111"/>
        </w:rPr>
        <w:t xml:space="preserve"> implica la creación de una entidad conjunta entre </w:t>
      </w:r>
      <w:proofErr w:type="spellStart"/>
      <w:r>
        <w:rPr>
          <w:color w:val="111111"/>
        </w:rPr>
        <w:t>Cibest</w:t>
      </w:r>
      <w:proofErr w:type="spellEnd"/>
      <w:r>
        <w:rPr>
          <w:color w:val="111111"/>
        </w:rPr>
        <w:t xml:space="preserve"> y un socio local, donde cada parte aporta capacidades complementarias: </w:t>
      </w:r>
      <w:proofErr w:type="spellStart"/>
      <w:r>
        <w:rPr>
          <w:color w:val="111111"/>
        </w:rPr>
        <w:t>Cibest</w:t>
      </w:r>
      <w:proofErr w:type="spellEnd"/>
      <w:r>
        <w:rPr>
          <w:color w:val="111111"/>
        </w:rPr>
        <w:t xml:space="preserve"> aporta tecnología, capital y know-how de gestión financiera; el socio local aporta conocimiento del mercado, relaciones con el regulador, red de distribución y base de clientes. Este modo tiene la ventaja de compartir tanto el riesgo como el costo de entrada, y de permitir que </w:t>
      </w:r>
      <w:proofErr w:type="spellStart"/>
      <w:r>
        <w:rPr>
          <w:color w:val="111111"/>
        </w:rPr>
        <w:t>Cibest</w:t>
      </w:r>
      <w:proofErr w:type="spellEnd"/>
      <w:r>
        <w:rPr>
          <w:color w:val="111111"/>
        </w:rPr>
        <w:t xml:space="preserve"> acceda al conocimiento tácito del mercado que solo el socio local tiene, sin necesidad de construirlo desde cero. Su limitación estructural es la complejidad de gestionar la alianza: los conflictos de interés entre las partes, las diferencias de cultura corporativa y las asimetrías en la velocidad de toma de decisiones son fuentes frecuentes de disfunción en </w:t>
      </w:r>
      <w:proofErr w:type="spellStart"/>
      <w:r>
        <w:rPr>
          <w:color w:val="111111"/>
        </w:rPr>
        <w:t>joint</w:t>
      </w:r>
      <w:proofErr w:type="spellEnd"/>
      <w:r>
        <w:rPr>
          <w:color w:val="111111"/>
        </w:rPr>
        <w:t xml:space="preserve"> ventures financieros internacionales. Para ser exitosa, la alianza requiere un acuerdo muy preciso sobre gobernanza, distribución de utilidades, derechos de primera opción en caso de que una parte quiera salir, y mecanismos de resolución de conflictos. Este modo es especialmente apropiado para la línea de Pagos y Flujos </w:t>
      </w:r>
      <w:r>
        <w:rPr>
          <w:color w:val="111111"/>
        </w:rPr>
        <w:lastRenderedPageBreak/>
        <w:t xml:space="preserve">— donde el socio local puede aportar la red de distribución y </w:t>
      </w:r>
      <w:proofErr w:type="spellStart"/>
      <w:r>
        <w:rPr>
          <w:color w:val="111111"/>
        </w:rPr>
        <w:t>Cibest</w:t>
      </w:r>
      <w:proofErr w:type="spellEnd"/>
      <w:r>
        <w:rPr>
          <w:color w:val="111111"/>
        </w:rPr>
        <w:t xml:space="preserve"> la tecnología de procesamiento — y para los primeros pasos en mercados con alta complejidad regulatoria donde la relación del socio local con el regulador es un activo crítico.</w:t>
      </w:r>
    </w:p>
    <w:p w14:paraId="2DA94F7E" w14:textId="77777777" w:rsidR="00182F4A" w:rsidRDefault="00182F4A" w:rsidP="00182F4A">
      <w:pPr>
        <w:pStyle w:val="Ttulo3"/>
      </w:pPr>
      <w:bookmarkStart w:id="79" w:name="_Toc232659628"/>
      <w:r>
        <w:t>Modo 5 — Lanzamiento digital sin presencia física</w:t>
      </w:r>
      <w:bookmarkEnd w:id="79"/>
    </w:p>
    <w:p w14:paraId="535B71FC" w14:textId="77777777" w:rsidR="00182F4A" w:rsidRDefault="00182F4A" w:rsidP="00182F4A">
      <w:pPr>
        <w:spacing w:before="140" w:after="140" w:line="320" w:lineRule="auto"/>
        <w:jc w:val="both"/>
      </w:pPr>
      <w:r>
        <w:rPr>
          <w:color w:val="111111"/>
        </w:rPr>
        <w:t xml:space="preserve">Este modo permite a </w:t>
      </w:r>
      <w:proofErr w:type="spellStart"/>
      <w:r>
        <w:rPr>
          <w:color w:val="111111"/>
        </w:rPr>
        <w:t>Cibest</w:t>
      </w:r>
      <w:proofErr w:type="spellEnd"/>
      <w:r>
        <w:rPr>
          <w:color w:val="111111"/>
        </w:rPr>
        <w:t xml:space="preserve"> operar en un mercado extranjero a través de plataformas y canales digitales sin establecer una subsidiaria con presencia física ni obtener una licencia bancaria completa. Dependiendo del marco regulatorio del mercado destino, puede implementarse mediante una licencia de emisor de dinero electrónico, una autorización de entidad de pago, un modelo de corresponsalía bancaria con un banco local licenciado, o a través de un </w:t>
      </w:r>
      <w:proofErr w:type="spellStart"/>
      <w:r>
        <w:rPr>
          <w:color w:val="111111"/>
        </w:rPr>
        <w:t>sandbox</w:t>
      </w:r>
      <w:proofErr w:type="spellEnd"/>
      <w:r>
        <w:rPr>
          <w:color w:val="111111"/>
        </w:rPr>
        <w:t xml:space="preserve"> regulatorio que permite probar el modelo con una autorización provisional. Es el modo de entrada de menor inversión inicial y mayor velocidad de despliegue: una plataforma digital puede estar operativa en un nuevo mercado en semanas si la infraestructura tecnológica está lista y el marco regulatorio es favorable. El riesgo principal es el regulatorio: si el regulador del mercado destino cambia su posición sobre los modelos de negocio digitales — como ha ocurrido en varios mercados latinoamericanos en los últimos años — </w:t>
      </w:r>
      <w:proofErr w:type="spellStart"/>
      <w:r>
        <w:rPr>
          <w:color w:val="111111"/>
        </w:rPr>
        <w:t>Cibest</w:t>
      </w:r>
      <w:proofErr w:type="spellEnd"/>
      <w:r>
        <w:rPr>
          <w:color w:val="111111"/>
        </w:rPr>
        <w:t xml:space="preserve"> puede quedar obligada a discontinuar la operación o a obtener una licencia más onerosa en un plazo corto. Este modo es el principal canal de entrada para las líneas de Bancos Digitales, Activos Digitales y Pagos y Flujos, y puede funcionar como puente hacia modos de mayor compromiso si el modelo se valida en el mercado.</w:t>
      </w:r>
    </w:p>
    <w:p w14:paraId="7630A8E2" w14:textId="77777777" w:rsidR="00182F4A" w:rsidRDefault="00182F4A" w:rsidP="00182F4A">
      <w:pPr>
        <w:pStyle w:val="Ttulo3"/>
      </w:pPr>
      <w:bookmarkStart w:id="80" w:name="_Toc232659629"/>
      <w:r>
        <w:t>Modo 6 — Oficina de representación</w:t>
      </w:r>
      <w:bookmarkEnd w:id="80"/>
    </w:p>
    <w:p w14:paraId="43CBEC39" w14:textId="77777777" w:rsidR="00182F4A" w:rsidRDefault="00182F4A" w:rsidP="00182F4A">
      <w:pPr>
        <w:spacing w:before="140" w:after="140" w:line="320" w:lineRule="auto"/>
        <w:jc w:val="both"/>
      </w:pPr>
      <w:r>
        <w:rPr>
          <w:color w:val="111111"/>
        </w:rPr>
        <w:t xml:space="preserve">Una oficina de representación es una presencia institucional de </w:t>
      </w:r>
      <w:proofErr w:type="spellStart"/>
      <w:r>
        <w:rPr>
          <w:color w:val="111111"/>
        </w:rPr>
        <w:t>Cibest</w:t>
      </w:r>
      <w:proofErr w:type="spellEnd"/>
      <w:r>
        <w:rPr>
          <w:color w:val="111111"/>
        </w:rPr>
        <w:t xml:space="preserve"> en el mercado destino que no opera comercialmente — no puede captar depósitos, otorgar créditos ni procesar pagos en nombre de </w:t>
      </w:r>
      <w:proofErr w:type="spellStart"/>
      <w:r>
        <w:rPr>
          <w:color w:val="111111"/>
        </w:rPr>
        <w:t>Cibest</w:t>
      </w:r>
      <w:proofErr w:type="spellEnd"/>
      <w:r>
        <w:rPr>
          <w:color w:val="111111"/>
        </w:rPr>
        <w:t xml:space="preserve"> — sino que tiene como función construir relaciones con el regulador, con potenciales socios y clientes institucionales, y producir inteligencia de mercado de primera mano. Su costo es mínimo comparado con los modos anteriores: típicamente requiere la contratación de uno a tres profesionales locales y el alquiler de una pequeña oficina. Sus ingresos directos son nulos, porque no opera comercialmente. Su valor es estratégico: en mercados de alta complejidad institucional — donde el regulador es cauteloso con los bancos extranjeros y la obtención de licencia requiere meses de relación previa con las autoridades — la oficina de representación es el primer paso que hace viable todos los modos posteriores. Para </w:t>
      </w:r>
      <w:proofErr w:type="spellStart"/>
      <w:r>
        <w:rPr>
          <w:color w:val="111111"/>
        </w:rPr>
        <w:t>Cibest</w:t>
      </w:r>
      <w:proofErr w:type="spellEnd"/>
      <w:r>
        <w:rPr>
          <w:color w:val="111111"/>
        </w:rPr>
        <w:t xml:space="preserve">, este modo es apropiado como paso previo a la entrada en mercados de Cuadrante 3 donde se está ejecutando un plan de cierre de brechas de capacidades, o en mercados de alta complejidad regulatoria donde la presencia física y la construcción de relaciones con el regulador son </w:t>
      </w:r>
      <w:proofErr w:type="spellStart"/>
      <w:r>
        <w:rPr>
          <w:color w:val="111111"/>
        </w:rPr>
        <w:t>prerequisitos</w:t>
      </w:r>
      <w:proofErr w:type="spellEnd"/>
      <w:r>
        <w:rPr>
          <w:color w:val="111111"/>
        </w:rPr>
        <w:t xml:space="preserve"> del licenciamiento.</w:t>
      </w:r>
    </w:p>
    <w:p w14:paraId="013225F2" w14:textId="77777777" w:rsidR="00182F4A" w:rsidRDefault="00182F4A" w:rsidP="00182F4A">
      <w:pPr>
        <w:pStyle w:val="Ttulo3"/>
      </w:pPr>
      <w:bookmarkStart w:id="81" w:name="_Toc232659630"/>
      <w:r>
        <w:t>Modo 7 — Piloto comercial acotado</w:t>
      </w:r>
      <w:bookmarkEnd w:id="81"/>
    </w:p>
    <w:p w14:paraId="7BE66337" w14:textId="77777777" w:rsidR="00182F4A" w:rsidRDefault="00182F4A" w:rsidP="00182F4A">
      <w:pPr>
        <w:spacing w:before="140" w:after="140" w:line="320" w:lineRule="auto"/>
        <w:jc w:val="both"/>
      </w:pPr>
      <w:r>
        <w:rPr>
          <w:color w:val="111111"/>
        </w:rPr>
        <w:lastRenderedPageBreak/>
        <w:t xml:space="preserve">El piloto comercial acotado consiste en entrar al mercado con un único producto, en un único segmento de clientes, a escala deliberadamente limitada, con el objetivo de validar el modelo de negocio y los supuestos sobre la demanda antes de comprometer la inversión total de la entrada. Este modo es conceptualmente distinto del lanzamiento digital sin presencia física: puede implementarse con presencia física, puede requerir algún tipo de licencia local, y su foco no es minimizar la inversión regulatoria sino minimizar el riesgo de escalar un modelo de negocio que todavía no ha sido validado en el mercado. Es el modo más apropiado para mercados donde la inteligencia cualitativa de la Fase 4 dejó preguntas sin respuesta sobre la demanda real o sobre la transferibilidad del modelo de negocio de </w:t>
      </w:r>
      <w:proofErr w:type="spellStart"/>
      <w:r>
        <w:rPr>
          <w:color w:val="111111"/>
        </w:rPr>
        <w:t>Cibest</w:t>
      </w:r>
      <w:proofErr w:type="spellEnd"/>
      <w:r>
        <w:rPr>
          <w:color w:val="111111"/>
        </w:rPr>
        <w:t xml:space="preserve"> al contexto local. En lugar de resolver esas preguntas con análisis adicional — que tiene sus propios límites — el piloto las resuelve con evidencia de mercado real, a un costo controlado. La limitación del piloto es que requiere un diseño muy cuidadoso del experimento para que sus resultados sean interpretables: un piloto mal diseñado puede producir información engañosa que confirme o rechace el modelo de negocio por razones que no tienen nada que ver con el mercado.</w:t>
      </w:r>
    </w:p>
    <w:p w14:paraId="50793EED" w14:textId="77777777" w:rsidR="00182F4A" w:rsidRDefault="00182F4A" w:rsidP="00182F4A">
      <w:pPr>
        <w:spacing w:after="100"/>
      </w:pPr>
    </w:p>
    <w:p w14:paraId="566FD88C" w14:textId="77777777" w:rsidR="00182F4A" w:rsidRDefault="00182F4A" w:rsidP="00182F4A">
      <w:pPr>
        <w:pStyle w:val="Ttulo2"/>
        <w:pBdr>
          <w:bottom w:val="single" w:sz="4" w:space="4" w:color="E8B931"/>
        </w:pBdr>
      </w:pPr>
      <w:bookmarkStart w:id="82" w:name="_Toc232659631"/>
      <w:proofErr w:type="gramStart"/>
      <w:r>
        <w:t>9.3  Cómo</w:t>
      </w:r>
      <w:proofErr w:type="gramEnd"/>
      <w:r>
        <w:t xml:space="preserve"> el perfil de RADAR informa la selección del modo de entrada: reglas de correspondencia</w:t>
      </w:r>
      <w:bookmarkEnd w:id="82"/>
    </w:p>
    <w:p w14:paraId="1BD35385" w14:textId="77777777" w:rsidR="00182F4A" w:rsidRDefault="00182F4A" w:rsidP="00182F4A">
      <w:pPr>
        <w:spacing w:before="140" w:after="140" w:line="320" w:lineRule="auto"/>
        <w:jc w:val="both"/>
      </w:pPr>
      <w:r>
        <w:rPr>
          <w:color w:val="111111"/>
        </w:rPr>
        <w:t xml:space="preserve">El motor de reglas de RADAR </w:t>
      </w:r>
      <w:proofErr w:type="spellStart"/>
      <w:r>
        <w:rPr>
          <w:color w:val="111111"/>
        </w:rPr>
        <w:t>Cibest</w:t>
      </w:r>
      <w:proofErr w:type="spellEnd"/>
      <w:r>
        <w:rPr>
          <w:color w:val="111111"/>
        </w:rPr>
        <w:t xml:space="preserve"> contiene, para cada clasificación de mercado, una recomendación preliminar de modo de entrada que se deriva del perfil de fortalezas y debilidades del mercado y de las señales diferenciadas por </w:t>
      </w:r>
      <w:proofErr w:type="gramStart"/>
      <w:r>
        <w:rPr>
          <w:color w:val="111111"/>
        </w:rPr>
        <w:t>línea</w:t>
      </w:r>
      <w:proofErr w:type="gramEnd"/>
      <w:r>
        <w:rPr>
          <w:color w:val="111111"/>
        </w:rPr>
        <w:t xml:space="preserve"> de negocio. Estas recomendaciones no son determinísticas — el modo de entrada final es siempre una decisión del Comité Ejecutivo — sino señales de primer orden que el equipo de Estrategia Corporativa utiliza como punto de partida del análisis de modo de entrada. La tabla siguiente presenta las correspondencias más importantes.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400"/>
        <w:gridCol w:w="2080"/>
        <w:gridCol w:w="2360"/>
      </w:tblGrid>
      <w:tr w:rsidR="00182F4A" w14:paraId="1D513335" w14:textId="77777777" w:rsidTr="00800E51">
        <w:tc>
          <w:tcPr>
            <w:tcW w:w="252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1537D4EF" w14:textId="77777777" w:rsidR="00182F4A" w:rsidRDefault="00182F4A" w:rsidP="001F40FE">
            <w:r>
              <w:rPr>
                <w:b/>
                <w:bCs/>
                <w:color w:val="FFFFFF"/>
                <w:sz w:val="20"/>
                <w:szCs w:val="20"/>
              </w:rPr>
              <w:t>Perfil RADAR del mercado</w:t>
            </w:r>
          </w:p>
        </w:tc>
        <w:tc>
          <w:tcPr>
            <w:tcW w:w="24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19F09078" w14:textId="77777777" w:rsidR="00182F4A" w:rsidRDefault="00182F4A" w:rsidP="001F40FE">
            <w:r>
              <w:rPr>
                <w:b/>
                <w:bCs/>
                <w:color w:val="FFFFFF"/>
                <w:sz w:val="20"/>
                <w:szCs w:val="20"/>
              </w:rPr>
              <w:t>Línea de negocio con señal alta</w:t>
            </w:r>
          </w:p>
        </w:tc>
        <w:tc>
          <w:tcPr>
            <w:tcW w:w="208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3CE3158C" w14:textId="77777777" w:rsidR="00182F4A" w:rsidRDefault="00182F4A" w:rsidP="001F40FE">
            <w:r>
              <w:rPr>
                <w:b/>
                <w:bCs/>
                <w:color w:val="FFFFFF"/>
                <w:sz w:val="20"/>
                <w:szCs w:val="20"/>
              </w:rPr>
              <w:t>Modo de entrada recomendado</w:t>
            </w:r>
          </w:p>
        </w:tc>
        <w:tc>
          <w:tcPr>
            <w:tcW w:w="236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6EBE8069" w14:textId="77777777" w:rsidR="00182F4A" w:rsidRDefault="00182F4A" w:rsidP="001F40FE">
            <w:r>
              <w:rPr>
                <w:b/>
                <w:bCs/>
                <w:color w:val="FFFFFF"/>
                <w:sz w:val="20"/>
                <w:szCs w:val="20"/>
              </w:rPr>
              <w:t>Justificación de la correspondencia</w:t>
            </w:r>
          </w:p>
        </w:tc>
      </w:tr>
      <w:tr w:rsidR="00182F4A" w14:paraId="4D45242F" w14:textId="77777777" w:rsidTr="00800E51">
        <w:tc>
          <w:tcPr>
            <w:tcW w:w="25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F2643DB" w14:textId="77777777" w:rsidR="00182F4A" w:rsidRDefault="00182F4A" w:rsidP="001F40FE">
            <w:r>
              <w:rPr>
                <w:color w:val="111111"/>
                <w:sz w:val="20"/>
                <w:szCs w:val="20"/>
              </w:rPr>
              <w:t>Score general alto + score regulatorio alto + score financiero alto</w:t>
            </w:r>
          </w:p>
        </w:tc>
        <w:tc>
          <w:tcPr>
            <w:tcW w:w="24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A060CF7" w14:textId="77777777" w:rsidR="00182F4A" w:rsidRDefault="00182F4A" w:rsidP="001F40FE">
            <w:r>
              <w:rPr>
                <w:color w:val="111111"/>
                <w:sz w:val="20"/>
                <w:szCs w:val="20"/>
              </w:rPr>
              <w:t>Intermediación Bancaria (IB)</w:t>
            </w:r>
          </w:p>
        </w:tc>
        <w:tc>
          <w:tcPr>
            <w:tcW w:w="2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52C227E" w14:textId="77777777" w:rsidR="00182F4A" w:rsidRDefault="00182F4A" w:rsidP="001F40FE">
            <w:r>
              <w:rPr>
                <w:color w:val="111111"/>
                <w:sz w:val="20"/>
                <w:szCs w:val="20"/>
              </w:rPr>
              <w:t>Greenfield o adquisición mayoritaria</w:t>
            </w:r>
          </w:p>
        </w:tc>
        <w:tc>
          <w:tcPr>
            <w:tcW w:w="2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9340F8C" w14:textId="77777777" w:rsidR="00182F4A" w:rsidRDefault="00182F4A" w:rsidP="001F40FE">
            <w:r>
              <w:rPr>
                <w:color w:val="111111"/>
                <w:sz w:val="20"/>
                <w:szCs w:val="20"/>
              </w:rPr>
              <w:t>Condiciones de mercado suficientemente maduras y estables para justificar el mayor compromiso de capital y tiempo. El alto score regulatorio señala que la obtención de licencia es predecible.</w:t>
            </w:r>
          </w:p>
        </w:tc>
      </w:tr>
      <w:tr w:rsidR="00182F4A" w14:paraId="56C231D4" w14:textId="77777777" w:rsidTr="00800E51">
        <w:tc>
          <w:tcPr>
            <w:tcW w:w="25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089ECFF" w14:textId="77777777" w:rsidR="00182F4A" w:rsidRDefault="00182F4A" w:rsidP="001F40FE">
            <w:r>
              <w:rPr>
                <w:color w:val="111111"/>
                <w:sz w:val="20"/>
                <w:szCs w:val="20"/>
              </w:rPr>
              <w:t>Score general alto + score regulatorio bajo o medio</w:t>
            </w:r>
          </w:p>
        </w:tc>
        <w:tc>
          <w:tcPr>
            <w:tcW w:w="24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655EF3D" w14:textId="77777777" w:rsidR="00182F4A" w:rsidRDefault="00182F4A" w:rsidP="001F40FE">
            <w:r>
              <w:rPr>
                <w:color w:val="111111"/>
                <w:sz w:val="20"/>
                <w:szCs w:val="20"/>
              </w:rPr>
              <w:t>IB o CIB</w:t>
            </w:r>
          </w:p>
        </w:tc>
        <w:tc>
          <w:tcPr>
            <w:tcW w:w="2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9C7FA0F" w14:textId="77777777" w:rsidR="00182F4A" w:rsidRDefault="00182F4A" w:rsidP="001F40FE">
            <w:r>
              <w:rPr>
                <w:color w:val="111111"/>
                <w:sz w:val="20"/>
                <w:szCs w:val="20"/>
              </w:rPr>
              <w:t xml:space="preserve">Participación minoritaria estratégica como </w:t>
            </w:r>
            <w:r>
              <w:rPr>
                <w:color w:val="111111"/>
                <w:sz w:val="20"/>
                <w:szCs w:val="20"/>
              </w:rPr>
              <w:lastRenderedPageBreak/>
              <w:t>primer paso; revisión en 2-3 años para aumento de participación</w:t>
            </w:r>
          </w:p>
        </w:tc>
        <w:tc>
          <w:tcPr>
            <w:tcW w:w="2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7D0F7E0" w14:textId="77777777" w:rsidR="00182F4A" w:rsidRDefault="00182F4A" w:rsidP="001F40FE">
            <w:r>
              <w:rPr>
                <w:color w:val="111111"/>
                <w:sz w:val="20"/>
                <w:szCs w:val="20"/>
              </w:rPr>
              <w:lastRenderedPageBreak/>
              <w:t xml:space="preserve">El atractivo general justifica la entrada, pero la incertidumbre </w:t>
            </w:r>
            <w:r>
              <w:rPr>
                <w:color w:val="111111"/>
                <w:sz w:val="20"/>
                <w:szCs w:val="20"/>
              </w:rPr>
              <w:lastRenderedPageBreak/>
              <w:t>regulatoria aconseja reducir el compromiso inicial hasta que el entorno regulatorio sea más predecible.</w:t>
            </w:r>
          </w:p>
        </w:tc>
      </w:tr>
      <w:tr w:rsidR="00182F4A" w14:paraId="09763C6D" w14:textId="77777777" w:rsidTr="00800E51">
        <w:tc>
          <w:tcPr>
            <w:tcW w:w="25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2FE699B" w14:textId="77777777" w:rsidR="00182F4A" w:rsidRDefault="00182F4A" w:rsidP="001F40FE">
            <w:r>
              <w:rPr>
                <w:color w:val="111111"/>
                <w:sz w:val="20"/>
                <w:szCs w:val="20"/>
              </w:rPr>
              <w:t>Score general medio + señal alta en tecnológico y digital + alta penetración de internet</w:t>
            </w:r>
          </w:p>
        </w:tc>
        <w:tc>
          <w:tcPr>
            <w:tcW w:w="24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526461D" w14:textId="77777777" w:rsidR="00182F4A" w:rsidRDefault="00182F4A" w:rsidP="001F40FE">
            <w:r>
              <w:rPr>
                <w:color w:val="111111"/>
                <w:sz w:val="20"/>
                <w:szCs w:val="20"/>
              </w:rPr>
              <w:t>Bancos Digitales (BD) o Pagos y Flujos (PT)</w:t>
            </w:r>
          </w:p>
        </w:tc>
        <w:tc>
          <w:tcPr>
            <w:tcW w:w="2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85C821A" w14:textId="77777777" w:rsidR="00182F4A" w:rsidRDefault="00182F4A" w:rsidP="001F40FE">
            <w:r>
              <w:rPr>
                <w:color w:val="111111"/>
                <w:sz w:val="20"/>
                <w:szCs w:val="20"/>
              </w:rPr>
              <w:t xml:space="preserve">Lanzamiento digital sin presencia física, con escalada a licencia </w:t>
            </w:r>
            <w:proofErr w:type="spellStart"/>
            <w:r>
              <w:rPr>
                <w:color w:val="111111"/>
                <w:sz w:val="20"/>
                <w:szCs w:val="20"/>
              </w:rPr>
              <w:t>fintech</w:t>
            </w:r>
            <w:proofErr w:type="spellEnd"/>
            <w:r>
              <w:rPr>
                <w:color w:val="111111"/>
                <w:sz w:val="20"/>
                <w:szCs w:val="20"/>
              </w:rPr>
              <w:t xml:space="preserve"> si el piloto valida la demanda</w:t>
            </w:r>
          </w:p>
        </w:tc>
        <w:tc>
          <w:tcPr>
            <w:tcW w:w="2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FF808CC" w14:textId="77777777" w:rsidR="00182F4A" w:rsidRDefault="00182F4A" w:rsidP="001F40FE">
            <w:r>
              <w:rPr>
                <w:color w:val="111111"/>
                <w:sz w:val="20"/>
                <w:szCs w:val="20"/>
              </w:rPr>
              <w:t>La infraestructura digital del mercado permite la operación sin presencia física. El bajo compromiso inicial permite probar la demanda antes de escalar.</w:t>
            </w:r>
          </w:p>
        </w:tc>
      </w:tr>
      <w:tr w:rsidR="00182F4A" w14:paraId="7A4A1058" w14:textId="77777777" w:rsidTr="00800E51">
        <w:tc>
          <w:tcPr>
            <w:tcW w:w="25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7F8CB8F" w14:textId="77777777" w:rsidR="00182F4A" w:rsidRDefault="00182F4A" w:rsidP="001F40FE">
            <w:r>
              <w:rPr>
                <w:color w:val="111111"/>
                <w:sz w:val="20"/>
                <w:szCs w:val="20"/>
              </w:rPr>
              <w:t>Alta inflación + alta penetración digital + marco regulatorio de activos digitales en desarrollo</w:t>
            </w:r>
          </w:p>
        </w:tc>
        <w:tc>
          <w:tcPr>
            <w:tcW w:w="24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EA5FC00" w14:textId="77777777" w:rsidR="00182F4A" w:rsidRDefault="00182F4A" w:rsidP="001F40FE">
            <w:r>
              <w:rPr>
                <w:color w:val="111111"/>
                <w:sz w:val="20"/>
                <w:szCs w:val="20"/>
              </w:rPr>
              <w:t>Activos Digitales (AD)</w:t>
            </w:r>
          </w:p>
        </w:tc>
        <w:tc>
          <w:tcPr>
            <w:tcW w:w="2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0C157AF" w14:textId="77777777" w:rsidR="00182F4A" w:rsidRDefault="00182F4A" w:rsidP="001F40FE">
            <w:r>
              <w:rPr>
                <w:color w:val="111111"/>
                <w:sz w:val="20"/>
                <w:szCs w:val="20"/>
              </w:rPr>
              <w:t xml:space="preserve">Lanzamiento digital con </w:t>
            </w:r>
            <w:proofErr w:type="spellStart"/>
            <w:r>
              <w:rPr>
                <w:color w:val="111111"/>
                <w:sz w:val="20"/>
                <w:szCs w:val="20"/>
              </w:rPr>
              <w:t>sandbox</w:t>
            </w:r>
            <w:proofErr w:type="spellEnd"/>
            <w:r>
              <w:rPr>
                <w:color w:val="111111"/>
                <w:sz w:val="20"/>
                <w:szCs w:val="20"/>
              </w:rPr>
              <w:t xml:space="preserve"> regulatorio o piloto comercial acotado</w:t>
            </w:r>
          </w:p>
        </w:tc>
        <w:tc>
          <w:tcPr>
            <w:tcW w:w="2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44D7339" w14:textId="77777777" w:rsidR="00182F4A" w:rsidRDefault="00182F4A" w:rsidP="001F40FE">
            <w:r>
              <w:rPr>
                <w:color w:val="111111"/>
                <w:sz w:val="20"/>
                <w:szCs w:val="20"/>
              </w:rPr>
              <w:t xml:space="preserve">El entorno macroeconómico activa la demanda de cobertura. El </w:t>
            </w:r>
            <w:proofErr w:type="spellStart"/>
            <w:r>
              <w:rPr>
                <w:color w:val="111111"/>
                <w:sz w:val="20"/>
                <w:szCs w:val="20"/>
              </w:rPr>
              <w:t>sandbox</w:t>
            </w:r>
            <w:proofErr w:type="spellEnd"/>
            <w:r>
              <w:rPr>
                <w:color w:val="111111"/>
                <w:sz w:val="20"/>
                <w:szCs w:val="20"/>
              </w:rPr>
              <w:t xml:space="preserve"> permite operar mientras el marco regulatorio madura. El piloto acotado mitiga el riesgo regulatorio residual.</w:t>
            </w:r>
          </w:p>
        </w:tc>
      </w:tr>
      <w:tr w:rsidR="00182F4A" w14:paraId="469191C3" w14:textId="77777777" w:rsidTr="00800E51">
        <w:tc>
          <w:tcPr>
            <w:tcW w:w="25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66205FB" w14:textId="77777777" w:rsidR="00182F4A" w:rsidRDefault="00182F4A" w:rsidP="001F40FE">
            <w:r>
              <w:rPr>
                <w:color w:val="111111"/>
                <w:sz w:val="20"/>
                <w:szCs w:val="20"/>
              </w:rPr>
              <w:t>Alta diáspora colombiana en el mercado (variable DANE alta) + operadores actuales del corredor con márgenes altos</w:t>
            </w:r>
          </w:p>
        </w:tc>
        <w:tc>
          <w:tcPr>
            <w:tcW w:w="24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98C2FBE" w14:textId="77777777" w:rsidR="00182F4A" w:rsidRDefault="00182F4A" w:rsidP="001F40FE">
            <w:r>
              <w:rPr>
                <w:color w:val="111111"/>
                <w:sz w:val="20"/>
                <w:szCs w:val="20"/>
              </w:rPr>
              <w:t>Pagos y Flujos (PT)</w:t>
            </w:r>
          </w:p>
        </w:tc>
        <w:tc>
          <w:tcPr>
            <w:tcW w:w="2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21089C2" w14:textId="77777777" w:rsidR="00182F4A" w:rsidRDefault="00182F4A" w:rsidP="001F40FE">
            <w:r>
              <w:rPr>
                <w:color w:val="111111"/>
                <w:sz w:val="20"/>
                <w:szCs w:val="20"/>
              </w:rPr>
              <w:t>Alianza con operador local de pagos o corresponsalía bancaria</w:t>
            </w:r>
          </w:p>
        </w:tc>
        <w:tc>
          <w:tcPr>
            <w:tcW w:w="2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F818329" w14:textId="77777777" w:rsidR="00182F4A" w:rsidRDefault="00182F4A" w:rsidP="001F40FE">
            <w:r>
              <w:rPr>
                <w:color w:val="111111"/>
                <w:sz w:val="20"/>
                <w:szCs w:val="20"/>
              </w:rPr>
              <w:t>El corredor de remesas ya existe. El objetivo no es construir la demanda sino capturar una porción del flujo existente con mejor precio o servicio. La alianza con un operador local es más eficiente que construir la red desde cero.</w:t>
            </w:r>
          </w:p>
        </w:tc>
      </w:tr>
      <w:tr w:rsidR="00182F4A" w14:paraId="20B5CA2A" w14:textId="77777777" w:rsidTr="00800E51">
        <w:tc>
          <w:tcPr>
            <w:tcW w:w="25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991C5D2" w14:textId="77777777" w:rsidR="00182F4A" w:rsidRDefault="00182F4A" w:rsidP="001F40FE">
            <w:r>
              <w:rPr>
                <w:color w:val="111111"/>
                <w:sz w:val="20"/>
                <w:szCs w:val="20"/>
              </w:rPr>
              <w:t>Alta complejidad regulatoria + alta presencia de clientes corporativos colombianos en el mercado</w:t>
            </w:r>
          </w:p>
        </w:tc>
        <w:tc>
          <w:tcPr>
            <w:tcW w:w="24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85EFD47" w14:textId="77777777" w:rsidR="00182F4A" w:rsidRDefault="00182F4A" w:rsidP="001F40FE">
            <w:r>
              <w:rPr>
                <w:color w:val="111111"/>
                <w:sz w:val="20"/>
                <w:szCs w:val="20"/>
              </w:rPr>
              <w:t>CIB</w:t>
            </w:r>
          </w:p>
        </w:tc>
        <w:tc>
          <w:tcPr>
            <w:tcW w:w="2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F276D86" w14:textId="77777777" w:rsidR="00182F4A" w:rsidRDefault="00182F4A" w:rsidP="001F40FE">
            <w:r>
              <w:rPr>
                <w:color w:val="111111"/>
                <w:sz w:val="20"/>
                <w:szCs w:val="20"/>
              </w:rPr>
              <w:t>Oficina de representación como primer paso, con escalada a participación minoritaria en institución local</w:t>
            </w:r>
          </w:p>
        </w:tc>
        <w:tc>
          <w:tcPr>
            <w:tcW w:w="2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6A19AA1" w14:textId="77777777" w:rsidR="00182F4A" w:rsidRDefault="00182F4A" w:rsidP="001F40FE">
            <w:r>
              <w:rPr>
                <w:color w:val="111111"/>
                <w:sz w:val="20"/>
                <w:szCs w:val="20"/>
              </w:rPr>
              <w:t xml:space="preserve">La presencia de clientes corporativos colombianos justifica la entrada, pero la complejidad regulatoria aconseja comenzar con un modo de </w:t>
            </w:r>
            <w:proofErr w:type="gramStart"/>
            <w:r>
              <w:rPr>
                <w:color w:val="111111"/>
                <w:sz w:val="20"/>
                <w:szCs w:val="20"/>
              </w:rPr>
              <w:t>cero riesgo regulatorio</w:t>
            </w:r>
            <w:proofErr w:type="gramEnd"/>
            <w:r>
              <w:rPr>
                <w:color w:val="111111"/>
                <w:sz w:val="20"/>
                <w:szCs w:val="20"/>
              </w:rPr>
              <w:t xml:space="preserve"> que construya relaciones con el regulador antes del licenciamiento.</w:t>
            </w:r>
          </w:p>
        </w:tc>
      </w:tr>
      <w:tr w:rsidR="00182F4A" w14:paraId="2C8CAB53" w14:textId="77777777" w:rsidTr="00800E51">
        <w:tc>
          <w:tcPr>
            <w:tcW w:w="25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9195F28" w14:textId="77777777" w:rsidR="00182F4A" w:rsidRDefault="00182F4A" w:rsidP="001F40FE">
            <w:r>
              <w:rPr>
                <w:color w:val="111111"/>
                <w:sz w:val="20"/>
                <w:szCs w:val="20"/>
              </w:rPr>
              <w:t>Inteligencia cualitativa con preguntas sin respuesta sobre viabilidad del modelo de negocio local</w:t>
            </w:r>
          </w:p>
        </w:tc>
        <w:tc>
          <w:tcPr>
            <w:tcW w:w="24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D6480AF" w14:textId="77777777" w:rsidR="00182F4A" w:rsidRDefault="00182F4A" w:rsidP="001F40FE">
            <w:r>
              <w:rPr>
                <w:color w:val="111111"/>
                <w:sz w:val="20"/>
                <w:szCs w:val="20"/>
              </w:rPr>
              <w:t>Cualquier línea de negocio</w:t>
            </w:r>
          </w:p>
        </w:tc>
        <w:tc>
          <w:tcPr>
            <w:tcW w:w="20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3A99CDA" w14:textId="77777777" w:rsidR="00182F4A" w:rsidRDefault="00182F4A" w:rsidP="001F40FE">
            <w:r>
              <w:rPr>
                <w:color w:val="111111"/>
                <w:sz w:val="20"/>
                <w:szCs w:val="20"/>
              </w:rPr>
              <w:t>Piloto comercial acotado, independientemente del score RADAR</w:t>
            </w:r>
          </w:p>
        </w:tc>
        <w:tc>
          <w:tcPr>
            <w:tcW w:w="2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CF34AE2" w14:textId="77777777" w:rsidR="00182F4A" w:rsidRDefault="00182F4A" w:rsidP="001F40FE">
            <w:r>
              <w:rPr>
                <w:color w:val="111111"/>
                <w:sz w:val="20"/>
                <w:szCs w:val="20"/>
              </w:rPr>
              <w:t xml:space="preserve">Cuando la incertidumbre sobre la demanda o la transferibilidad del modelo de negocio es suficientemente alta, el piloto es la única forma </w:t>
            </w:r>
            <w:r>
              <w:rPr>
                <w:color w:val="111111"/>
                <w:sz w:val="20"/>
                <w:szCs w:val="20"/>
              </w:rPr>
              <w:lastRenderedPageBreak/>
              <w:t>de resolverla con evidencia real. Ningún análisis adicional sustituye la prueba de mercado.</w:t>
            </w:r>
          </w:p>
        </w:tc>
      </w:tr>
    </w:tbl>
    <w:p w14:paraId="2B956638" w14:textId="77777777" w:rsidR="00182F4A" w:rsidRDefault="00182F4A" w:rsidP="00182F4A">
      <w:pPr>
        <w:spacing w:after="100"/>
      </w:pPr>
    </w:p>
    <w:p w14:paraId="1D7F4EBC" w14:textId="77777777" w:rsidR="00182F4A" w:rsidRDefault="00182F4A" w:rsidP="00182F4A">
      <w:pPr>
        <w:spacing w:before="140" w:after="140" w:line="320" w:lineRule="auto"/>
        <w:jc w:val="both"/>
      </w:pPr>
      <w:r>
        <w:rPr>
          <w:color w:val="111111"/>
        </w:rPr>
        <w:t xml:space="preserve">Es importante señalar que las correspondencias de la tabla anterior son reglas de primer orden, no mandatos. El Comité Ejecutivo puede decidir un modo de entrada diferente al recomendado por el motor de reglas si tiene información estratégica que el modelo no captura — por ejemplo, la disponibilidad de un </w:t>
      </w:r>
      <w:proofErr w:type="gramStart"/>
      <w:r>
        <w:rPr>
          <w:color w:val="111111"/>
        </w:rPr>
        <w:t>target</w:t>
      </w:r>
      <w:proofErr w:type="gramEnd"/>
      <w:r>
        <w:rPr>
          <w:color w:val="111111"/>
        </w:rPr>
        <w:t xml:space="preserve"> de adquisición específico en un mercado donde RADAR recomendaría lanzamiento digital, o la existencia de un socio estratégico con quien </w:t>
      </w:r>
      <w:proofErr w:type="spellStart"/>
      <w:r>
        <w:rPr>
          <w:color w:val="111111"/>
        </w:rPr>
        <w:t>Cibest</w:t>
      </w:r>
      <w:proofErr w:type="spellEnd"/>
      <w:r>
        <w:rPr>
          <w:color w:val="111111"/>
        </w:rPr>
        <w:t xml:space="preserve"> ya tiene una relación establecida. Lo que el motor de reglas aporta es un punto de partida estructurado para el análisis, no una restricción sobre la decisión directiva.</w:t>
      </w:r>
    </w:p>
    <w:p w14:paraId="37FC345A" w14:textId="77777777" w:rsidR="00182F4A" w:rsidRDefault="00182F4A" w:rsidP="00182F4A">
      <w:pPr>
        <w:spacing w:after="100"/>
      </w:pPr>
    </w:p>
    <w:p w14:paraId="6171210F" w14:textId="77777777" w:rsidR="00182F4A" w:rsidRDefault="00182F4A" w:rsidP="00182F4A">
      <w:pPr>
        <w:pStyle w:val="Ttulo2"/>
        <w:pBdr>
          <w:bottom w:val="single" w:sz="4" w:space="4" w:color="E8B931"/>
        </w:pBdr>
      </w:pPr>
      <w:bookmarkStart w:id="83" w:name="_Toc232659632"/>
      <w:proofErr w:type="gramStart"/>
      <w:r>
        <w:t>9.4  La</w:t>
      </w:r>
      <w:proofErr w:type="gramEnd"/>
      <w:r>
        <w:t xml:space="preserve"> secuencia de modos: de menor a mayor compromiso como estrategia de riesgo escalonado</w:t>
      </w:r>
      <w:bookmarkEnd w:id="83"/>
    </w:p>
    <w:p w14:paraId="4C0E1769" w14:textId="77777777" w:rsidR="00182F4A" w:rsidRDefault="00182F4A" w:rsidP="00182F4A">
      <w:pPr>
        <w:spacing w:before="140" w:after="140" w:line="320" w:lineRule="auto"/>
        <w:jc w:val="both"/>
      </w:pPr>
      <w:r>
        <w:rPr>
          <w:color w:val="111111"/>
        </w:rPr>
        <w:t xml:space="preserve">Una práctica consolidada en la internacionalización bancaria exitosa, documentada extensamente por la literatura académica y por los reportes del BIS, es la estrategia de entrada escalonada: comenzar con un modo de menor compromiso, acumular conocimiento del mercado, validar supuestos clave del modelo de negocio, construir relaciones con el regulador y los actores del ecosistema, y solo entonces escalar a modos de mayor compromiso cuando la incertidumbre inicial se ha reducido significativamente. Esta estrategia es la aplicación práctica del Modelo Uppsala al contexto de las decisiones de modo de entrada: cada paso reduce la distancia psíquica e institucional entre </w:t>
      </w:r>
      <w:proofErr w:type="spellStart"/>
      <w:r>
        <w:rPr>
          <w:color w:val="111111"/>
        </w:rPr>
        <w:t>Cibest</w:t>
      </w:r>
      <w:proofErr w:type="spellEnd"/>
      <w:r>
        <w:rPr>
          <w:color w:val="111111"/>
        </w:rPr>
        <w:t xml:space="preserve"> y el mercado destino, y esa reducción hace que el siguiente paso sea menos arriesgado y más barato.</w:t>
      </w:r>
    </w:p>
    <w:p w14:paraId="53A5049D" w14:textId="77777777" w:rsidR="00182F4A" w:rsidRDefault="00182F4A" w:rsidP="00182F4A">
      <w:pPr>
        <w:spacing w:before="140" w:after="140" w:line="320" w:lineRule="auto"/>
        <w:jc w:val="both"/>
      </w:pPr>
      <w:r>
        <w:rPr>
          <w:color w:val="111111"/>
        </w:rPr>
        <w:t xml:space="preserve">Para Grupo </w:t>
      </w:r>
      <w:proofErr w:type="spellStart"/>
      <w:r>
        <w:rPr>
          <w:color w:val="111111"/>
        </w:rPr>
        <w:t>Cibest</w:t>
      </w:r>
      <w:proofErr w:type="spellEnd"/>
      <w:r>
        <w:rPr>
          <w:color w:val="111111"/>
        </w:rPr>
        <w:t xml:space="preserve">, la secuencia más frecuente en mercados de alta complejidad regulatoria e institucional podría ser: piloto digital </w:t>
      </w:r>
      <w:proofErr w:type="spellStart"/>
      <w:r>
        <w:rPr>
          <w:color w:val="111111"/>
        </w:rPr>
        <w:t>o</w:t>
      </w:r>
      <w:proofErr w:type="spellEnd"/>
      <w:r>
        <w:rPr>
          <w:color w:val="111111"/>
        </w:rPr>
        <w:t xml:space="preserve"> oficina de representación (Año 1) → lanzamiento de producto acotado con licencia </w:t>
      </w:r>
      <w:proofErr w:type="spellStart"/>
      <w:r>
        <w:rPr>
          <w:color w:val="111111"/>
        </w:rPr>
        <w:t>fintech</w:t>
      </w:r>
      <w:proofErr w:type="spellEnd"/>
      <w:r>
        <w:rPr>
          <w:color w:val="111111"/>
        </w:rPr>
        <w:t xml:space="preserve"> o corresponsalía (Años 2-3) → participación minoritaria en institución local o alianza estratégica (Años 3-5) → mayoría o </w:t>
      </w:r>
      <w:proofErr w:type="spellStart"/>
      <w:r>
        <w:rPr>
          <w:color w:val="111111"/>
        </w:rPr>
        <w:t>greenfield</w:t>
      </w:r>
      <w:proofErr w:type="spellEnd"/>
      <w:r>
        <w:rPr>
          <w:color w:val="111111"/>
        </w:rPr>
        <w:t xml:space="preserve"> en línea prioritaria con demanda validada (Año 5 en adelante). Esta secuencia tiene la ventaja de que cada etapa produce información que mejora la calidad de la decisión de la siguiente, y de que el costo total del error en caso de que el mercado no se desarrolle como se esperaba es acotado: si en el Año 3 la evidencia del piloto y la participación minoritaria sugieren que el mercado no justifica la inversión plena, </w:t>
      </w:r>
      <w:proofErr w:type="spellStart"/>
      <w:r>
        <w:rPr>
          <w:color w:val="111111"/>
        </w:rPr>
        <w:t>Cibest</w:t>
      </w:r>
      <w:proofErr w:type="spellEnd"/>
      <w:r>
        <w:rPr>
          <w:color w:val="111111"/>
        </w:rPr>
        <w:t xml:space="preserve"> puede salir con pérdidas mucho menores que si hubiera entrado con </w:t>
      </w:r>
      <w:proofErr w:type="spellStart"/>
      <w:r>
        <w:rPr>
          <w:color w:val="111111"/>
        </w:rPr>
        <w:t>greenfield</w:t>
      </w:r>
      <w:proofErr w:type="spellEnd"/>
      <w:r>
        <w:rPr>
          <w:color w:val="111111"/>
        </w:rPr>
        <w:t xml:space="preserve"> desde el inicio.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2F4A" w14:paraId="2478E5B9" w14:textId="77777777" w:rsidTr="00800E51">
        <w:tc>
          <w:tcPr>
            <w:tcW w:w="9360" w:type="dxa"/>
            <w:tcBorders>
              <w:top w:val="single" w:sz="1" w:space="0" w:color="7D3C98"/>
              <w:left w:val="single" w:sz="1" w:space="0" w:color="7D3C98"/>
              <w:bottom w:val="single" w:sz="1" w:space="0" w:color="7D3C98"/>
              <w:right w:val="single" w:sz="1" w:space="0" w:color="7D3C98"/>
            </w:tcBorders>
            <w:shd w:val="clear" w:color="auto" w:fill="F3EEFB"/>
            <w:tcMar>
              <w:top w:w="140" w:type="dxa"/>
              <w:left w:w="220" w:type="dxa"/>
              <w:bottom w:w="140" w:type="dxa"/>
              <w:right w:w="220" w:type="dxa"/>
            </w:tcMar>
          </w:tcPr>
          <w:p w14:paraId="7CAEE355" w14:textId="77777777" w:rsidR="00182F4A" w:rsidRDefault="00182F4A" w:rsidP="001F40FE">
            <w:pPr>
              <w:spacing w:after="80"/>
            </w:pPr>
            <w:proofErr w:type="gramStart"/>
            <w:r>
              <w:rPr>
                <w:b/>
                <w:bCs/>
                <w:caps/>
                <w:color w:val="4A235A"/>
                <w:sz w:val="20"/>
                <w:szCs w:val="20"/>
              </w:rPr>
              <w:lastRenderedPageBreak/>
              <w:t>📐  Punto</w:t>
            </w:r>
            <w:proofErr w:type="gramEnd"/>
            <w:r>
              <w:rPr>
                <w:b/>
                <w:bCs/>
                <w:caps/>
                <w:color w:val="4A235A"/>
                <w:sz w:val="20"/>
                <w:szCs w:val="20"/>
              </w:rPr>
              <w:t xml:space="preserve"> de articulación con el proceso de due diligence (Sección 10)</w:t>
            </w:r>
          </w:p>
          <w:p w14:paraId="5C542E16" w14:textId="77777777" w:rsidR="00182F4A" w:rsidRDefault="00182F4A" w:rsidP="001F40FE">
            <w:pPr>
              <w:spacing w:after="60"/>
              <w:jc w:val="both"/>
            </w:pPr>
            <w:r>
              <w:rPr>
                <w:color w:val="1A1A1A"/>
                <w:sz w:val="20"/>
                <w:szCs w:val="20"/>
              </w:rPr>
              <w:t xml:space="preserve">La selección del modo de entrada tiene implicaciones directas sobre el alcance del </w:t>
            </w:r>
            <w:proofErr w:type="spellStart"/>
            <w:r>
              <w:rPr>
                <w:color w:val="1A1A1A"/>
                <w:sz w:val="20"/>
                <w:szCs w:val="20"/>
              </w:rPr>
              <w:t>due</w:t>
            </w:r>
            <w:proofErr w:type="spellEnd"/>
            <w:r>
              <w:rPr>
                <w:color w:val="1A1A1A"/>
                <w:sz w:val="20"/>
                <w:szCs w:val="20"/>
              </w:rPr>
              <w:t xml:space="preserve"> </w:t>
            </w:r>
            <w:proofErr w:type="spellStart"/>
            <w:r>
              <w:rPr>
                <w:color w:val="1A1A1A"/>
                <w:sz w:val="20"/>
                <w:szCs w:val="20"/>
              </w:rPr>
              <w:t>diligence</w:t>
            </w:r>
            <w:proofErr w:type="spellEnd"/>
            <w:r>
              <w:rPr>
                <w:color w:val="1A1A1A"/>
                <w:sz w:val="20"/>
                <w:szCs w:val="20"/>
              </w:rPr>
              <w:t xml:space="preserve"> formal que debe realizarse antes de ejecutar la decisión. Un </w:t>
            </w:r>
            <w:proofErr w:type="spellStart"/>
            <w:r>
              <w:rPr>
                <w:color w:val="1A1A1A"/>
                <w:sz w:val="20"/>
                <w:szCs w:val="20"/>
              </w:rPr>
              <w:t>greenfield</w:t>
            </w:r>
            <w:proofErr w:type="spellEnd"/>
            <w:r>
              <w:rPr>
                <w:color w:val="1A1A1A"/>
                <w:sz w:val="20"/>
                <w:szCs w:val="20"/>
              </w:rPr>
              <w:t xml:space="preserve"> o una adquisición mayoritaria requieren un </w:t>
            </w:r>
            <w:proofErr w:type="spellStart"/>
            <w:r>
              <w:rPr>
                <w:color w:val="1A1A1A"/>
                <w:sz w:val="20"/>
                <w:szCs w:val="20"/>
              </w:rPr>
              <w:t>due</w:t>
            </w:r>
            <w:proofErr w:type="spellEnd"/>
            <w:r>
              <w:rPr>
                <w:color w:val="1A1A1A"/>
                <w:sz w:val="20"/>
                <w:szCs w:val="20"/>
              </w:rPr>
              <w:t xml:space="preserve"> </w:t>
            </w:r>
            <w:proofErr w:type="spellStart"/>
            <w:r>
              <w:rPr>
                <w:color w:val="1A1A1A"/>
                <w:sz w:val="20"/>
                <w:szCs w:val="20"/>
              </w:rPr>
              <w:t>diligence</w:t>
            </w:r>
            <w:proofErr w:type="spellEnd"/>
            <w:r>
              <w:rPr>
                <w:color w:val="1A1A1A"/>
                <w:sz w:val="20"/>
                <w:szCs w:val="20"/>
              </w:rPr>
              <w:t xml:space="preserve"> regulatorio, financiero y de mercado de máximo rigor y profundidad — incluyendo la auditoría de la institución </w:t>
            </w:r>
            <w:proofErr w:type="gramStart"/>
            <w:r>
              <w:rPr>
                <w:color w:val="1A1A1A"/>
                <w:sz w:val="20"/>
                <w:szCs w:val="20"/>
              </w:rPr>
              <w:t>target</w:t>
            </w:r>
            <w:proofErr w:type="gramEnd"/>
            <w:r>
              <w:rPr>
                <w:color w:val="1A1A1A"/>
                <w:sz w:val="20"/>
                <w:szCs w:val="20"/>
              </w:rPr>
              <w:t xml:space="preserve"> en caso de adquisición — que puede tomar de tres a seis meses. Un lanzamiento digital o un piloto comercial requieren un </w:t>
            </w:r>
            <w:proofErr w:type="spellStart"/>
            <w:r>
              <w:rPr>
                <w:color w:val="1A1A1A"/>
                <w:sz w:val="20"/>
                <w:szCs w:val="20"/>
              </w:rPr>
              <w:t>due</w:t>
            </w:r>
            <w:proofErr w:type="spellEnd"/>
            <w:r>
              <w:rPr>
                <w:color w:val="1A1A1A"/>
                <w:sz w:val="20"/>
                <w:szCs w:val="20"/>
              </w:rPr>
              <w:t xml:space="preserve"> </w:t>
            </w:r>
            <w:proofErr w:type="spellStart"/>
            <w:r>
              <w:rPr>
                <w:color w:val="1A1A1A"/>
                <w:sz w:val="20"/>
                <w:szCs w:val="20"/>
              </w:rPr>
              <w:t>diligence</w:t>
            </w:r>
            <w:proofErr w:type="spellEnd"/>
            <w:r>
              <w:rPr>
                <w:color w:val="1A1A1A"/>
                <w:sz w:val="20"/>
                <w:szCs w:val="20"/>
              </w:rPr>
              <w:t xml:space="preserve"> más ágil y focalizado, centrado en la viabilidad regulatoria del modelo digital específico y en la validación de los supuestos de demanda más críticos. El alcance del </w:t>
            </w:r>
            <w:proofErr w:type="spellStart"/>
            <w:r>
              <w:rPr>
                <w:color w:val="1A1A1A"/>
                <w:sz w:val="20"/>
                <w:szCs w:val="20"/>
              </w:rPr>
              <w:t>due</w:t>
            </w:r>
            <w:proofErr w:type="spellEnd"/>
            <w:r>
              <w:rPr>
                <w:color w:val="1A1A1A"/>
                <w:sz w:val="20"/>
                <w:szCs w:val="20"/>
              </w:rPr>
              <w:t xml:space="preserve"> </w:t>
            </w:r>
            <w:proofErr w:type="spellStart"/>
            <w:r>
              <w:rPr>
                <w:color w:val="1A1A1A"/>
                <w:sz w:val="20"/>
                <w:szCs w:val="20"/>
              </w:rPr>
              <w:t>diligence</w:t>
            </w:r>
            <w:proofErr w:type="spellEnd"/>
            <w:r>
              <w:rPr>
                <w:color w:val="1A1A1A"/>
                <w:sz w:val="20"/>
                <w:szCs w:val="20"/>
              </w:rPr>
              <w:t xml:space="preserve"> se define en función del modo de entrada aprobado por el Comité Ejecutivo en la sesión de la Fase 6.</w:t>
            </w:r>
          </w:p>
        </w:tc>
      </w:tr>
    </w:tbl>
    <w:p w14:paraId="4D11BAFB" w14:textId="77777777" w:rsidR="00182F4A" w:rsidRDefault="00182F4A" w:rsidP="00182F4A">
      <w:pPr>
        <w:spacing w:after="100"/>
      </w:pPr>
    </w:p>
    <w:p w14:paraId="3C3F01AE" w14:textId="77777777" w:rsidR="00182F4A" w:rsidRDefault="00182F4A" w:rsidP="00182F4A">
      <w:pPr>
        <w:pStyle w:val="Ttulo2"/>
        <w:pBdr>
          <w:bottom w:val="single" w:sz="4" w:space="4" w:color="E8B931"/>
        </w:pBdr>
      </w:pPr>
      <w:bookmarkStart w:id="84" w:name="_Toc232659633"/>
      <w:proofErr w:type="gramStart"/>
      <w:r>
        <w:t>9.5  Entregables</w:t>
      </w:r>
      <w:proofErr w:type="gramEnd"/>
      <w:r>
        <w:t>, participantes y tiempo</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82F4A" w14:paraId="373064D9"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58304986" w14:textId="77777777" w:rsidR="00182F4A" w:rsidRDefault="00182F4A" w:rsidP="001F40FE">
            <w:r>
              <w:rPr>
                <w:b/>
                <w:bCs/>
                <w:color w:val="FFFFFF"/>
                <w:sz w:val="20"/>
                <w:szCs w:val="20"/>
              </w:rPr>
              <w:t>Elemento</w:t>
            </w:r>
          </w:p>
        </w:tc>
        <w:tc>
          <w:tcPr>
            <w:tcW w:w="716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4F81874D" w14:textId="77777777" w:rsidR="00182F4A" w:rsidRDefault="00182F4A" w:rsidP="001F40FE">
            <w:r>
              <w:rPr>
                <w:b/>
                <w:bCs/>
                <w:color w:val="FFFFFF"/>
                <w:sz w:val="20"/>
                <w:szCs w:val="20"/>
              </w:rPr>
              <w:t>Descripción</w:t>
            </w:r>
          </w:p>
        </w:tc>
      </w:tr>
      <w:tr w:rsidR="00182F4A" w14:paraId="1F7C3AB2"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699A46F" w14:textId="77777777" w:rsidR="00182F4A" w:rsidRDefault="00182F4A" w:rsidP="001F40FE">
            <w:r>
              <w:rPr>
                <w:b/>
                <w:bCs/>
                <w:color w:val="111111"/>
                <w:sz w:val="20"/>
                <w:szCs w:val="20"/>
              </w:rPr>
              <w:t>Entregable 1: Análisis comparativo de modos de entrada</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F461ABA" w14:textId="77777777" w:rsidR="00182F4A" w:rsidRDefault="00182F4A" w:rsidP="001F40FE">
            <w:r>
              <w:rPr>
                <w:color w:val="111111"/>
                <w:sz w:val="20"/>
                <w:szCs w:val="20"/>
              </w:rPr>
              <w:t>Para cada mercado candidato final y cada línea de negocio con señal de oportunidad: una tabla comparativa de los modos de entrada aplicables, evaluados en los cuatro criterios de selección (control deseado, velocidad requerida, riesgo aceptable y disponibilidad de socios locales). Incluye la recomendación preliminar del motor de reglas de RADAR y el análisis de la secuencia escalonada recomendada.</w:t>
            </w:r>
          </w:p>
        </w:tc>
      </w:tr>
      <w:tr w:rsidR="00182F4A" w14:paraId="49DF0617"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BE4926E" w14:textId="77777777" w:rsidR="00182F4A" w:rsidRDefault="00182F4A" w:rsidP="001F40FE">
            <w:r>
              <w:rPr>
                <w:b/>
                <w:bCs/>
                <w:color w:val="111111"/>
                <w:sz w:val="20"/>
                <w:szCs w:val="20"/>
              </w:rPr>
              <w:t>Entregable 2: Sección de modo de entrada en el Perfil Estratégico Integrado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AD28904" w14:textId="77777777" w:rsidR="00182F4A" w:rsidRDefault="00182F4A" w:rsidP="001F40FE">
            <w:r>
              <w:rPr>
                <w:color w:val="111111"/>
                <w:sz w:val="20"/>
                <w:szCs w:val="20"/>
              </w:rPr>
              <w:t xml:space="preserve">El análisis de modo de entrada se integra como el quinto componente del Perfil Estratégico Integrado de cada mercado candidato (descrito en la Sección 8.2), de modo que el Comité Ejecutivo tenga en un solo documento todos los elementos necesarios para la decisión de avance a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 xml:space="preserve"> formal.</w:t>
            </w:r>
          </w:p>
        </w:tc>
      </w:tr>
      <w:tr w:rsidR="00182F4A" w14:paraId="739B0535"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BF97D92" w14:textId="77777777" w:rsidR="00182F4A" w:rsidRDefault="00182F4A" w:rsidP="001F40FE">
            <w:r>
              <w:rPr>
                <w:b/>
                <w:bCs/>
                <w:color w:val="111111"/>
                <w:sz w:val="20"/>
                <w:szCs w:val="20"/>
              </w:rPr>
              <w:t>Participantes</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D52FC03" w14:textId="77777777" w:rsidR="00182F4A" w:rsidRDefault="00182F4A" w:rsidP="001F40FE">
            <w:proofErr w:type="spellStart"/>
            <w:proofErr w:type="gramStart"/>
            <w:r>
              <w:rPr>
                <w:color w:val="111111"/>
                <w:sz w:val="20"/>
                <w:szCs w:val="20"/>
              </w:rPr>
              <w:t>Co-líderes</w:t>
            </w:r>
            <w:proofErr w:type="spellEnd"/>
            <w:proofErr w:type="gramEnd"/>
            <w:r>
              <w:rPr>
                <w:color w:val="111111"/>
                <w:sz w:val="20"/>
                <w:szCs w:val="20"/>
              </w:rPr>
              <w:t xml:space="preserve"> de RADAR </w:t>
            </w:r>
            <w:proofErr w:type="spellStart"/>
            <w:r>
              <w:rPr>
                <w:color w:val="111111"/>
                <w:sz w:val="20"/>
                <w:szCs w:val="20"/>
              </w:rPr>
              <w:t>Cibest</w:t>
            </w:r>
            <w:proofErr w:type="spellEnd"/>
            <w:r>
              <w:rPr>
                <w:color w:val="111111"/>
                <w:sz w:val="20"/>
                <w:szCs w:val="20"/>
              </w:rPr>
              <w:t xml:space="preserve"> (análisis de modos y redacción de la sección en el Perfil). Asesor legal externo (confirmación de viabilidad regulatoria del modo recomendado en el mercado específico — consulta de 1-2 días por mercado). Director de Estrategia Corporativa (revisión). Comité Ejecutivo (decisión de modo de entrada en la sesión de la Fase 6).</w:t>
            </w:r>
          </w:p>
        </w:tc>
      </w:tr>
      <w:tr w:rsidR="00182F4A" w14:paraId="7F9443BB"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D23C7DA" w14:textId="77777777" w:rsidR="00182F4A" w:rsidRDefault="00182F4A" w:rsidP="001F40FE">
            <w:r>
              <w:rPr>
                <w:b/>
                <w:bCs/>
                <w:color w:val="111111"/>
                <w:sz w:val="20"/>
                <w:szCs w:val="20"/>
              </w:rPr>
              <w:t>Tiempo estimado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0B6CAF2" w14:textId="77777777" w:rsidR="00182F4A" w:rsidRDefault="00182F4A" w:rsidP="001F40FE">
            <w:r>
              <w:rPr>
                <w:color w:val="111111"/>
                <w:sz w:val="20"/>
                <w:szCs w:val="20"/>
              </w:rPr>
              <w:t>2 semanas, ejecutadas en paralelo con la producción de los Perfiles Estratégicos Integrados de la Fase 6. La mayor parte del análisis de modos de entrada está fundamentada en información ya disponible del proceso anterior; el componente adicional es la verificación legal del modo recomendado para el mercado específico, que puede hacerse en 2-3 días por mercado con el asesor legal externo.</w:t>
            </w:r>
          </w:p>
        </w:tc>
      </w:tr>
    </w:tbl>
    <w:p w14:paraId="75F76860" w14:textId="77777777" w:rsidR="00182F4A" w:rsidRDefault="00182F4A" w:rsidP="00182F4A">
      <w:pPr>
        <w:spacing w:after="200"/>
      </w:pPr>
    </w:p>
    <w:p w14:paraId="2F6C119A" w14:textId="77777777" w:rsidR="00182F4A" w:rsidRDefault="00182F4A" w:rsidP="00182F4A">
      <w:pPr>
        <w:spacing w:before="240" w:after="60"/>
        <w:jc w:val="center"/>
      </w:pPr>
      <w:r>
        <w:rPr>
          <w:i/>
          <w:iCs/>
          <w:color w:val="888888"/>
          <w:sz w:val="18"/>
          <w:szCs w:val="18"/>
        </w:rPr>
        <w:t>— Fin de las Secciones 7 a 9 —</w:t>
      </w:r>
    </w:p>
    <w:p w14:paraId="5FEC1BFB" w14:textId="77777777" w:rsidR="00182F4A" w:rsidRDefault="00182F4A" w:rsidP="00182F4A">
      <w:pPr>
        <w:spacing w:after="240"/>
        <w:jc w:val="center"/>
      </w:pPr>
      <w:r>
        <w:rPr>
          <w:i/>
          <w:iCs/>
          <w:color w:val="888888"/>
          <w:sz w:val="18"/>
          <w:szCs w:val="18"/>
        </w:rPr>
        <w:t xml:space="preserve">Próximas secciones: Sección 10 — Due </w:t>
      </w:r>
      <w:proofErr w:type="spellStart"/>
      <w:proofErr w:type="gramStart"/>
      <w:r>
        <w:rPr>
          <w:i/>
          <w:iCs/>
          <w:color w:val="888888"/>
          <w:sz w:val="18"/>
          <w:szCs w:val="18"/>
        </w:rPr>
        <w:t>Diligence</w:t>
      </w:r>
      <w:proofErr w:type="spellEnd"/>
      <w:r>
        <w:rPr>
          <w:i/>
          <w:iCs/>
          <w:color w:val="888888"/>
          <w:sz w:val="18"/>
          <w:szCs w:val="18"/>
        </w:rPr>
        <w:t xml:space="preserve">  |</w:t>
      </w:r>
      <w:proofErr w:type="gramEnd"/>
      <w:r>
        <w:rPr>
          <w:i/>
          <w:iCs/>
          <w:color w:val="888888"/>
          <w:sz w:val="18"/>
          <w:szCs w:val="18"/>
        </w:rPr>
        <w:t xml:space="preserve">  Sección 11 — Sesgos y cómo </w:t>
      </w:r>
      <w:proofErr w:type="gramStart"/>
      <w:r>
        <w:rPr>
          <w:i/>
          <w:iCs/>
          <w:color w:val="888888"/>
          <w:sz w:val="18"/>
          <w:szCs w:val="18"/>
        </w:rPr>
        <w:t>evitarlos  |</w:t>
      </w:r>
      <w:proofErr w:type="gramEnd"/>
      <w:r>
        <w:rPr>
          <w:i/>
          <w:iCs/>
          <w:color w:val="888888"/>
          <w:sz w:val="18"/>
          <w:szCs w:val="18"/>
        </w:rPr>
        <w:t xml:space="preserve">  Sección 12 — Limitaciones del </w:t>
      </w:r>
      <w:proofErr w:type="gramStart"/>
      <w:r>
        <w:rPr>
          <w:i/>
          <w:iCs/>
          <w:color w:val="888888"/>
          <w:sz w:val="18"/>
          <w:szCs w:val="18"/>
        </w:rPr>
        <w:t>modelo  |</w:t>
      </w:r>
      <w:proofErr w:type="gramEnd"/>
      <w:r>
        <w:rPr>
          <w:i/>
          <w:iCs/>
          <w:color w:val="888888"/>
          <w:sz w:val="18"/>
          <w:szCs w:val="18"/>
        </w:rPr>
        <w:t xml:space="preserve">  Sección 13 — Gobernanza y </w:t>
      </w:r>
      <w:proofErr w:type="gramStart"/>
      <w:r>
        <w:rPr>
          <w:i/>
          <w:iCs/>
          <w:color w:val="888888"/>
          <w:sz w:val="18"/>
          <w:szCs w:val="18"/>
        </w:rPr>
        <w:t>cronograma  |</w:t>
      </w:r>
      <w:proofErr w:type="gramEnd"/>
      <w:r>
        <w:rPr>
          <w:i/>
          <w:iCs/>
          <w:color w:val="888888"/>
          <w:sz w:val="18"/>
          <w:szCs w:val="18"/>
        </w:rPr>
        <w:t xml:space="preserve">  Secciones 14-16 — Actualización continua, Glosario y Bibliografía</w:t>
      </w:r>
    </w:p>
    <w:p w14:paraId="65A8A7F1" w14:textId="77777777" w:rsidR="00933177" w:rsidRDefault="00933177">
      <w:pPr>
        <w:spacing w:after="240"/>
        <w:jc w:val="center"/>
      </w:pPr>
    </w:p>
    <w:p w14:paraId="67D8F459" w14:textId="77777777" w:rsidR="00182F4A" w:rsidRDefault="00182F4A">
      <w:pPr>
        <w:spacing w:after="240"/>
        <w:jc w:val="center"/>
      </w:pPr>
    </w:p>
    <w:p w14:paraId="19B39C54" w14:textId="77777777" w:rsidR="00182F4A" w:rsidRDefault="00182F4A">
      <w:pPr>
        <w:spacing w:after="240"/>
        <w:jc w:val="center"/>
      </w:pPr>
    </w:p>
    <w:p w14:paraId="0317802F" w14:textId="230AAF22" w:rsidR="0066201C" w:rsidRDefault="0066201C" w:rsidP="0066201C">
      <w:pPr>
        <w:spacing w:after="80"/>
        <w:jc w:val="center"/>
      </w:pPr>
      <w:r>
        <w:rPr>
          <w:caps/>
          <w:color w:val="888888"/>
          <w:sz w:val="18"/>
          <w:szCs w:val="18"/>
        </w:rPr>
        <w:lastRenderedPageBreak/>
        <w:t xml:space="preserve">RADAR CIBEST — </w:t>
      </w:r>
      <w:r w:rsidR="00AA01B4">
        <w:rPr>
          <w:caps/>
          <w:color w:val="888888"/>
          <w:sz w:val="18"/>
          <w:szCs w:val="18"/>
        </w:rPr>
        <w:t>DOCUMENTO</w:t>
      </w:r>
      <w:r>
        <w:rPr>
          <w:caps/>
          <w:color w:val="888888"/>
          <w:sz w:val="18"/>
          <w:szCs w:val="18"/>
        </w:rPr>
        <w:t xml:space="preserve"> | SECCIONES 10 A 16 — CIERRE COMPLETO</w:t>
      </w:r>
    </w:p>
    <w:p w14:paraId="379D351C" w14:textId="77777777" w:rsidR="0066201C" w:rsidRDefault="0066201C" w:rsidP="0066201C">
      <w:pPr>
        <w:pBdr>
          <w:bottom w:val="single" w:sz="6" w:space="1" w:color="E8B931"/>
        </w:pBdr>
        <w:spacing w:after="300"/>
      </w:pPr>
    </w:p>
    <w:p w14:paraId="250B4932" w14:textId="77777777" w:rsidR="0066201C" w:rsidRPr="00460847" w:rsidRDefault="0066201C" w:rsidP="0066201C">
      <w:pPr>
        <w:pStyle w:val="Ttulo1"/>
        <w:ind w:left="200" w:right="200"/>
        <w:rPr>
          <w:color w:val="auto"/>
        </w:rPr>
      </w:pPr>
      <w:bookmarkStart w:id="85" w:name="_Toc232659634"/>
      <w:r w:rsidRPr="00460847">
        <w:rPr>
          <w:color w:val="auto"/>
        </w:rPr>
        <w:t>Sección 10 — Fase 8: Due Diligence y Validación Final</w:t>
      </w:r>
      <w:bookmarkEnd w:id="85"/>
    </w:p>
    <w:p w14:paraId="3D03BB5C" w14:textId="77777777" w:rsidR="0066201C" w:rsidRDefault="0066201C" w:rsidP="0066201C">
      <w:pPr>
        <w:spacing w:after="100"/>
      </w:pPr>
    </w:p>
    <w:p w14:paraId="53379B1A" w14:textId="77777777" w:rsidR="0066201C" w:rsidRDefault="0066201C" w:rsidP="0066201C">
      <w:pPr>
        <w:spacing w:before="140" w:after="140" w:line="320" w:lineRule="auto"/>
        <w:jc w:val="both"/>
      </w:pPr>
      <w:r>
        <w:rPr>
          <w:color w:val="111111"/>
        </w:rPr>
        <w:t xml:space="preserve">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es la fase donde las señales del proceso SIM se convierten en certezas verificadas. Si las fases anteriores han producido el mapa del territorio — identificando cuáles mercados son atractivos para </w:t>
      </w:r>
      <w:proofErr w:type="spellStart"/>
      <w:r>
        <w:rPr>
          <w:color w:val="111111"/>
        </w:rPr>
        <w:t>Cibest</w:t>
      </w:r>
      <w:proofErr w:type="spellEnd"/>
      <w:r>
        <w:rPr>
          <w:color w:val="111111"/>
        </w:rPr>
        <w:t xml:space="preserve">, cuáles líneas de negocio tienen mayor oportunidad en cada uno, qué capacidades internas existen y cuál es el modo de entrada más apropiado —, 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es el trabajo de campo que verifica que el territorio es realmente como el mapa lo describe. Ningún análisis cuantitativo, ninguna inteligencia cualitativa de escritorio y ninguna </w:t>
      </w:r>
      <w:proofErr w:type="spellStart"/>
      <w:proofErr w:type="gramStart"/>
      <w:r>
        <w:rPr>
          <w:color w:val="111111"/>
        </w:rPr>
        <w:t>auto-evaluación</w:t>
      </w:r>
      <w:proofErr w:type="spellEnd"/>
      <w:proofErr w:type="gramEnd"/>
      <w:r>
        <w:rPr>
          <w:color w:val="111111"/>
        </w:rPr>
        <w:t xml:space="preserve"> de capacidades puede sustituir la verificación directa de los supuestos sobre los que descansa la decisión de entrada. Esta fase es, en consecuencia, la más costosa en tiempo y recursos del proceso SIM, y la que más directamente antecede a la decisión de inversión.</w:t>
      </w:r>
    </w:p>
    <w:p w14:paraId="174616C1" w14:textId="77777777" w:rsidR="0066201C" w:rsidRDefault="0066201C" w:rsidP="0066201C">
      <w:pPr>
        <w:spacing w:before="140" w:after="140" w:line="320" w:lineRule="auto"/>
        <w:jc w:val="both"/>
      </w:pPr>
      <w:r>
        <w:rPr>
          <w:color w:val="111111"/>
        </w:rPr>
        <w:t xml:space="preserve">Es importante distinguir 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del proceso SIM del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de adquisición que se realiza cuando el modo de entrada es la compra de una institución financiera local. Este último — una auditoría exhaustiva de los estados financieros, la cartera de crédito, los pasivos contingentes y la situación regulatoria de la empresa </w:t>
      </w:r>
      <w:proofErr w:type="gramStart"/>
      <w:r>
        <w:rPr>
          <w:color w:val="111111"/>
        </w:rPr>
        <w:t>target</w:t>
      </w:r>
      <w:proofErr w:type="gramEnd"/>
      <w:r>
        <w:rPr>
          <w:color w:val="111111"/>
        </w:rPr>
        <w:t xml:space="preserve"> — es un componente de los modos de entrada de adquisición, pero no es el único tipo de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que el proceso SIM requiere. Incluso para modos de entrada como el lanzamiento digital o el </w:t>
      </w:r>
      <w:proofErr w:type="spellStart"/>
      <w:r>
        <w:rPr>
          <w:color w:val="111111"/>
        </w:rPr>
        <w:t>greenfield</w:t>
      </w:r>
      <w:proofErr w:type="spellEnd"/>
      <w:r>
        <w:rPr>
          <w:color w:val="111111"/>
        </w:rPr>
        <w:t xml:space="preserve">, donde no hay </w:t>
      </w:r>
      <w:proofErr w:type="gramStart"/>
      <w:r>
        <w:rPr>
          <w:color w:val="111111"/>
        </w:rPr>
        <w:t>target</w:t>
      </w:r>
      <w:proofErr w:type="gramEnd"/>
      <w:r>
        <w:rPr>
          <w:color w:val="111111"/>
        </w:rPr>
        <w:t xml:space="preserve"> que auditar, existen tres tipos de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que son indispensables antes de ejecutar cualquier decisión de entrada: el regulatorio, el de mercado y el financiero.</w:t>
      </w:r>
    </w:p>
    <w:p w14:paraId="76E3A993" w14:textId="77777777" w:rsidR="0066201C" w:rsidRDefault="0066201C" w:rsidP="0066201C">
      <w:pPr>
        <w:spacing w:after="100"/>
      </w:pPr>
    </w:p>
    <w:p w14:paraId="16ED66D7" w14:textId="77777777" w:rsidR="0066201C" w:rsidRDefault="0066201C" w:rsidP="0066201C">
      <w:pPr>
        <w:pStyle w:val="Ttulo2"/>
        <w:pBdr>
          <w:bottom w:val="single" w:sz="4" w:space="4" w:color="E8B931"/>
        </w:pBdr>
      </w:pPr>
      <w:bookmarkStart w:id="86" w:name="_Toc232659635"/>
      <w:proofErr w:type="gramStart"/>
      <w:r>
        <w:t>10.1  Due</w:t>
      </w:r>
      <w:proofErr w:type="gramEnd"/>
      <w:r>
        <w:t xml:space="preserve"> </w:t>
      </w:r>
      <w:proofErr w:type="spellStart"/>
      <w:r>
        <w:t>diligence</w:t>
      </w:r>
      <w:proofErr w:type="spellEnd"/>
      <w:r>
        <w:t xml:space="preserve"> regulatorio</w:t>
      </w:r>
      <w:bookmarkEnd w:id="86"/>
    </w:p>
    <w:p w14:paraId="2C8EF217" w14:textId="77777777" w:rsidR="0066201C" w:rsidRDefault="0066201C" w:rsidP="0066201C">
      <w:pPr>
        <w:spacing w:before="140" w:after="140" w:line="320" w:lineRule="auto"/>
        <w:jc w:val="both"/>
      </w:pPr>
      <w:r>
        <w:rPr>
          <w:color w:val="111111"/>
        </w:rPr>
        <w:t xml:space="preserve">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regulatorio responde la pregunta más crítica del proceso de entrada a un mercado financiero: ¿es realmente posible operar la línea de negocio proyectada en ese mercado, bajo la estructura propuesta, con el modo de entrada seleccionado, y en el horizonte de tiempo de la estrategia de </w:t>
      </w:r>
      <w:proofErr w:type="spellStart"/>
      <w:r>
        <w:rPr>
          <w:color w:val="111111"/>
        </w:rPr>
        <w:t>Cibest</w:t>
      </w:r>
      <w:proofErr w:type="spellEnd"/>
      <w:r>
        <w:rPr>
          <w:color w:val="111111"/>
        </w:rPr>
        <w:t xml:space="preserve">? Esta pregunta puede parecer redundante — si la viabilidad regulatoria básica fue evaluada en la Fase 2 del proceso SIM —, pero el nivel de profundidad es radicalmente diferente. La Fase 2 evaluó si la entrada es legalmente posible en principio; 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regulatorio evalúa si es legalmente posible en la práctica, con la estructura específica, en las condiciones actuales del regulador, con los precedentes existentes.</w:t>
      </w:r>
    </w:p>
    <w:p w14:paraId="02EA27BD" w14:textId="77777777" w:rsidR="0066201C" w:rsidRDefault="0066201C" w:rsidP="0066201C">
      <w:pPr>
        <w:spacing w:before="140" w:after="140" w:line="320" w:lineRule="auto"/>
        <w:jc w:val="both"/>
      </w:pPr>
      <w:r>
        <w:rPr>
          <w:color w:val="111111"/>
        </w:rPr>
        <w:lastRenderedPageBreak/>
        <w:t xml:space="preserve">La distinción es importante y puede ser la diferencia entre una decisión de entrada y un proyecto abortado: un mercado puede permitir en su ley bancaria la IED en banca comercial, pero si el regulador no ha otorgado ninguna licencia a un banco extranjero en los últimos cinco años y no hay señales de que esté dispuesto a hacerlo, la viabilidad legal no se traduce en viabilidad práctica. 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regulatorio debe ser realizado por un bufete de abogados con presencia física en el mercado destino y experiencia específica en regulación financiera local — no por el bufete de Bogotá de </w:t>
      </w:r>
      <w:proofErr w:type="spellStart"/>
      <w:r>
        <w:rPr>
          <w:color w:val="111111"/>
        </w:rPr>
        <w:t>Cibest</w:t>
      </w:r>
      <w:proofErr w:type="spellEnd"/>
      <w:r>
        <w:rPr>
          <w:color w:val="111111"/>
        </w:rPr>
        <w:t xml:space="preserve"> con conocimiento de la regulación colombiana — porque el conocimiento de las posiciones informales del regulador, de sus precedentes recientes y de sus criterios de decisión no documentados es tan importante como el conocimiento de la ley formal.</w:t>
      </w:r>
    </w:p>
    <w:p w14:paraId="6C0326CB" w14:textId="77777777" w:rsidR="0066201C" w:rsidRDefault="0066201C" w:rsidP="0066201C">
      <w:pPr>
        <w:spacing w:before="140" w:after="140" w:line="320" w:lineRule="auto"/>
        <w:jc w:val="both"/>
      </w:pPr>
      <w:r>
        <w:rPr>
          <w:color w:val="111111"/>
        </w:rPr>
        <w:t xml:space="preserve">Los entregables específicos del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regulatorio varían según el modo de entrada, pero en todos los casos deben responder las siguientes preguntas fundamentales: ¿Cuáles son los requisitos exactos de capital mínimo, gobierno corporativo, composición accionarial y estructura organizacional que el regulador exige para la licencia aplicable? ¿Cuánto tiempo toma el proceso de licenciamiento, cuáles son sus etapas formales e informales, y cuáles son las causas más frecuentes de rechazo o demora? ¿Qué restricciones operativas aplicará el regulador a la nueva entidad — límites de concentración de cartera, restricciones de portafolio, requisitos de liquidez local — que deben incorporarse en el modelo financiero de la operación? ¿Existe algún precedente regulatorio reciente que afecte la viabilidad del modelo de negocio específico de </w:t>
      </w:r>
      <w:proofErr w:type="spellStart"/>
      <w:r>
        <w:rPr>
          <w:color w:val="111111"/>
        </w:rPr>
        <w:t>Cibest</w:t>
      </w:r>
      <w:proofErr w:type="spellEnd"/>
      <w:r>
        <w:rPr>
          <w:color w:val="111111"/>
        </w:rPr>
        <w:t xml:space="preserve"> — una entidad similar que fue rechazada, una nueva normativa que cambió las condiciones de entrada, un régimen de </w:t>
      </w:r>
      <w:proofErr w:type="spellStart"/>
      <w:r>
        <w:rPr>
          <w:color w:val="111111"/>
        </w:rPr>
        <w:t>sandbox</w:t>
      </w:r>
      <w:proofErr w:type="spellEnd"/>
      <w:r>
        <w:rPr>
          <w:color w:val="111111"/>
        </w:rPr>
        <w:t xml:space="preserve"> que abre una ventana alternativa?</w:t>
      </w:r>
    </w:p>
    <w:p w14:paraId="4FF42F3C" w14:textId="77777777" w:rsidR="0066201C" w:rsidRDefault="0066201C" w:rsidP="0066201C">
      <w:pPr>
        <w:spacing w:after="100"/>
      </w:pPr>
    </w:p>
    <w:p w14:paraId="65C4FA85" w14:textId="77777777" w:rsidR="0066201C" w:rsidRDefault="0066201C" w:rsidP="0066201C">
      <w:pPr>
        <w:pStyle w:val="Ttulo2"/>
        <w:pBdr>
          <w:bottom w:val="single" w:sz="4" w:space="4" w:color="E8B931"/>
        </w:pBdr>
      </w:pPr>
      <w:bookmarkStart w:id="87" w:name="_Toc232659636"/>
      <w:proofErr w:type="gramStart"/>
      <w:r>
        <w:t>10.2  Due</w:t>
      </w:r>
      <w:proofErr w:type="gramEnd"/>
      <w:r>
        <w:t xml:space="preserve"> </w:t>
      </w:r>
      <w:proofErr w:type="spellStart"/>
      <w:r>
        <w:t>diligence</w:t>
      </w:r>
      <w:proofErr w:type="spellEnd"/>
      <w:r>
        <w:t xml:space="preserve"> de mercado y cliente</w:t>
      </w:r>
      <w:bookmarkEnd w:id="87"/>
    </w:p>
    <w:p w14:paraId="50CBA578" w14:textId="77777777" w:rsidR="0066201C" w:rsidRDefault="0066201C" w:rsidP="0066201C">
      <w:pPr>
        <w:spacing w:before="140" w:after="140" w:line="320" w:lineRule="auto"/>
        <w:jc w:val="both"/>
      </w:pPr>
      <w:r>
        <w:rPr>
          <w:color w:val="111111"/>
        </w:rPr>
        <w:t xml:space="preserve">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de mercado verifica los supuestos de demanda sobre los que descansa el modelo financiero de la operación. Si el modelo proyecta capturar el tres por ciento del mercado de crédito de consumo en cinco años, 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de mercado verifica que ese mercado existe, que tiene el tamaño proyectado, que el segmento objetivo no está ya plenamente atendido por los incumbentes, y que el precio, el producto y el canal que </w:t>
      </w:r>
      <w:proofErr w:type="spellStart"/>
      <w:r>
        <w:rPr>
          <w:color w:val="111111"/>
        </w:rPr>
        <w:t>Cibest</w:t>
      </w:r>
      <w:proofErr w:type="spellEnd"/>
      <w:r>
        <w:rPr>
          <w:color w:val="111111"/>
        </w:rPr>
        <w:t xml:space="preserve"> planea ofrecer son los que ese segmento efectivamente demanda. Esta verificación no puede hacerse únicamente con datos estadísticos del modelo RADAR — que capturan el mercado en agregado — sino que requiere investigación primaria de mercado: encuestas a clientes potenciales, entrevistas con </w:t>
      </w:r>
      <w:proofErr w:type="spellStart"/>
      <w:r>
        <w:rPr>
          <w:color w:val="111111"/>
        </w:rPr>
        <w:t>brokers</w:t>
      </w:r>
      <w:proofErr w:type="spellEnd"/>
      <w:r>
        <w:rPr>
          <w:color w:val="111111"/>
        </w:rPr>
        <w:t xml:space="preserve"> y distribuidores locales, análisis de los precios y productos de los competidores actuales, y en algunos casos grupos focales con el segmento objetivo.</w:t>
      </w:r>
    </w:p>
    <w:p w14:paraId="2F97CEAD" w14:textId="77777777" w:rsidR="0066201C" w:rsidRDefault="0066201C" w:rsidP="0066201C">
      <w:pPr>
        <w:spacing w:before="140" w:after="140" w:line="320" w:lineRule="auto"/>
        <w:jc w:val="both"/>
      </w:pPr>
      <w:r>
        <w:rPr>
          <w:color w:val="111111"/>
        </w:rPr>
        <w:t xml:space="preserve">Para la línea de Pagos y Flujos con foco en el corredor de remesas, 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de mercado debe incluir una investigación del ecosistema de operadores existentes en ese corredor: quiénes son, cuáles son sus precios, qué parte del corredor atienden y cuáles son las quejas </w:t>
      </w:r>
      <w:r>
        <w:rPr>
          <w:color w:val="111111"/>
        </w:rPr>
        <w:lastRenderedPageBreak/>
        <w:t xml:space="preserve">documentadas de los usuarios actuales. Esta información es la que permite a </w:t>
      </w:r>
      <w:proofErr w:type="spellStart"/>
      <w:r>
        <w:rPr>
          <w:color w:val="111111"/>
        </w:rPr>
        <w:t>Cibest</w:t>
      </w:r>
      <w:proofErr w:type="spellEnd"/>
      <w:r>
        <w:rPr>
          <w:color w:val="111111"/>
        </w:rPr>
        <w:t xml:space="preserve"> diseñar una propuesta de valor diferenciada — menor costo, mayor velocidad, mejor experiencia digital — que tenga probabilidades reales de capturar cuota de mercado. Sin esa investigación, el modelo financiero proyecta capturas de mercado que no tienen sustento en las condiciones competitivas reales del corredor. Para CIB, 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de mercado equivale a una investigación de los clientes corporativos colombianos con presencia en el mercado destino: cuáles son, qué servicios financieros usan actualmente, con quiénes los contratan, y si </w:t>
      </w:r>
      <w:proofErr w:type="gramStart"/>
      <w:r>
        <w:rPr>
          <w:color w:val="111111"/>
        </w:rPr>
        <w:t>estarían</w:t>
      </w:r>
      <w:proofErr w:type="gramEnd"/>
      <w:r>
        <w:rPr>
          <w:color w:val="111111"/>
        </w:rPr>
        <w:t xml:space="preserve"> dispuestos a considerar a </w:t>
      </w:r>
      <w:proofErr w:type="spellStart"/>
      <w:r>
        <w:rPr>
          <w:color w:val="111111"/>
        </w:rPr>
        <w:t>Cibest</w:t>
      </w:r>
      <w:proofErr w:type="spellEnd"/>
      <w:r>
        <w:rPr>
          <w:color w:val="111111"/>
        </w:rPr>
        <w:t xml:space="preserve"> como proveedor local de esos servicios.</w:t>
      </w:r>
    </w:p>
    <w:p w14:paraId="6DE093C5" w14:textId="77777777" w:rsidR="0066201C" w:rsidRDefault="0066201C" w:rsidP="0066201C">
      <w:pPr>
        <w:spacing w:after="100"/>
      </w:pPr>
    </w:p>
    <w:p w14:paraId="5B91CCFF" w14:textId="77777777" w:rsidR="0066201C" w:rsidRDefault="0066201C" w:rsidP="0066201C">
      <w:pPr>
        <w:pStyle w:val="Ttulo2"/>
        <w:pBdr>
          <w:bottom w:val="single" w:sz="4" w:space="4" w:color="E8B931"/>
        </w:pBdr>
      </w:pPr>
      <w:bookmarkStart w:id="88" w:name="_Toc232659637"/>
      <w:proofErr w:type="gramStart"/>
      <w:r>
        <w:t>10.3  Due</w:t>
      </w:r>
      <w:proofErr w:type="gramEnd"/>
      <w:r>
        <w:t xml:space="preserve"> </w:t>
      </w:r>
      <w:proofErr w:type="spellStart"/>
      <w:r>
        <w:t>diligence</w:t>
      </w:r>
      <w:proofErr w:type="spellEnd"/>
      <w:r>
        <w:t xml:space="preserve"> financiero y de riesgo</w:t>
      </w:r>
      <w:bookmarkEnd w:id="88"/>
    </w:p>
    <w:p w14:paraId="03724A27" w14:textId="77777777" w:rsidR="0066201C" w:rsidRDefault="0066201C" w:rsidP="0066201C">
      <w:pPr>
        <w:spacing w:before="140" w:after="140" w:line="320" w:lineRule="auto"/>
        <w:jc w:val="both"/>
      </w:pPr>
      <w:r>
        <w:rPr>
          <w:color w:val="111111"/>
        </w:rPr>
        <w:t xml:space="preserve">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financiero traduce todos los hallazgos del proceso SIM — condiciones del mercado, viabilidad regulatoria, supuestos de demanda, modo de entrada seleccionado — en un modelo financiero que proyecta los flujos de caja de la operación, los requerimientos de capital en cada etapa del desarrollo del negocio, los indicadores de rentabilidad proyectados y el período estimado hasta alcanzar el retorno sobre capital objetivo de </w:t>
      </w:r>
      <w:proofErr w:type="spellStart"/>
      <w:r>
        <w:rPr>
          <w:color w:val="111111"/>
        </w:rPr>
        <w:t>Cibest</w:t>
      </w:r>
      <w:proofErr w:type="spellEnd"/>
      <w:r>
        <w:rPr>
          <w:color w:val="111111"/>
        </w:rPr>
        <w:t>. La diferencia fundamental entre este modelo financiero y las proyecciones genéricas que frecuentemente se construyen en procesos de internacionalización es que incorpora explícitamente tres fuentes de riesgo que los modelos optimistas tienden a subestimar.</w:t>
      </w:r>
    </w:p>
    <w:p w14:paraId="529362C7" w14:textId="77777777" w:rsidR="0066201C" w:rsidRDefault="0066201C" w:rsidP="0066201C">
      <w:pPr>
        <w:spacing w:before="140" w:after="140" w:line="320" w:lineRule="auto"/>
        <w:jc w:val="both"/>
      </w:pPr>
      <w:r>
        <w:rPr>
          <w:color w:val="111111"/>
        </w:rPr>
        <w:t xml:space="preserve">La primera es el riesgo de la curva de aprendizaje documentada por Claessens y Van Horen (2014): los bancos entrantes son menos eficientes que los incumbentes durante los primeros años de operación, lo que se traduce en costos más altos y márgenes más bajos de lo que el benchmarking con el sistema bancario local sugeriría. El modelo financiero debe incorporar explícitamente un ajuste por curva de aprendizaje en los primeros tres a cinco años de operación. La segunda es el riesgo regulatorio de cambio: los marcos regulatorios en América Latina son más volátiles que los de los mercados desarrollados, y el modelo debe incluir escenarios de sensibilidad que evalúen el impacto de cambios regulatorios plausibles — aumento del capital mínimo requerido, nuevas restricciones de portafolio, cambios en el régimen de remesas — sobre la rentabilidad proyectada. La tercera es el riesgo cambiario: una operación en moneda local genera ingresos y costos en esa moneda, pero el capital de </w:t>
      </w:r>
      <w:proofErr w:type="spellStart"/>
      <w:r>
        <w:rPr>
          <w:color w:val="111111"/>
        </w:rPr>
        <w:t>Cibest</w:t>
      </w:r>
      <w:proofErr w:type="spellEnd"/>
      <w:r>
        <w:rPr>
          <w:color w:val="111111"/>
        </w:rPr>
        <w:t xml:space="preserve"> y sus métricas de retorno se miden en pesos colombianos o en dólares, y las fluctuaciones del tipo de cambio pueden deteriorar significativamente la rentabilidad consolidada </w:t>
      </w:r>
      <w:proofErr w:type="gramStart"/>
      <w:r>
        <w:rPr>
          <w:color w:val="111111"/>
        </w:rPr>
        <w:t>de la holding</w:t>
      </w:r>
      <w:proofErr w:type="gramEnd"/>
      <w:r>
        <w:rPr>
          <w:color w:val="111111"/>
        </w:rPr>
        <w:t xml:space="preserve"> incluso cuando la operación local está siendo rentable en moneda local.</w:t>
      </w:r>
    </w:p>
    <w:p w14:paraId="7B41575D" w14:textId="77777777" w:rsidR="0066201C" w:rsidRDefault="0066201C" w:rsidP="0066201C">
      <w:pPr>
        <w:spacing w:after="100"/>
      </w:pPr>
    </w:p>
    <w:p w14:paraId="14C17A48" w14:textId="77777777" w:rsidR="0066201C" w:rsidRDefault="0066201C" w:rsidP="0066201C">
      <w:pPr>
        <w:pStyle w:val="Ttulo2"/>
        <w:pBdr>
          <w:bottom w:val="single" w:sz="4" w:space="4" w:color="E8B931"/>
        </w:pBdr>
      </w:pPr>
      <w:bookmarkStart w:id="89" w:name="_Toc232659638"/>
      <w:proofErr w:type="gramStart"/>
      <w:r>
        <w:t>10.4  Cómo</w:t>
      </w:r>
      <w:proofErr w:type="gramEnd"/>
      <w:r>
        <w:t xml:space="preserve"> RADAR </w:t>
      </w:r>
      <w:proofErr w:type="spellStart"/>
      <w:r>
        <w:t>Cibest</w:t>
      </w:r>
      <w:proofErr w:type="spellEnd"/>
      <w:r>
        <w:t xml:space="preserve"> genera el input del </w:t>
      </w:r>
      <w:proofErr w:type="spellStart"/>
      <w:r>
        <w:t>due</w:t>
      </w:r>
      <w:proofErr w:type="spellEnd"/>
      <w:r>
        <w:t xml:space="preserve"> </w:t>
      </w:r>
      <w:proofErr w:type="spellStart"/>
      <w:r>
        <w:t>diligence</w:t>
      </w:r>
      <w:bookmarkEnd w:id="89"/>
      <w:proofErr w:type="spellEnd"/>
    </w:p>
    <w:p w14:paraId="5D7CDA6C" w14:textId="77777777" w:rsidR="0066201C" w:rsidRDefault="0066201C" w:rsidP="0066201C">
      <w:pPr>
        <w:spacing w:before="140" w:after="140" w:line="320" w:lineRule="auto"/>
        <w:jc w:val="both"/>
      </w:pPr>
      <w:r>
        <w:rPr>
          <w:color w:val="111111"/>
        </w:rPr>
        <w:lastRenderedPageBreak/>
        <w:t xml:space="preserve">El sistema RADAR </w:t>
      </w:r>
      <w:proofErr w:type="spellStart"/>
      <w:r>
        <w:rPr>
          <w:color w:val="111111"/>
        </w:rPr>
        <w:t>Cibest</w:t>
      </w:r>
      <w:proofErr w:type="spellEnd"/>
      <w:r>
        <w:rPr>
          <w:color w:val="111111"/>
        </w:rPr>
        <w:t xml:space="preserve"> contribuye al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de dos maneras específicas. La primera es la agenda de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el motor narrativo de la Fase B genera, para cada mercado candidato, una lista ordenada de las preguntas de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prioritarias, derivadas de las debilidades del perfil cuantitativo y de las señales contradictorias identificadas en la inteligencia cualitativa. Si un mercado tiene un score alto en atractivo general pero un score bajo en la dimensión institucional de Control de la Corrupción del WGI, la pregunta de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regulatorio es específica: ¿cuál es el riesgo de corrupción en el proceso de licenciamiento bancario en ese mercado, </w:t>
      </w:r>
      <w:proofErr w:type="gramStart"/>
      <w:r>
        <w:rPr>
          <w:color w:val="111111"/>
        </w:rPr>
        <w:t>cómo se ha manifestado en precedentes recientes, y cuál es la posición del bufete local sobre cómo gestionarlo?</w:t>
      </w:r>
      <w:proofErr w:type="gramEnd"/>
      <w:r>
        <w:rPr>
          <w:color w:val="111111"/>
        </w:rPr>
        <w:t xml:space="preserve"> Esta agenda permite al equipo legal y financiero concentrar su esfuerzo en las preguntas que más importan para la decisión, en lugar de realizar un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genérico que abarca todo por igual.</w:t>
      </w:r>
    </w:p>
    <w:p w14:paraId="19D438E7" w14:textId="77777777" w:rsidR="0066201C" w:rsidRDefault="0066201C" w:rsidP="0066201C">
      <w:pPr>
        <w:spacing w:before="140" w:after="140" w:line="320" w:lineRule="auto"/>
        <w:jc w:val="both"/>
      </w:pPr>
      <w:r>
        <w:rPr>
          <w:color w:val="111111"/>
        </w:rPr>
        <w:t xml:space="preserve">La segunda contribución de RADAR al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es el escenario base para el modelo financiero: el score en la dimensión Macroeconómica y Financiera del modelo proporciona el punto de partida para las proyecciones de crecimiento del mercado, penetración de crédito, márgenes y rentabilidad del sistema bancario que el equipo de finanzas usará para calibrar el modelo financiero de la operación. Estos supuestos macroeconómicos son más robustos cuando están anclados en los datos de las fuentes de RADAR — WDI del Banco Mundial, GFDD — que cuando se construyen ad hoc por el equipo de finanzas sin referencia a datos verificables.</w:t>
      </w:r>
    </w:p>
    <w:p w14:paraId="7D97BD52" w14:textId="77777777" w:rsidR="0066201C" w:rsidRDefault="0066201C" w:rsidP="0066201C">
      <w:pPr>
        <w:spacing w:after="100"/>
      </w:pPr>
    </w:p>
    <w:p w14:paraId="4146F6F6" w14:textId="77777777" w:rsidR="0066201C" w:rsidRDefault="0066201C" w:rsidP="0066201C">
      <w:pPr>
        <w:pStyle w:val="Ttulo2"/>
        <w:pBdr>
          <w:bottom w:val="single" w:sz="4" w:space="4" w:color="E8B931"/>
        </w:pBdr>
      </w:pPr>
      <w:bookmarkStart w:id="90" w:name="_Toc232659639"/>
      <w:proofErr w:type="gramStart"/>
      <w:r>
        <w:t>10.5  Entregables</w:t>
      </w:r>
      <w:proofErr w:type="gramEnd"/>
      <w:r>
        <w:t>, participantes y tiempo</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201C" w14:paraId="688D054E"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5A7D2517" w14:textId="77777777" w:rsidR="0066201C" w:rsidRDefault="0066201C" w:rsidP="001F40FE">
            <w:r>
              <w:rPr>
                <w:b/>
                <w:bCs/>
                <w:color w:val="FFFFFF"/>
                <w:sz w:val="20"/>
                <w:szCs w:val="20"/>
              </w:rPr>
              <w:t>Elemento</w:t>
            </w:r>
          </w:p>
        </w:tc>
        <w:tc>
          <w:tcPr>
            <w:tcW w:w="716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0E04C883" w14:textId="77777777" w:rsidR="0066201C" w:rsidRDefault="0066201C" w:rsidP="001F40FE">
            <w:r>
              <w:rPr>
                <w:b/>
                <w:bCs/>
                <w:color w:val="FFFFFF"/>
                <w:sz w:val="20"/>
                <w:szCs w:val="20"/>
              </w:rPr>
              <w:t>Descripción</w:t>
            </w:r>
          </w:p>
        </w:tc>
      </w:tr>
      <w:tr w:rsidR="0066201C" w14:paraId="5270EB3C"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51178A0" w14:textId="77777777" w:rsidR="0066201C" w:rsidRDefault="0066201C" w:rsidP="001F40FE">
            <w:r>
              <w:rPr>
                <w:b/>
                <w:bCs/>
                <w:color w:val="111111"/>
                <w:sz w:val="20"/>
                <w:szCs w:val="20"/>
              </w:rPr>
              <w:t xml:space="preserve">Entregable 1: Informe de </w:t>
            </w:r>
            <w:proofErr w:type="spellStart"/>
            <w:r>
              <w:rPr>
                <w:b/>
                <w:bCs/>
                <w:color w:val="111111"/>
                <w:sz w:val="20"/>
                <w:szCs w:val="20"/>
              </w:rPr>
              <w:t>due</w:t>
            </w:r>
            <w:proofErr w:type="spellEnd"/>
            <w:r>
              <w:rPr>
                <w:b/>
                <w:bCs/>
                <w:color w:val="111111"/>
                <w:sz w:val="20"/>
                <w:szCs w:val="20"/>
              </w:rPr>
              <w:t xml:space="preserve"> </w:t>
            </w:r>
            <w:proofErr w:type="spellStart"/>
            <w:r>
              <w:rPr>
                <w:b/>
                <w:bCs/>
                <w:color w:val="111111"/>
                <w:sz w:val="20"/>
                <w:szCs w:val="20"/>
              </w:rPr>
              <w:t>diligence</w:t>
            </w:r>
            <w:proofErr w:type="spellEnd"/>
            <w:r>
              <w:rPr>
                <w:b/>
                <w:bCs/>
                <w:color w:val="111111"/>
                <w:sz w:val="20"/>
                <w:szCs w:val="20"/>
              </w:rPr>
              <w:t xml:space="preserve"> regulatorio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A4D4C33" w14:textId="77777777" w:rsidR="0066201C" w:rsidRDefault="0066201C" w:rsidP="001F40FE">
            <w:r>
              <w:rPr>
                <w:color w:val="111111"/>
                <w:sz w:val="20"/>
                <w:szCs w:val="20"/>
              </w:rPr>
              <w:t xml:space="preserve">Por mercado candidato final. Producido por el bufete de abogados local contratado por </w:t>
            </w:r>
            <w:proofErr w:type="spellStart"/>
            <w:r>
              <w:rPr>
                <w:color w:val="111111"/>
                <w:sz w:val="20"/>
                <w:szCs w:val="20"/>
              </w:rPr>
              <w:t>Cibest</w:t>
            </w:r>
            <w:proofErr w:type="spellEnd"/>
            <w:r>
              <w:rPr>
                <w:color w:val="111111"/>
                <w:sz w:val="20"/>
                <w:szCs w:val="20"/>
              </w:rPr>
              <w:t>. Debe cubrir: estructura regulatoria aplicable, requisitos de capital y gobierno corporativo, tiempos y etapas del proceso de licenciamiento, restricciones operativas que aplicarán a la entidad, riesgos regulatorios identificados y su probabilidad de materialización, y recomendación legal sobre la viabilidad del modo de entrada propuesto.</w:t>
            </w:r>
          </w:p>
        </w:tc>
      </w:tr>
      <w:tr w:rsidR="0066201C" w14:paraId="57F51FE5"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0FD4B2A" w14:textId="77777777" w:rsidR="0066201C" w:rsidRDefault="0066201C" w:rsidP="001F40FE">
            <w:r>
              <w:rPr>
                <w:b/>
                <w:bCs/>
                <w:color w:val="111111"/>
                <w:sz w:val="20"/>
                <w:szCs w:val="20"/>
              </w:rPr>
              <w:t xml:space="preserve">Entregable 2: Informe de </w:t>
            </w:r>
            <w:proofErr w:type="spellStart"/>
            <w:r>
              <w:rPr>
                <w:b/>
                <w:bCs/>
                <w:color w:val="111111"/>
                <w:sz w:val="20"/>
                <w:szCs w:val="20"/>
              </w:rPr>
              <w:t>due</w:t>
            </w:r>
            <w:proofErr w:type="spellEnd"/>
            <w:r>
              <w:rPr>
                <w:b/>
                <w:bCs/>
                <w:color w:val="111111"/>
                <w:sz w:val="20"/>
                <w:szCs w:val="20"/>
              </w:rPr>
              <w:t xml:space="preserve"> </w:t>
            </w:r>
            <w:proofErr w:type="spellStart"/>
            <w:r>
              <w:rPr>
                <w:b/>
                <w:bCs/>
                <w:color w:val="111111"/>
                <w:sz w:val="20"/>
                <w:szCs w:val="20"/>
              </w:rPr>
              <w:t>diligence</w:t>
            </w:r>
            <w:proofErr w:type="spellEnd"/>
            <w:r>
              <w:rPr>
                <w:b/>
                <w:bCs/>
                <w:color w:val="111111"/>
                <w:sz w:val="20"/>
                <w:szCs w:val="20"/>
              </w:rPr>
              <w:t xml:space="preserve"> de mercado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0397974" w14:textId="77777777" w:rsidR="0066201C" w:rsidRDefault="0066201C" w:rsidP="001F40FE">
            <w:r>
              <w:rPr>
                <w:color w:val="111111"/>
                <w:sz w:val="20"/>
                <w:szCs w:val="20"/>
              </w:rPr>
              <w:t xml:space="preserve">Por mercado candidato final. Producido por el equipo de Estrategia Corporativa con apoyo de una consultora local o de investigación primaria directa. Debe cubrir: validación de los supuestos de demanda del modelo financiero, análisis competitivo del segmento objetivo, propuesta de valor diferenciada de </w:t>
            </w:r>
            <w:proofErr w:type="spellStart"/>
            <w:r>
              <w:rPr>
                <w:color w:val="111111"/>
                <w:sz w:val="20"/>
                <w:szCs w:val="20"/>
              </w:rPr>
              <w:t>Cibest</w:t>
            </w:r>
            <w:proofErr w:type="spellEnd"/>
            <w:r>
              <w:rPr>
                <w:color w:val="111111"/>
                <w:sz w:val="20"/>
                <w:szCs w:val="20"/>
              </w:rPr>
              <w:t xml:space="preserve"> en ese segmento, y estimación de la cuota de mercado alcanzable en el horizonte estratégico.</w:t>
            </w:r>
          </w:p>
        </w:tc>
      </w:tr>
      <w:tr w:rsidR="0066201C" w14:paraId="4F24DA59"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1D57C57" w14:textId="77777777" w:rsidR="0066201C" w:rsidRDefault="0066201C" w:rsidP="001F40FE">
            <w:r>
              <w:rPr>
                <w:b/>
                <w:bCs/>
                <w:color w:val="111111"/>
                <w:sz w:val="20"/>
                <w:szCs w:val="20"/>
              </w:rPr>
              <w:t>Entregable 3: Modelo financiero de la operación</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61001E1" w14:textId="77777777" w:rsidR="0066201C" w:rsidRDefault="0066201C" w:rsidP="001F40FE">
            <w:r>
              <w:rPr>
                <w:color w:val="111111"/>
                <w:sz w:val="20"/>
                <w:szCs w:val="20"/>
              </w:rPr>
              <w:t xml:space="preserve">Por mercado candidato final y modo de entrada. Producido por el equipo de Finanzas de </w:t>
            </w:r>
            <w:proofErr w:type="spellStart"/>
            <w:r>
              <w:rPr>
                <w:color w:val="111111"/>
                <w:sz w:val="20"/>
                <w:szCs w:val="20"/>
              </w:rPr>
              <w:t>Cibest</w:t>
            </w:r>
            <w:proofErr w:type="spellEnd"/>
            <w:r>
              <w:rPr>
                <w:color w:val="111111"/>
                <w:sz w:val="20"/>
                <w:szCs w:val="20"/>
              </w:rPr>
              <w:t xml:space="preserve"> con apoyo de asesor financiero externo para transacciones complejas. Debe proyectar: inversión inicial requerida por etapa, flujos de caja operativos en escenario base y dos sensibilidades (optimista y adverso), punto de equilibrio operativo, retorno sobre capital en el horizonte estratégico, impacto en </w:t>
            </w:r>
            <w:proofErr w:type="gramStart"/>
            <w:r>
              <w:rPr>
                <w:color w:val="111111"/>
                <w:sz w:val="20"/>
                <w:szCs w:val="20"/>
              </w:rPr>
              <w:t>los ratios</w:t>
            </w:r>
            <w:proofErr w:type="gramEnd"/>
            <w:r>
              <w:rPr>
                <w:color w:val="111111"/>
                <w:sz w:val="20"/>
                <w:szCs w:val="20"/>
              </w:rPr>
              <w:t xml:space="preserve"> de capital regulatorio de </w:t>
            </w:r>
            <w:proofErr w:type="spellStart"/>
            <w:r>
              <w:rPr>
                <w:color w:val="111111"/>
                <w:sz w:val="20"/>
                <w:szCs w:val="20"/>
              </w:rPr>
              <w:t>Cibest</w:t>
            </w:r>
            <w:proofErr w:type="spellEnd"/>
            <w:r>
              <w:rPr>
                <w:color w:val="111111"/>
                <w:sz w:val="20"/>
                <w:szCs w:val="20"/>
              </w:rPr>
              <w:t xml:space="preserve"> Colombia, y análisis de exposición cambiaria.</w:t>
            </w:r>
          </w:p>
        </w:tc>
      </w:tr>
      <w:tr w:rsidR="0066201C" w14:paraId="55C8EDBE"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3D9585B" w14:textId="77777777" w:rsidR="0066201C" w:rsidRDefault="0066201C" w:rsidP="001F40FE">
            <w:r>
              <w:rPr>
                <w:b/>
                <w:bCs/>
                <w:color w:val="111111"/>
                <w:sz w:val="20"/>
                <w:szCs w:val="20"/>
              </w:rPr>
              <w:lastRenderedPageBreak/>
              <w:t>Participantes</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41F7499" w14:textId="77777777" w:rsidR="0066201C" w:rsidRDefault="0066201C" w:rsidP="001F40FE">
            <w:r>
              <w:rPr>
                <w:color w:val="111111"/>
                <w:sz w:val="20"/>
                <w:szCs w:val="20"/>
              </w:rPr>
              <w:t>Bufete de abogados local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 xml:space="preserve"> regulatorio). Equipo de Estrategia Corporativa y/o consultora de mercado local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 xml:space="preserve"> de mercado). Equipo de Finanzas de </w:t>
            </w:r>
            <w:proofErr w:type="spellStart"/>
            <w:r>
              <w:rPr>
                <w:color w:val="111111"/>
                <w:sz w:val="20"/>
                <w:szCs w:val="20"/>
              </w:rPr>
              <w:t>Cibest</w:t>
            </w:r>
            <w:proofErr w:type="spellEnd"/>
            <w:r>
              <w:rPr>
                <w:color w:val="111111"/>
                <w:sz w:val="20"/>
                <w:szCs w:val="20"/>
              </w:rPr>
              <w:t xml:space="preserve"> con asesor financiero externo (modelo financiero). Director de Estrategia Corporativa y CFO (integración de los tres informes en la recomendación de decisión final al Comité Ejecutivo). Comité Ejecutivo (decisión de entrada).</w:t>
            </w:r>
          </w:p>
        </w:tc>
      </w:tr>
      <w:tr w:rsidR="0066201C" w14:paraId="7B47EAFE"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8557BE6" w14:textId="77777777" w:rsidR="0066201C" w:rsidRDefault="0066201C" w:rsidP="001F40FE">
            <w:r>
              <w:rPr>
                <w:b/>
                <w:bCs/>
                <w:color w:val="111111"/>
                <w:sz w:val="20"/>
                <w:szCs w:val="20"/>
              </w:rPr>
              <w:t>Tiempo estimado</w:t>
            </w:r>
          </w:p>
        </w:tc>
        <w:tc>
          <w:tcPr>
            <w:tcW w:w="71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27EF349" w14:textId="77777777" w:rsidR="0066201C" w:rsidRDefault="0066201C" w:rsidP="001F40FE">
            <w:r>
              <w:rPr>
                <w:color w:val="111111"/>
                <w:sz w:val="20"/>
                <w:szCs w:val="20"/>
              </w:rPr>
              <w:t xml:space="preserve">8 a 12 semanas, dependiendo del modo de entrada y la complejidad del mercado. El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 xml:space="preserve"> de adquisición de una institución bancaria local puede extenderse hasta dieciséis semanas si la cartera de activos es compleja. El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 xml:space="preserve"> para un lanzamiento digital puede completarse en cuatro a seis semanas si el marco regulatorio es relativamente claro. Los tres tipos de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 xml:space="preserve"> se realizan en paralelo para optimizar el tiempo total.</w:t>
            </w:r>
          </w:p>
        </w:tc>
      </w:tr>
    </w:tbl>
    <w:p w14:paraId="110F0A50" w14:textId="77777777" w:rsidR="0066201C" w:rsidRDefault="0066201C" w:rsidP="0066201C">
      <w:r>
        <w:br w:type="page"/>
      </w:r>
    </w:p>
    <w:p w14:paraId="090B523E" w14:textId="77777777" w:rsidR="0066201C" w:rsidRPr="00460847" w:rsidRDefault="0066201C" w:rsidP="0066201C">
      <w:pPr>
        <w:pStyle w:val="Ttulo1"/>
        <w:ind w:left="200" w:right="200"/>
        <w:rPr>
          <w:color w:val="auto"/>
        </w:rPr>
      </w:pPr>
      <w:bookmarkStart w:id="91" w:name="_Toc232659640"/>
      <w:r w:rsidRPr="00460847">
        <w:rPr>
          <w:color w:val="auto"/>
        </w:rPr>
        <w:lastRenderedPageBreak/>
        <w:t>Sección 11 — Sesgos en la Selección Internacional de Mercados y Cómo Evitarlos</w:t>
      </w:r>
      <w:bookmarkEnd w:id="91"/>
    </w:p>
    <w:p w14:paraId="125ECA53" w14:textId="77777777" w:rsidR="0066201C" w:rsidRDefault="0066201C" w:rsidP="0066201C">
      <w:pPr>
        <w:spacing w:after="100"/>
      </w:pPr>
    </w:p>
    <w:p w14:paraId="598495A9" w14:textId="77777777" w:rsidR="0066201C" w:rsidRDefault="0066201C" w:rsidP="0066201C">
      <w:pPr>
        <w:spacing w:before="140" w:after="140" w:line="320" w:lineRule="auto"/>
        <w:jc w:val="both"/>
      </w:pPr>
      <w:r>
        <w:rPr>
          <w:color w:val="111111"/>
        </w:rPr>
        <w:t xml:space="preserve">Los modelos cuantitativos de selección de mercados se diseñan, en parte, para reducir el peso de la subjetividad en las decisiones estratégicas. Sin embargo, los sesgos cognitivos no desaparecen cuando se introduce un modelo: simplemente migran. Si el proceso no está diseñado para detectarlos y gestionarlos, los sesgos contaminan el diseño del modelo — en la elección de las variables, en la configuración de los pesos, en la interpretación de los resultados — o contaminan las decisiones directivas que se toman a partir de sus outputs. La investigación de Daniel Kahneman y sus colaboradores (Kahneman, 2011. </w:t>
      </w:r>
      <w:proofErr w:type="spellStart"/>
      <w:r>
        <w:rPr>
          <w:color w:val="111111"/>
        </w:rPr>
        <w:t>Thinking</w:t>
      </w:r>
      <w:proofErr w:type="spellEnd"/>
      <w:r>
        <w:rPr>
          <w:color w:val="111111"/>
        </w:rPr>
        <w:t>, Fast and Slow. Farrar, Straus and Giroux) documenta que los sesgos cognitivos no son anomalías del pensamiento humano sino características estructurales de cómo la mente humana procesa información bajo incertidumbre. No se eliminan con información adicional ni con voluntad de ser objetivo: solo se gestionan mediante el diseño deliberado del proceso de decisión.</w:t>
      </w:r>
    </w:p>
    <w:p w14:paraId="4E6E677C" w14:textId="77777777" w:rsidR="0066201C" w:rsidRDefault="0066201C" w:rsidP="0066201C">
      <w:pPr>
        <w:spacing w:before="140" w:after="140" w:line="320" w:lineRule="auto"/>
        <w:jc w:val="both"/>
      </w:pPr>
      <w:r>
        <w:rPr>
          <w:color w:val="111111"/>
        </w:rPr>
        <w:t xml:space="preserve">Esta sección identifica los seis sesgos </w:t>
      </w:r>
      <w:proofErr w:type="gramStart"/>
      <w:r>
        <w:rPr>
          <w:color w:val="111111"/>
        </w:rPr>
        <w:t>más frecuentes y más costosos</w:t>
      </w:r>
      <w:proofErr w:type="gramEnd"/>
      <w:r>
        <w:rPr>
          <w:color w:val="111111"/>
        </w:rPr>
        <w:t xml:space="preserve"> en los procesos de selección internacional de mercados financieros, describe cómo se manifiestan específicamente en el contexto del proceso SIM de </w:t>
      </w:r>
      <w:proofErr w:type="spellStart"/>
      <w:r>
        <w:rPr>
          <w:color w:val="111111"/>
        </w:rPr>
        <w:t>Cibest</w:t>
      </w:r>
      <w:proofErr w:type="spellEnd"/>
      <w:r>
        <w:rPr>
          <w:color w:val="111111"/>
        </w:rPr>
        <w:t>, y propone mecanismos concretos de mitigación que están incorporados en el diseño del proceso. El objetivo no es eliminar los sesgos — que es imposible — sino hacer que el proceso sea suficientemente robusto como para que un sesgo individual no pueda determinar el resultado de la decisión.</w:t>
      </w:r>
    </w:p>
    <w:p w14:paraId="7C84D9E2" w14:textId="77777777" w:rsidR="0066201C" w:rsidRDefault="0066201C" w:rsidP="0066201C">
      <w:pPr>
        <w:spacing w:after="100"/>
      </w:pPr>
    </w:p>
    <w:p w14:paraId="0FA7AB24" w14:textId="77777777" w:rsidR="0066201C" w:rsidRDefault="0066201C" w:rsidP="0066201C">
      <w:pPr>
        <w:pStyle w:val="Ttulo2"/>
        <w:pBdr>
          <w:bottom w:val="single" w:sz="4" w:space="4" w:color="E8B931"/>
        </w:pBdr>
      </w:pPr>
      <w:bookmarkStart w:id="92" w:name="_Toc232659641"/>
      <w:proofErr w:type="gramStart"/>
      <w:r>
        <w:t>11.1  Sesgo</w:t>
      </w:r>
      <w:proofErr w:type="gramEnd"/>
      <w:r>
        <w:t xml:space="preserve"> de familiaridad o del mercado conocido</w:t>
      </w:r>
      <w:bookmarkEnd w:id="92"/>
    </w:p>
    <w:p w14:paraId="2E5D3741" w14:textId="77777777" w:rsidR="0066201C" w:rsidRDefault="0066201C" w:rsidP="0066201C">
      <w:pPr>
        <w:spacing w:before="140" w:after="140" w:line="320" w:lineRule="auto"/>
        <w:jc w:val="both"/>
      </w:pPr>
      <w:r>
        <w:rPr>
          <w:color w:val="111111"/>
        </w:rPr>
        <w:t xml:space="preserve">El sesgo de familiaridad opera cuando los decisores asignan más atractivo a los mercados que ya conocen —porque un miembro del Comité Ejecutivo vivió allí, porque </w:t>
      </w:r>
      <w:proofErr w:type="spellStart"/>
      <w:r>
        <w:rPr>
          <w:color w:val="111111"/>
        </w:rPr>
        <w:t>Cibest</w:t>
      </w:r>
      <w:proofErr w:type="spellEnd"/>
      <w:r>
        <w:rPr>
          <w:color w:val="111111"/>
        </w:rPr>
        <w:t xml:space="preserve"> tiene clientes corporativos con operaciones allí, o simplemente porque aparece frecuentemente en conversaciones sobre expansión— que a mercados igualmente o más atractivos sobre los cuales tienen menos información personal. La paradoja es que la familiaridad se confunde con el atractivo del mercado cuando en realidad no son la misma cosa: un ejecutivo conoce bien un mercado porque es grande y visible, no necesariamente porque sea el más atractivo para </w:t>
      </w:r>
      <w:proofErr w:type="spellStart"/>
      <w:r>
        <w:rPr>
          <w:color w:val="111111"/>
        </w:rPr>
        <w:t>Cibest</w:t>
      </w:r>
      <w:proofErr w:type="spellEnd"/>
      <w:r>
        <w:rPr>
          <w:color w:val="111111"/>
        </w:rPr>
        <w:t xml:space="preserve">. Ariely (2008. </w:t>
      </w:r>
      <w:proofErr w:type="spellStart"/>
      <w:r>
        <w:rPr>
          <w:color w:val="111111"/>
        </w:rPr>
        <w:t>Predictably</w:t>
      </w:r>
      <w:proofErr w:type="spellEnd"/>
      <w:r>
        <w:rPr>
          <w:color w:val="111111"/>
        </w:rPr>
        <w:t xml:space="preserve"> </w:t>
      </w:r>
      <w:proofErr w:type="spellStart"/>
      <w:r>
        <w:rPr>
          <w:color w:val="111111"/>
        </w:rPr>
        <w:t>Irrational</w:t>
      </w:r>
      <w:proofErr w:type="spellEnd"/>
      <w:r>
        <w:rPr>
          <w:color w:val="111111"/>
        </w:rPr>
        <w:t xml:space="preserve">. </w:t>
      </w:r>
      <w:proofErr w:type="spellStart"/>
      <w:r>
        <w:rPr>
          <w:color w:val="111111"/>
        </w:rPr>
        <w:t>HarperCollins</w:t>
      </w:r>
      <w:proofErr w:type="spellEnd"/>
      <w:r>
        <w:rPr>
          <w:color w:val="111111"/>
        </w:rPr>
        <w:t>) documenta un caso particular de este sesgo en el contexto empresarial: las organizaciones frecuentemente sobrevaloran las oportunidades que ya están en su radar y subvaloran las que requieren esfuerzo de descubrimiento.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201C" w14:paraId="763F008F" w14:textId="77777777" w:rsidTr="00800E51">
        <w:tc>
          <w:tcPr>
            <w:tcW w:w="9360" w:type="dxa"/>
            <w:tcBorders>
              <w:top w:val="single" w:sz="1" w:space="0" w:color="C0392B"/>
              <w:left w:val="single" w:sz="1" w:space="0" w:color="C0392B"/>
              <w:bottom w:val="single" w:sz="1" w:space="0" w:color="C0392B"/>
              <w:right w:val="single" w:sz="1" w:space="0" w:color="C0392B"/>
            </w:tcBorders>
            <w:shd w:val="clear" w:color="auto" w:fill="FBEAEA"/>
            <w:tcMar>
              <w:top w:w="140" w:type="dxa"/>
              <w:left w:w="220" w:type="dxa"/>
              <w:bottom w:w="140" w:type="dxa"/>
              <w:right w:w="220" w:type="dxa"/>
            </w:tcMar>
          </w:tcPr>
          <w:p w14:paraId="491D94C6" w14:textId="77777777" w:rsidR="0066201C" w:rsidRDefault="0066201C" w:rsidP="001F40FE">
            <w:pPr>
              <w:spacing w:after="80"/>
            </w:pPr>
            <w:proofErr w:type="gramStart"/>
            <w:r>
              <w:rPr>
                <w:b/>
                <w:bCs/>
                <w:caps/>
                <w:color w:val="8B1A1A"/>
                <w:sz w:val="20"/>
                <w:szCs w:val="20"/>
              </w:rPr>
              <w:t>⛔  Sesgo</w:t>
            </w:r>
            <w:proofErr w:type="gramEnd"/>
            <w:r>
              <w:rPr>
                <w:b/>
                <w:bCs/>
                <w:caps/>
                <w:color w:val="8B1A1A"/>
                <w:sz w:val="20"/>
                <w:szCs w:val="20"/>
              </w:rPr>
              <w:t xml:space="preserve"> a evitar: Preferencia por el mercado previamente mencionado</w:t>
            </w:r>
          </w:p>
          <w:p w14:paraId="0EE159CF" w14:textId="77777777" w:rsidR="0066201C" w:rsidRDefault="0066201C" w:rsidP="001F40FE">
            <w:pPr>
              <w:spacing w:after="60"/>
              <w:jc w:val="both"/>
            </w:pPr>
            <w:r>
              <w:rPr>
                <w:color w:val="1A1A1A"/>
                <w:sz w:val="20"/>
                <w:szCs w:val="20"/>
              </w:rPr>
              <w:lastRenderedPageBreak/>
              <w:t>Si algún miembro del Comité Ejecutivo ha mencionado un mercado específico como candidato antes del inicio del proceso SIM, ese mercado recibe — de manera inconsciente — un estatus de preferencia que sesga la evaluación de todos los demás. El mecanismo de mitigación es que la sesión de definición del objetivo de la Fase 1 se realiza sin que ningún mercado específico sea mencionado o discutido: primero se define el objetivo, y solo después se evalúan los mercados. La mención de mercados específicos antes de que el proceso cuantitativo produzca su ranking es, metodológicamente, un contaminante del proceso.</w:t>
            </w:r>
          </w:p>
        </w:tc>
      </w:tr>
    </w:tbl>
    <w:p w14:paraId="6A056E26" w14:textId="77777777" w:rsidR="0066201C" w:rsidRDefault="0066201C" w:rsidP="0066201C">
      <w:pPr>
        <w:spacing w:before="140" w:after="140" w:line="320" w:lineRule="auto"/>
        <w:jc w:val="both"/>
      </w:pPr>
      <w:r>
        <w:rPr>
          <w:color w:val="111111"/>
        </w:rPr>
        <w:t xml:space="preserve">El mecanismo de mitigación estructural de este sesgo en el proceso SIM de </w:t>
      </w:r>
      <w:proofErr w:type="spellStart"/>
      <w:r>
        <w:rPr>
          <w:color w:val="111111"/>
        </w:rPr>
        <w:t>Cibest</w:t>
      </w:r>
      <w:proofErr w:type="spellEnd"/>
      <w:r>
        <w:rPr>
          <w:color w:val="111111"/>
        </w:rPr>
        <w:t xml:space="preserve"> es la secuencia estricta del embudo: el universo completo de mercados se evalúa con los mismos criterios cuantitativos antes de que ningún mercado individual sea discutido en el Comité Ejecutivo. El equipo de Estrategia Corporativa presenta el ranking completo — no solo los mercados que confirman las preferencias previas del Comité — y garantiza que los mercados de baja familiaridad que tienen scores altos reciben el mismo espacio de análisis que los de alta familiaridad. Si un mercado poco familiar aparece en el top cinco del ranking RADAR, el proceso exige que el Comité lo analice con la misma seriedad que si fuera uno de los mercados que ya estaban en su radar.</w:t>
      </w:r>
    </w:p>
    <w:p w14:paraId="6D5F9FEA" w14:textId="77777777" w:rsidR="0066201C" w:rsidRDefault="0066201C" w:rsidP="0066201C">
      <w:pPr>
        <w:spacing w:after="100"/>
      </w:pPr>
    </w:p>
    <w:p w14:paraId="0886B45F" w14:textId="77777777" w:rsidR="0066201C" w:rsidRDefault="0066201C" w:rsidP="0066201C">
      <w:pPr>
        <w:pStyle w:val="Ttulo2"/>
        <w:pBdr>
          <w:bottom w:val="single" w:sz="4" w:space="4" w:color="E8B931"/>
        </w:pBdr>
      </w:pPr>
      <w:bookmarkStart w:id="93" w:name="_Toc232659642"/>
      <w:proofErr w:type="gramStart"/>
      <w:r>
        <w:t>11.2  Sesgo</w:t>
      </w:r>
      <w:proofErr w:type="gramEnd"/>
      <w:r>
        <w:t xml:space="preserve"> de confirmación</w:t>
      </w:r>
      <w:bookmarkEnd w:id="93"/>
    </w:p>
    <w:p w14:paraId="32C24467" w14:textId="77777777" w:rsidR="0066201C" w:rsidRDefault="0066201C" w:rsidP="0066201C">
      <w:pPr>
        <w:spacing w:before="140" w:after="140" w:line="320" w:lineRule="auto"/>
        <w:jc w:val="both"/>
      </w:pPr>
      <w:r>
        <w:rPr>
          <w:color w:val="111111"/>
        </w:rPr>
        <w:t>El sesgo de confirmación opera cuando, una vez que existe una hipótesis o preferencia sobre un mercado, se busca, se pondera y se recuerda más la información que la confirma que la que la contradice. En el contexto del proceso SIM, este sesgo es especialmente peligroso en la fase de inteligencia cualitativa: si el equipo de Estrategia ya tiene una preferencia por un mercado — porque su score RADAR es alto, o porque hay entusiasmo directivo sobre él —, la investigación cualitativa tenderá a encontrar y enfatizar la evidencia que respalda esa preferencia, y a minimizar o ignorar la que la contradice. La arquitectura de la información producida por el proceso SIM puede ser manipulada inconscientemente para confirmar lo que el equipo ya cree.</w:t>
      </w:r>
    </w:p>
    <w:p w14:paraId="61C6FD7B" w14:textId="77777777" w:rsidR="0066201C" w:rsidRDefault="0066201C" w:rsidP="0066201C">
      <w:pPr>
        <w:spacing w:before="140" w:after="140" w:line="320" w:lineRule="auto"/>
        <w:jc w:val="both"/>
      </w:pPr>
      <w:r>
        <w:rPr>
          <w:color w:val="111111"/>
        </w:rPr>
        <w:t>El mecanismo de mitigación más efectivo para el sesgo de confirmación es la práctica del abogado del diablo institucionalizado: para cada mercado candidato que avanza a análisis profundo, el equipo de Estrategia designa formalmente a uno de sus miembros como responsable de construir el caso en contra de ese mercado. Este miembro tiene la responsabilidad explícita de encontrar y presentar toda la evidencia que contradice la hipótesis de entrada — los riesgos regulatorios no documentados, los competidores locales con ventajas que el análisis cuantitativo no captura, las dinámicas de demanda que podrían no materializarse —, independientemente de su preferencia personal sobre ese mercado. La presentación al Comité Ejecutivo debe incluir tanto el caso a favor como el caso en contra de cada mercado candidato, con tiempo equivalente dedicado a ambos.</w:t>
      </w:r>
    </w:p>
    <w:p w14:paraId="29F73E43" w14:textId="77777777" w:rsidR="0066201C" w:rsidRDefault="0066201C" w:rsidP="0066201C">
      <w:pPr>
        <w:spacing w:after="100"/>
      </w:pPr>
    </w:p>
    <w:p w14:paraId="0D1C5D5F" w14:textId="77777777" w:rsidR="0066201C" w:rsidRDefault="0066201C" w:rsidP="0066201C">
      <w:pPr>
        <w:pStyle w:val="Ttulo2"/>
        <w:pBdr>
          <w:bottom w:val="single" w:sz="4" w:space="4" w:color="E8B931"/>
        </w:pBdr>
      </w:pPr>
      <w:bookmarkStart w:id="94" w:name="_Toc232659643"/>
      <w:proofErr w:type="gramStart"/>
      <w:r>
        <w:t>11.3  Sesgo</w:t>
      </w:r>
      <w:proofErr w:type="gramEnd"/>
      <w:r>
        <w:t xml:space="preserve"> de anclaje en el ranking</w:t>
      </w:r>
      <w:bookmarkEnd w:id="94"/>
    </w:p>
    <w:p w14:paraId="1436AE80" w14:textId="77777777" w:rsidR="0066201C" w:rsidRDefault="0066201C" w:rsidP="0066201C">
      <w:pPr>
        <w:spacing w:before="140" w:after="140" w:line="320" w:lineRule="auto"/>
        <w:jc w:val="both"/>
      </w:pPr>
      <w:r>
        <w:rPr>
          <w:color w:val="111111"/>
        </w:rPr>
        <w:t>El sesgo de anclaje opera cuando los decisores tratan la posición en el ranking como una diferencia más significativa de lo que los datos estadísticos justifican. La diferencia en score entre el mercado en el puesto uno y el mercado en el puesto cinco puede ser estadísticamente insignificante — comparable al margen de error de las fuentes de datos —, pero la presentación del ranking como una lista ordenada lleva al Comité Ejecutivo a tratar esa diferencia como si fuera cualitativa: el puesto uno se convierte en el candidato evidente, y el puesto cinco en el candidato de segunda categoría, cuando en realidad ambos pueden ser igualmente válidos según la incertidumbre del modelo. Este sesgo tiene consecuencias prácticas: puede llevar a descartar mercados excelentes por estar en el puesto seis en lugar del cinco, o a comprometer recursos con el mercado número uno sin verificar si sus ventajas sobre los puestos dos y tres son reales o son artefactos del modelo.</w:t>
      </w:r>
    </w:p>
    <w:p w14:paraId="10D125B1" w14:textId="77777777" w:rsidR="0066201C" w:rsidRDefault="0066201C" w:rsidP="0066201C">
      <w:pPr>
        <w:spacing w:before="140" w:after="140" w:line="320" w:lineRule="auto"/>
        <w:jc w:val="both"/>
      </w:pPr>
      <w:r>
        <w:rPr>
          <w:color w:val="111111"/>
        </w:rPr>
        <w:t>El mecanismo de mitigación es presentar siempre los resultados del modelo con dos indicadores de incertidumbre explícitos. El primero es el rango de sensibilidad: para cada mercado del ranking, se muestra el rango de posiciones que ese mercado ocupa cuando los pesos del modelo varían dentro del análisis de sensibilidad de ±20%. Si el mercado número uno permanece en las tres primeras posiciones en todos los escenarios de sensibilidad, su liderazgo es robusto; si cae al puesto ocho en algún escenario plausible, su ventaja sobre el puesto cinco es frágil. El segundo es la diferencia mínima significativa de scores: si dos mercados tienen scores separados por menos del margen de error estadístico del modelo, se presentan como estadísticamente equivalentes, y la decisión entre ellos debe basarse en los factores cualitativos de la Fase 4, no en el ranking cuantitativo.</w:t>
      </w:r>
    </w:p>
    <w:p w14:paraId="429FABD3" w14:textId="77777777" w:rsidR="0066201C" w:rsidRDefault="0066201C" w:rsidP="0066201C">
      <w:pPr>
        <w:spacing w:after="100"/>
      </w:pPr>
    </w:p>
    <w:p w14:paraId="028FA429" w14:textId="77777777" w:rsidR="0066201C" w:rsidRDefault="0066201C" w:rsidP="0066201C">
      <w:pPr>
        <w:pStyle w:val="Ttulo2"/>
        <w:pBdr>
          <w:bottom w:val="single" w:sz="4" w:space="4" w:color="E8B931"/>
        </w:pBdr>
      </w:pPr>
      <w:bookmarkStart w:id="95" w:name="_Toc232659644"/>
      <w:proofErr w:type="gramStart"/>
      <w:r>
        <w:t>11.4  Sesgo</w:t>
      </w:r>
      <w:proofErr w:type="gramEnd"/>
      <w:r>
        <w:t xml:space="preserve"> de exceso de confianza en el modelo</w:t>
      </w:r>
      <w:bookmarkEnd w:id="95"/>
    </w:p>
    <w:p w14:paraId="5B995896" w14:textId="77777777" w:rsidR="0066201C" w:rsidRDefault="0066201C" w:rsidP="0066201C">
      <w:pPr>
        <w:spacing w:before="140" w:after="140" w:line="320" w:lineRule="auto"/>
        <w:jc w:val="both"/>
      </w:pPr>
      <w:r>
        <w:rPr>
          <w:color w:val="111111"/>
        </w:rPr>
        <w:t xml:space="preserve">El sesgo de exceso de confianza en el modelo es la tendencia a tratar el output de RADAR </w:t>
      </w:r>
      <w:proofErr w:type="spellStart"/>
      <w:r>
        <w:rPr>
          <w:color w:val="111111"/>
        </w:rPr>
        <w:t>Cibest</w:t>
      </w:r>
      <w:proofErr w:type="spellEnd"/>
      <w:r>
        <w:rPr>
          <w:color w:val="111111"/>
        </w:rPr>
        <w:t xml:space="preserve"> como verdad objetiva en lugar de como una estimación informada con supuestos explícitos y limitaciones documentadas. Este sesgo tiene dos formas en la práctica. La primera es la forma activa: el Comité Ejecutivo adopta el ranking de RADAR como la recomendación del proceso y toma la decisión de entrada sin pasar por las fases de inteligencia cualitativa y evaluación de capacidades, argumentando que el modelo ya ha hecho el análisis. La segunda es la forma pasiva: el equipo de Estrategia no presenta las limitaciones del modelo con suficiente claridad, o las menciona de manera tan técnica y breve que el Comité no las internaliza.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201C" w14:paraId="5FE35438" w14:textId="77777777" w:rsidTr="00800E51">
        <w:tc>
          <w:tcPr>
            <w:tcW w:w="9360" w:type="dxa"/>
            <w:tcBorders>
              <w:top w:val="single" w:sz="1" w:space="0" w:color="0D1B2A"/>
              <w:left w:val="single" w:sz="1" w:space="0" w:color="0D1B2A"/>
              <w:bottom w:val="single" w:sz="1" w:space="0" w:color="0D1B2A"/>
              <w:right w:val="single" w:sz="1" w:space="0" w:color="0D1B2A"/>
            </w:tcBorders>
            <w:shd w:val="clear" w:color="auto" w:fill="F2F4F6"/>
            <w:tcMar>
              <w:top w:w="140" w:type="dxa"/>
              <w:left w:w="220" w:type="dxa"/>
              <w:bottom w:w="140" w:type="dxa"/>
              <w:right w:w="220" w:type="dxa"/>
            </w:tcMar>
          </w:tcPr>
          <w:p w14:paraId="24E86C54" w14:textId="77777777" w:rsidR="0066201C" w:rsidRDefault="0066201C" w:rsidP="001F40FE">
            <w:pPr>
              <w:spacing w:after="80"/>
            </w:pPr>
            <w:proofErr w:type="gramStart"/>
            <w:r>
              <w:rPr>
                <w:b/>
                <w:bCs/>
                <w:caps/>
                <w:color w:val="0D1B2A"/>
                <w:sz w:val="20"/>
                <w:szCs w:val="20"/>
              </w:rPr>
              <w:lastRenderedPageBreak/>
              <w:t>🔍  Protocolo</w:t>
            </w:r>
            <w:proofErr w:type="gramEnd"/>
            <w:r>
              <w:rPr>
                <w:b/>
                <w:bCs/>
                <w:caps/>
                <w:color w:val="0D1B2A"/>
                <w:sz w:val="20"/>
                <w:szCs w:val="20"/>
              </w:rPr>
              <w:t xml:space="preserve"> de presentación de resultados del modelo al Comité Ejecutivo</w:t>
            </w:r>
          </w:p>
          <w:p w14:paraId="0390AA56" w14:textId="77777777" w:rsidR="0066201C" w:rsidRDefault="0066201C" w:rsidP="001F40FE">
            <w:pPr>
              <w:spacing w:after="60"/>
              <w:jc w:val="both"/>
            </w:pPr>
            <w:r>
              <w:rPr>
                <w:color w:val="1A1A1A"/>
                <w:sz w:val="20"/>
                <w:szCs w:val="20"/>
              </w:rPr>
              <w:t xml:space="preserve">Todo documento y toda presentación que incluya resultados de RADAR </w:t>
            </w:r>
            <w:proofErr w:type="spellStart"/>
            <w:r>
              <w:rPr>
                <w:color w:val="1A1A1A"/>
                <w:sz w:val="20"/>
                <w:szCs w:val="20"/>
              </w:rPr>
              <w:t>Cibest</w:t>
            </w:r>
            <w:proofErr w:type="spellEnd"/>
            <w:r>
              <w:rPr>
                <w:color w:val="1A1A1A"/>
                <w:sz w:val="20"/>
                <w:szCs w:val="20"/>
              </w:rPr>
              <w:t xml:space="preserve"> debe abrir con una sección de no más de dos párrafos titulada 'Qué dice y qué no dice este modelo'. Esta sección debe leerse en voz alta al inicio de cualquier sesión del Comité donde se discutan los resultados de RADAR. El protocolo es deliberado: garantiza que el Comité recibe la advertencia de las limitaciones en el momento en que está evaluando los resultados, no en una nota al pie que nadie lee. Ningún resultado de RADAR debe presentarse sin esta sección precedente.</w:t>
            </w:r>
          </w:p>
        </w:tc>
      </w:tr>
    </w:tbl>
    <w:p w14:paraId="2F22E447" w14:textId="77777777" w:rsidR="0066201C" w:rsidRDefault="0066201C" w:rsidP="0066201C">
      <w:pPr>
        <w:spacing w:before="140" w:after="140" w:line="320" w:lineRule="auto"/>
        <w:jc w:val="both"/>
      </w:pPr>
      <w:r>
        <w:rPr>
          <w:color w:val="111111"/>
        </w:rPr>
        <w:t xml:space="preserve">El mecanismo de mitigación estructural es la arquitectura del proceso SIM en sí misma: si el proceso está bien ejecutado, el Comité Ejecutivo no puede confundir el output de RADAR con una recomendación de entrada porque el proceso explícitamente tiene cuatro fases más después del ranking cuantitativo. Un Comité que intente saltar de RADAR directamente a la decisión de entrada sin pasar por la inteligencia cualitativa y la evaluación de capacidades está violando el proceso, no siguiéndolo. El </w:t>
      </w:r>
      <w:proofErr w:type="gramStart"/>
      <w:r>
        <w:rPr>
          <w:color w:val="111111"/>
        </w:rPr>
        <w:t>Director</w:t>
      </w:r>
      <w:proofErr w:type="gramEnd"/>
      <w:r>
        <w:rPr>
          <w:color w:val="111111"/>
        </w:rPr>
        <w:t xml:space="preserve"> de Estrategia Corporativa tiene la responsabilidad de señalar esa violación y de garantizar que el proceso completo se respeta.</w:t>
      </w:r>
    </w:p>
    <w:p w14:paraId="689C3BE7" w14:textId="77777777" w:rsidR="0066201C" w:rsidRDefault="0066201C" w:rsidP="0066201C">
      <w:pPr>
        <w:spacing w:after="100"/>
      </w:pPr>
    </w:p>
    <w:p w14:paraId="4CB2EB07" w14:textId="77777777" w:rsidR="0066201C" w:rsidRDefault="0066201C" w:rsidP="0066201C">
      <w:pPr>
        <w:pStyle w:val="Ttulo2"/>
        <w:pBdr>
          <w:bottom w:val="single" w:sz="4" w:space="4" w:color="E8B931"/>
        </w:pBdr>
      </w:pPr>
      <w:bookmarkStart w:id="96" w:name="_Toc232659645"/>
      <w:proofErr w:type="gramStart"/>
      <w:r>
        <w:t>11.5  Sesgo</w:t>
      </w:r>
      <w:proofErr w:type="gramEnd"/>
      <w:r>
        <w:t xml:space="preserve"> de disponibilidad de datos</w:t>
      </w:r>
      <w:bookmarkEnd w:id="96"/>
    </w:p>
    <w:p w14:paraId="06EF4AC8" w14:textId="77777777" w:rsidR="0066201C" w:rsidRDefault="0066201C" w:rsidP="0066201C">
      <w:pPr>
        <w:spacing w:before="140" w:after="140" w:line="320" w:lineRule="auto"/>
        <w:jc w:val="both"/>
      </w:pPr>
      <w:r>
        <w:rPr>
          <w:color w:val="111111"/>
        </w:rPr>
        <w:t xml:space="preserve">El sesgo de disponibilidad de datos opera de manera más sutil que los sesgos anteriores porque no está en la interpretación de los resultados sino en su producción. Los países más grandes, </w:t>
      </w:r>
      <w:proofErr w:type="gramStart"/>
      <w:r>
        <w:rPr>
          <w:color w:val="111111"/>
        </w:rPr>
        <w:t>más desarrollados y más transparentes</w:t>
      </w:r>
      <w:proofErr w:type="gramEnd"/>
      <w:r>
        <w:rPr>
          <w:color w:val="111111"/>
        </w:rPr>
        <w:t xml:space="preserve"> estadísticamente — Estados Unidos, Brasil, México, Chile, España — tienen datos disponibles, recientes y de alta calidad para todas o casi todas las variables del modelo RADAR. Los países más pequeños, menos desarrollados o con sistemas estadísticos más débiles — Bolivia, Honduras, Nicaragua, Trinidad y Tobago — tienen datos faltantes, desactualizados o de menor calidad para algunas variables. El riesgo es que los primeros reciban scores más completos y potencialmente más favorables, no porque sean intrínsecamente más atractivos sino porque el modelo tiene más información sobre ellos; y que los segundos sean penalizados por sus deficiencias estadísticas independientemente de su atractivo real.</w:t>
      </w:r>
    </w:p>
    <w:p w14:paraId="251488F7" w14:textId="77777777" w:rsidR="0066201C" w:rsidRDefault="0066201C" w:rsidP="0066201C">
      <w:pPr>
        <w:spacing w:before="140" w:after="140" w:line="320" w:lineRule="auto"/>
        <w:jc w:val="both"/>
      </w:pPr>
      <w:r>
        <w:rPr>
          <w:color w:val="111111"/>
        </w:rPr>
        <w:t xml:space="preserve">El mecanismo de mitigación en RADAR </w:t>
      </w:r>
      <w:proofErr w:type="spellStart"/>
      <w:r>
        <w:rPr>
          <w:color w:val="111111"/>
        </w:rPr>
        <w:t>Cibest</w:t>
      </w:r>
      <w:proofErr w:type="spellEnd"/>
      <w:r>
        <w:rPr>
          <w:color w:val="111111"/>
        </w:rPr>
        <w:t xml:space="preserve"> opera en dos niveles. El primero es técnico: el modelo documenta explícitamente el porcentaje de cobertura de datos para cada mercado — qué proporción de las treinta y cinco variables tiene datos disponibles y actualizados — y ese indicador se presenta junto al score de atractivo. Un mercado con setenta por ciento de cobertura de datos tiene un score menos confiable que uno con cien por ciento, y esa diferencia de confiabilidad debe ser visible para el Comité. El segundo es interpretativo: para los mercados con baja cobertura de datos, el análisis cualitativo de la Fase 4 recibe más peso relativo que para los mercados con alta cobertura, porque la inteligencia directa del mercado compensa parcialmente la deficiencia de datos estadísticos.</w:t>
      </w:r>
    </w:p>
    <w:p w14:paraId="1FD728F3" w14:textId="77777777" w:rsidR="0066201C" w:rsidRDefault="0066201C" w:rsidP="0066201C">
      <w:pPr>
        <w:spacing w:after="100"/>
      </w:pPr>
    </w:p>
    <w:p w14:paraId="1C4AB51E" w14:textId="77777777" w:rsidR="0066201C" w:rsidRDefault="0066201C" w:rsidP="0066201C">
      <w:pPr>
        <w:pStyle w:val="Ttulo2"/>
        <w:pBdr>
          <w:bottom w:val="single" w:sz="4" w:space="4" w:color="E8B931"/>
        </w:pBdr>
      </w:pPr>
      <w:bookmarkStart w:id="97" w:name="_Toc232659646"/>
      <w:proofErr w:type="gramStart"/>
      <w:r>
        <w:t>11.6  Sesgo</w:t>
      </w:r>
      <w:proofErr w:type="gramEnd"/>
      <w:r>
        <w:t xml:space="preserve"> de presentismo</w:t>
      </w:r>
      <w:bookmarkEnd w:id="97"/>
    </w:p>
    <w:p w14:paraId="7912F445" w14:textId="77777777" w:rsidR="0066201C" w:rsidRDefault="0066201C" w:rsidP="0066201C">
      <w:pPr>
        <w:spacing w:before="140" w:after="140" w:line="320" w:lineRule="auto"/>
        <w:jc w:val="both"/>
      </w:pPr>
      <w:r>
        <w:rPr>
          <w:color w:val="111111"/>
        </w:rPr>
        <w:t xml:space="preserve">El sesgo de presentismo opera cuando los decisores sobrevaloran las condiciones actuales de un mercado y subvaloran su trayectoria y su potencial futuro. Un mercado que hoy tiene un score bajo en desarrollo </w:t>
      </w:r>
      <w:proofErr w:type="gramStart"/>
      <w:r>
        <w:rPr>
          <w:color w:val="111111"/>
        </w:rPr>
        <w:t>financiero</w:t>
      </w:r>
      <w:proofErr w:type="gramEnd"/>
      <w:r>
        <w:rPr>
          <w:color w:val="111111"/>
        </w:rPr>
        <w:t xml:space="preserve"> pero está en una trayectoria de mejora sostenida — con reformas regulatorias en proceso, con tasas de bancarización en aceleración, con inversión extranjera entrando al sector — puede ser más atractivo para el horizonte de cinco años de la estrategia de </w:t>
      </w:r>
      <w:proofErr w:type="spellStart"/>
      <w:r>
        <w:rPr>
          <w:color w:val="111111"/>
        </w:rPr>
        <w:t>Cibest</w:t>
      </w:r>
      <w:proofErr w:type="spellEnd"/>
      <w:r>
        <w:rPr>
          <w:color w:val="111111"/>
        </w:rPr>
        <w:t xml:space="preserve"> que un mercado con alto score </w:t>
      </w:r>
      <w:proofErr w:type="gramStart"/>
      <w:r>
        <w:rPr>
          <w:color w:val="111111"/>
        </w:rPr>
        <w:t>actual</w:t>
      </w:r>
      <w:proofErr w:type="gramEnd"/>
      <w:r>
        <w:rPr>
          <w:color w:val="111111"/>
        </w:rPr>
        <w:t xml:space="preserve"> pero en proceso de deterioro institucional o de desaceleración económica. Los datos de corte transversal que son la base del modelo RADAR — el último valor disponible de cada variable — son, por construcción, una fotografía del presente, no una película del futuro.</w:t>
      </w:r>
    </w:p>
    <w:p w14:paraId="6731F9FE" w14:textId="77777777" w:rsidR="0066201C" w:rsidRDefault="0066201C" w:rsidP="0066201C">
      <w:pPr>
        <w:spacing w:before="140" w:after="140" w:line="320" w:lineRule="auto"/>
        <w:jc w:val="both"/>
      </w:pPr>
      <w:r>
        <w:rPr>
          <w:color w:val="111111"/>
        </w:rPr>
        <w:t xml:space="preserve">El mecanismo de mitigación de este sesgo está incorporado en el tercer componente del score RADAR </w:t>
      </w:r>
      <w:proofErr w:type="spellStart"/>
      <w:r>
        <w:rPr>
          <w:color w:val="111111"/>
        </w:rPr>
        <w:t>Cibest</w:t>
      </w:r>
      <w:proofErr w:type="spellEnd"/>
      <w:r>
        <w:rPr>
          <w:color w:val="111111"/>
        </w:rPr>
        <w:t xml:space="preserve">: el factor de tendencia, que representa el quince por ciento del score compuesto. Este factor captura la dirección y la velocidad de cambio de las variables más dinámicas del modelo — crecimiento del PIB, evolución de los indicadores WGI, trayectoria de la inclusión financiera — en lugar de solo su nivel actual. Un mercado que hoy está por debajo de la mediana del </w:t>
      </w:r>
      <w:proofErr w:type="gramStart"/>
      <w:r>
        <w:rPr>
          <w:color w:val="111111"/>
        </w:rPr>
        <w:t>universo</w:t>
      </w:r>
      <w:proofErr w:type="gramEnd"/>
      <w:r>
        <w:rPr>
          <w:color w:val="111111"/>
        </w:rPr>
        <w:t xml:space="preserve"> pero está cerrando esa brecha a ritmo acelerado recibe un factor de tendencia positivo que eleva su score compuesto por encima de lo que su nivel actual indicaría. Este mecanismo es especialmente relevante para mercados como Ecuador, Colombia vecinos como Perú o mercados centroamericanos que han tenido reformas financieras significativas en los últimos </w:t>
      </w:r>
      <w:proofErr w:type="gramStart"/>
      <w:r>
        <w:rPr>
          <w:color w:val="111111"/>
        </w:rPr>
        <w:t>años</w:t>
      </w:r>
      <w:proofErr w:type="gramEnd"/>
      <w:r>
        <w:rPr>
          <w:color w:val="111111"/>
        </w:rPr>
        <w:t xml:space="preserve"> pero cuyos datos estadísticos aún no reflejan plenamente el nuevo entorno regulatorio.</w:t>
      </w:r>
    </w:p>
    <w:p w14:paraId="03507A17" w14:textId="77777777" w:rsidR="0066201C" w:rsidRDefault="0066201C" w:rsidP="0066201C">
      <w:pPr>
        <w:spacing w:after="100"/>
      </w:pPr>
    </w:p>
    <w:p w14:paraId="41687EA6" w14:textId="77777777" w:rsidR="0066201C" w:rsidRDefault="0066201C" w:rsidP="0066201C">
      <w:pPr>
        <w:pStyle w:val="Ttulo2"/>
        <w:pBdr>
          <w:bottom w:val="single" w:sz="4" w:space="4" w:color="E8B931"/>
        </w:pBdr>
      </w:pPr>
      <w:bookmarkStart w:id="98" w:name="_Toc232659647"/>
      <w:proofErr w:type="gramStart"/>
      <w:r>
        <w:t>11.7  Cómo</w:t>
      </w:r>
      <w:proofErr w:type="gramEnd"/>
      <w:r>
        <w:t xml:space="preserve"> balancear percepción directiva y evidencia cuantitativa: el protocolo de sesión</w:t>
      </w:r>
      <w:bookmarkEnd w:id="98"/>
    </w:p>
    <w:p w14:paraId="60CF8C48" w14:textId="77777777" w:rsidR="0066201C" w:rsidRDefault="0066201C" w:rsidP="0066201C">
      <w:pPr>
        <w:spacing w:before="140" w:after="140" w:line="320" w:lineRule="auto"/>
        <w:jc w:val="both"/>
      </w:pPr>
      <w:r>
        <w:rPr>
          <w:color w:val="111111"/>
        </w:rPr>
        <w:t xml:space="preserve">La tensión </w:t>
      </w:r>
      <w:proofErr w:type="gramStart"/>
      <w:r>
        <w:rPr>
          <w:color w:val="111111"/>
        </w:rPr>
        <w:t>más frecuente y más productiva</w:t>
      </w:r>
      <w:proofErr w:type="gramEnd"/>
      <w:r>
        <w:rPr>
          <w:color w:val="111111"/>
        </w:rPr>
        <w:t xml:space="preserve"> del proceso SIM es la que ocurre cuando el ranking cuantitativo de RADAR y la percepción de un ejecutivo del Comité sobre un mercado apuntan en direcciones opuestas. Un ejecutivo que conoce bien un mercado y cree que es más atractivo de lo que el modelo indica puede estar en lo correcto — porque tiene información relevante que el modelo no captura — o puede estar manifestando el sesgo de familiaridad descrito en la Sección 11.1. La diferencia entre las dos posibilidades es metodológicamente crítica y no se puede resolver sin un proceso deliberado de diálogo.</w:t>
      </w:r>
    </w:p>
    <w:p w14:paraId="15459F2B" w14:textId="77777777" w:rsidR="0066201C" w:rsidRDefault="0066201C" w:rsidP="0066201C">
      <w:pPr>
        <w:spacing w:before="140" w:after="140" w:line="320" w:lineRule="auto"/>
        <w:jc w:val="both"/>
      </w:pPr>
      <w:r>
        <w:rPr>
          <w:color w:val="111111"/>
        </w:rPr>
        <w:t xml:space="preserve">El protocolo de sesión que el equipo de Estrategia Corporativa propone para las reuniones del Comité Ejecutivo donde se revisan resultados de RADAR tiene cuatro etapas secuenciales. En </w:t>
      </w:r>
      <w:r>
        <w:rPr>
          <w:color w:val="111111"/>
        </w:rPr>
        <w:lastRenderedPageBreak/>
        <w:t xml:space="preserve">la primera, el equipo presenta los resultados completos del modelo — el ranking, los perfiles de fortalezas y debilidades, las señales por </w:t>
      </w:r>
      <w:proofErr w:type="gramStart"/>
      <w:r>
        <w:rPr>
          <w:color w:val="111111"/>
        </w:rPr>
        <w:t>línea</w:t>
      </w:r>
      <w:proofErr w:type="gramEnd"/>
      <w:r>
        <w:rPr>
          <w:color w:val="111111"/>
        </w:rPr>
        <w:t xml:space="preserve"> de negocio — sin que ningún miembro del Comité declare su preferencia de mercado. El Comité observa y formula preguntas sobre los resultados, pero no opina sobre cuáles mercados deberían estar arriba o abajo. En la segunda, el equipo presenta los resultados de la validación del modelo — los cinco criterios de la Sección 5.7 — para que el Comité pueda calibrar el nivel de confianza que merece el ranking. En la tercera, se abre el espacio para que los miembros del Comité compartan sus perspectivas sobre los mercados candidatos: qué saben sobre esos mercados que el modelo puede no estar capturando, qué preguntas tienen sobre los resultados, qué preocupaciones tienen sobre los mercados mejor clasificados. En la cuarta, el equipo registra explícitamente las divergencias entre la percepción directiva y el modelo — los casos donde un ejecutivo considera que un mercado merece mejor posición de la que el modelo le asigna — y se compromete a investigar si esa divergencia refleja información que el modelo no captura o un sesgo cognitivo. Las divergencias se resuelven con evidencia adicional de la Fase 4, no con ajustes ad hoc al modelo.</w:t>
      </w:r>
    </w:p>
    <w:p w14:paraId="2AF7F583" w14:textId="77777777" w:rsidR="0066201C" w:rsidRDefault="0066201C" w:rsidP="0066201C">
      <w:r>
        <w:br w:type="page"/>
      </w:r>
    </w:p>
    <w:p w14:paraId="0592619C" w14:textId="77777777" w:rsidR="0066201C" w:rsidRPr="00460847" w:rsidRDefault="0066201C" w:rsidP="0066201C">
      <w:pPr>
        <w:pStyle w:val="Ttulo1"/>
        <w:ind w:left="200" w:right="200"/>
        <w:rPr>
          <w:color w:val="auto"/>
        </w:rPr>
      </w:pPr>
      <w:bookmarkStart w:id="99" w:name="_Toc232659648"/>
      <w:r w:rsidRPr="00460847">
        <w:rPr>
          <w:color w:val="auto"/>
        </w:rPr>
        <w:lastRenderedPageBreak/>
        <w:t>Sección 12 — Limitaciones del Modelo Cuantitativo y del Proceso SIM</w:t>
      </w:r>
      <w:bookmarkEnd w:id="99"/>
    </w:p>
    <w:p w14:paraId="5BB747EE" w14:textId="77777777" w:rsidR="0066201C" w:rsidRDefault="0066201C" w:rsidP="0066201C">
      <w:pPr>
        <w:spacing w:after="100"/>
      </w:pPr>
    </w:p>
    <w:p w14:paraId="214F6063" w14:textId="0FFF12CA" w:rsidR="0066201C" w:rsidRDefault="0066201C" w:rsidP="0066201C">
      <w:pPr>
        <w:spacing w:before="140" w:after="140" w:line="320" w:lineRule="auto"/>
        <w:jc w:val="both"/>
      </w:pPr>
      <w:r>
        <w:rPr>
          <w:color w:val="111111"/>
        </w:rPr>
        <w:t xml:space="preserve">Esta sección tiene una función diferente a todas las anteriores: en lugar de describir qué hace el proceso SIM y cómo hacerlo bien, describe qué no puede hacer este proceso y dónde están sus límites estructurales. La razón para dedicarle una sección completa — y para colocarla en un lugar de alta visibilidad del </w:t>
      </w:r>
      <w:r w:rsidR="00AA01B4">
        <w:rPr>
          <w:color w:val="111111"/>
        </w:rPr>
        <w:t>documento</w:t>
      </w:r>
      <w:r>
        <w:rPr>
          <w:color w:val="111111"/>
        </w:rPr>
        <w:t xml:space="preserve">, antes de la gobernanza y la bibliografía — es que el mal uso de un buen proceso es más peligroso que no tener proceso. Un Comité Ejecutivo que entiende bien las limitaciones de RADAR </w:t>
      </w:r>
      <w:proofErr w:type="spellStart"/>
      <w:r>
        <w:rPr>
          <w:color w:val="111111"/>
        </w:rPr>
        <w:t>Cibest</w:t>
      </w:r>
      <w:proofErr w:type="spellEnd"/>
      <w:r>
        <w:rPr>
          <w:color w:val="111111"/>
        </w:rPr>
        <w:t xml:space="preserve"> y del proceso SIM puede usar sus resultados con el calibrado correcto; uno que las desconoce puede tomar decisiones de inversión apoyadas en una confianza excesiva en un instrumento que no garantiza lo que el Comité cree que garantiza.</w:t>
      </w:r>
    </w:p>
    <w:p w14:paraId="7D317128" w14:textId="77777777" w:rsidR="0066201C" w:rsidRDefault="0066201C" w:rsidP="0066201C">
      <w:pPr>
        <w:spacing w:after="100"/>
      </w:pPr>
    </w:p>
    <w:p w14:paraId="6CCEF866" w14:textId="77777777" w:rsidR="0066201C" w:rsidRDefault="0066201C" w:rsidP="0066201C">
      <w:pPr>
        <w:pStyle w:val="Ttulo2"/>
        <w:pBdr>
          <w:bottom w:val="single" w:sz="4" w:space="4" w:color="E8B931"/>
        </w:pBdr>
      </w:pPr>
      <w:bookmarkStart w:id="100" w:name="_Toc232659649"/>
      <w:proofErr w:type="gramStart"/>
      <w:r>
        <w:t>12.1  Lo</w:t>
      </w:r>
      <w:proofErr w:type="gramEnd"/>
      <w:r>
        <w:t xml:space="preserve"> que RADAR </w:t>
      </w:r>
      <w:proofErr w:type="spellStart"/>
      <w:r>
        <w:t>Cibest</w:t>
      </w:r>
      <w:proofErr w:type="spellEnd"/>
      <w:r>
        <w:t xml:space="preserve"> no hace: las cinco limitaciones fundamentales</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201C" w14:paraId="4EB7CBB8" w14:textId="77777777" w:rsidTr="00800E51">
        <w:tc>
          <w:tcPr>
            <w:tcW w:w="9360" w:type="dxa"/>
            <w:tcBorders>
              <w:top w:val="single" w:sz="1" w:space="0" w:color="E8B931"/>
              <w:left w:val="single" w:sz="1" w:space="0" w:color="E8B931"/>
              <w:bottom w:val="single" w:sz="1" w:space="0" w:color="E8B931"/>
              <w:right w:val="single" w:sz="1" w:space="0" w:color="E8B931"/>
            </w:tcBorders>
            <w:shd w:val="clear" w:color="auto" w:fill="FFF8E7"/>
            <w:tcMar>
              <w:top w:w="140" w:type="dxa"/>
              <w:left w:w="220" w:type="dxa"/>
              <w:bottom w:w="140" w:type="dxa"/>
              <w:right w:w="220" w:type="dxa"/>
            </w:tcMar>
          </w:tcPr>
          <w:p w14:paraId="5B1C5E69" w14:textId="77777777" w:rsidR="0066201C" w:rsidRDefault="0066201C" w:rsidP="001F40FE">
            <w:pPr>
              <w:spacing w:after="80"/>
            </w:pPr>
            <w:proofErr w:type="gramStart"/>
            <w:r>
              <w:rPr>
                <w:b/>
                <w:bCs/>
                <w:caps/>
                <w:color w:val="7D4800"/>
                <w:sz w:val="20"/>
                <w:szCs w:val="20"/>
              </w:rPr>
              <w:t>⚠  Limitación</w:t>
            </w:r>
            <w:proofErr w:type="gramEnd"/>
            <w:r>
              <w:rPr>
                <w:b/>
                <w:bCs/>
                <w:caps/>
                <w:color w:val="7D4800"/>
                <w:sz w:val="20"/>
                <w:szCs w:val="20"/>
              </w:rPr>
              <w:t xml:space="preserve"> del Modelo</w:t>
            </w:r>
          </w:p>
          <w:p w14:paraId="6A5EB7A3" w14:textId="77777777" w:rsidR="0066201C" w:rsidRDefault="0066201C" w:rsidP="001F40FE">
            <w:pPr>
              <w:spacing w:after="60"/>
              <w:jc w:val="both"/>
            </w:pPr>
            <w:r>
              <w:rPr>
                <w:color w:val="1A1A1A"/>
                <w:sz w:val="20"/>
                <w:szCs w:val="20"/>
              </w:rPr>
              <w:t xml:space="preserve">RADAR </w:t>
            </w:r>
            <w:proofErr w:type="spellStart"/>
            <w:r>
              <w:rPr>
                <w:color w:val="1A1A1A"/>
                <w:sz w:val="20"/>
                <w:szCs w:val="20"/>
              </w:rPr>
              <w:t>Cibest</w:t>
            </w:r>
            <w:proofErr w:type="spellEnd"/>
            <w:r>
              <w:rPr>
                <w:color w:val="1A1A1A"/>
                <w:sz w:val="20"/>
                <w:szCs w:val="20"/>
              </w:rPr>
              <w:t xml:space="preserve"> no predice el éxito de la entrada al mercado. Predice el atractivo relativo del mercado según los criterios configurados por la dirección de </w:t>
            </w:r>
            <w:proofErr w:type="spellStart"/>
            <w:r>
              <w:rPr>
                <w:color w:val="1A1A1A"/>
                <w:sz w:val="20"/>
                <w:szCs w:val="20"/>
              </w:rPr>
              <w:t>Cibest</w:t>
            </w:r>
            <w:proofErr w:type="spellEnd"/>
            <w:r>
              <w:rPr>
                <w:color w:val="1A1A1A"/>
                <w:sz w:val="20"/>
                <w:szCs w:val="20"/>
              </w:rPr>
              <w:t xml:space="preserve">. Un mercado con score alto puede resultar en una operación fallida si el modelo de negocio de </w:t>
            </w:r>
            <w:proofErr w:type="spellStart"/>
            <w:r>
              <w:rPr>
                <w:color w:val="1A1A1A"/>
                <w:sz w:val="20"/>
                <w:szCs w:val="20"/>
              </w:rPr>
              <w:t>Cibest</w:t>
            </w:r>
            <w:proofErr w:type="spellEnd"/>
            <w:r>
              <w:rPr>
                <w:color w:val="1A1A1A"/>
                <w:sz w:val="20"/>
                <w:szCs w:val="20"/>
              </w:rPr>
              <w:t xml:space="preserve"> no es el adecuado para ese mercado, si la ejecución es deficiente, si las capacidades de la organización no son suficientes para el reto de la entrada, o si el contexto macroeconómico o regulatorio cambia después de la decisión. El modelo mide el entorno, no las probabilidades de éxito de </w:t>
            </w:r>
            <w:proofErr w:type="spellStart"/>
            <w:r>
              <w:rPr>
                <w:color w:val="1A1A1A"/>
                <w:sz w:val="20"/>
                <w:szCs w:val="20"/>
              </w:rPr>
              <w:t>Cibest</w:t>
            </w:r>
            <w:proofErr w:type="spellEnd"/>
            <w:r>
              <w:rPr>
                <w:color w:val="1A1A1A"/>
                <w:sz w:val="20"/>
                <w:szCs w:val="20"/>
              </w:rPr>
              <w:t xml:space="preserve"> en ese entorno.</w:t>
            </w:r>
          </w:p>
        </w:tc>
      </w:tr>
    </w:tbl>
    <w:p w14:paraId="7C0F3412" w14:textId="77777777" w:rsidR="0066201C" w:rsidRDefault="0066201C" w:rsidP="0066201C">
      <w:pPr>
        <w:spacing w:after="100"/>
      </w:pPr>
    </w:p>
    <w:p w14:paraId="6E4D9BC2" w14:textId="77777777" w:rsidR="0066201C" w:rsidRDefault="0066201C" w:rsidP="0066201C">
      <w:pPr>
        <w:spacing w:before="140" w:after="140" w:line="320" w:lineRule="auto"/>
        <w:jc w:val="both"/>
      </w:pPr>
      <w:r>
        <w:rPr>
          <w:color w:val="111111"/>
        </w:rPr>
        <w:t xml:space="preserve">La primera limitación es que RADAR no captura eventos no reflejados en datos históricos. El modelo trabaja con los datos más recientes disponibles para cada variable, que en el mejor de los casos tienen uno o dos años de rezago. Una crisis política, un cambio regulatorio sorpresivo, una pandemia, una guerra, o la entrada de un competidor disruptivo en el período entre la fecha de corte de los datos y la fecha de la decisión de entrada no estarán reflejados en el score del mercado. Esta limitación es estructural e inevitable en cualquier modelo que trabaje con datos estadísticos: los datos históricos nunca capturan el futuro. La compensación es el componente de tendencia del modelo y el monitoreo </w:t>
      </w:r>
      <w:proofErr w:type="gramStart"/>
      <w:r>
        <w:rPr>
          <w:color w:val="111111"/>
        </w:rPr>
        <w:t>continuo</w:t>
      </w:r>
      <w:proofErr w:type="gramEnd"/>
      <w:r>
        <w:rPr>
          <w:color w:val="111111"/>
        </w:rPr>
        <w:t xml:space="preserve"> descrito en la Sección 14.</w:t>
      </w:r>
    </w:p>
    <w:p w14:paraId="325D602E" w14:textId="77777777" w:rsidR="0066201C" w:rsidRDefault="0066201C" w:rsidP="0066201C">
      <w:pPr>
        <w:spacing w:before="140" w:after="140" w:line="320" w:lineRule="auto"/>
        <w:jc w:val="both"/>
      </w:pPr>
      <w:r>
        <w:rPr>
          <w:color w:val="111111"/>
        </w:rPr>
        <w:t xml:space="preserve">La segunda limitación es que RADAR no evalúa a los competidores de </w:t>
      </w:r>
      <w:proofErr w:type="spellStart"/>
      <w:r>
        <w:rPr>
          <w:color w:val="111111"/>
        </w:rPr>
        <w:t>Cibest</w:t>
      </w:r>
      <w:proofErr w:type="spellEnd"/>
      <w:r>
        <w:rPr>
          <w:color w:val="111111"/>
        </w:rPr>
        <w:t xml:space="preserve">. Las condiciones de mercado que el modelo captura — tamaño, márgenes, concentración bancaria — son condiciones objetivas del entorno, iguales para todos los posibles entrantes. El modelo no sabe si un banco colombiano competidor de </w:t>
      </w:r>
      <w:proofErr w:type="spellStart"/>
      <w:r>
        <w:rPr>
          <w:color w:val="111111"/>
        </w:rPr>
        <w:t>Cibest</w:t>
      </w:r>
      <w:proofErr w:type="spellEnd"/>
      <w:r>
        <w:rPr>
          <w:color w:val="111111"/>
        </w:rPr>
        <w:t xml:space="preserve"> está en proceso de adquirir una institución en ese mismo mercado, si una </w:t>
      </w:r>
      <w:proofErr w:type="spellStart"/>
      <w:r>
        <w:rPr>
          <w:color w:val="111111"/>
        </w:rPr>
        <w:t>fintech</w:t>
      </w:r>
      <w:proofErr w:type="spellEnd"/>
      <w:r>
        <w:rPr>
          <w:color w:val="111111"/>
        </w:rPr>
        <w:t xml:space="preserve"> internacional acaba de recibir una licencia que le da ventaja de </w:t>
      </w:r>
      <w:r>
        <w:rPr>
          <w:color w:val="111111"/>
        </w:rPr>
        <w:lastRenderedPageBreak/>
        <w:t>primer entrante, o si el incumbente local está en proceso de modernización tecnológica que reducirá significativamente su ventaja de eficiencia. La inteligencia competitiva de la Fase 4 es la única fuente de esta información, y por esa razón no puede ser omitida o abreviada.</w:t>
      </w:r>
    </w:p>
    <w:p w14:paraId="433FA48B" w14:textId="77777777" w:rsidR="0066201C" w:rsidRDefault="0066201C" w:rsidP="0066201C">
      <w:pPr>
        <w:spacing w:before="140" w:after="140" w:line="320" w:lineRule="auto"/>
        <w:jc w:val="both"/>
      </w:pPr>
      <w:r>
        <w:rPr>
          <w:color w:val="111111"/>
        </w:rPr>
        <w:t xml:space="preserve">La tercera limitación es que RADAR no define el modelo de negocio de </w:t>
      </w:r>
      <w:proofErr w:type="spellStart"/>
      <w:r>
        <w:rPr>
          <w:color w:val="111111"/>
        </w:rPr>
        <w:t>Cibest</w:t>
      </w:r>
      <w:proofErr w:type="spellEnd"/>
      <w:r>
        <w:rPr>
          <w:color w:val="111111"/>
        </w:rPr>
        <w:t xml:space="preserve"> en el mercado destino. El modelo produce señales sobre en qué dimensiones un mercado es favorable para una línea de negocio, pero no especifica qué producto exactamente, con qué propuesta de valor, para qué segmento de clientes, a qué precio y con qué estructura operativa debe </w:t>
      </w:r>
      <w:proofErr w:type="spellStart"/>
      <w:r>
        <w:rPr>
          <w:color w:val="111111"/>
        </w:rPr>
        <w:t>Cibest</w:t>
      </w:r>
      <w:proofErr w:type="spellEnd"/>
      <w:r>
        <w:rPr>
          <w:color w:val="111111"/>
        </w:rPr>
        <w:t xml:space="preserve"> entrar a ese mercado. La señal de 'Alta Oportunidad para Bancos Digitales' no dice si </w:t>
      </w:r>
      <w:proofErr w:type="spellStart"/>
      <w:r>
        <w:rPr>
          <w:color w:val="111111"/>
        </w:rPr>
        <w:t>Cibest</w:t>
      </w:r>
      <w:proofErr w:type="spellEnd"/>
      <w:r>
        <w:rPr>
          <w:color w:val="111111"/>
        </w:rPr>
        <w:t xml:space="preserve"> debe entrar con una propuesta de crédito de consumo digital, con una cuenta de ahorro sin comisiones, con un producto de inversión automatizado o con una propuesta de pagos integrada. Esa decisión requiere el análisis de demanda de la Fase 4 y la evaluación de capacidades de la Fase 5, no el score cuantitativo de la Fase 3.</w:t>
      </w:r>
    </w:p>
    <w:p w14:paraId="7B984E8C" w14:textId="77777777" w:rsidR="0066201C" w:rsidRDefault="0066201C" w:rsidP="0066201C">
      <w:pPr>
        <w:spacing w:before="140" w:after="140" w:line="320" w:lineRule="auto"/>
        <w:jc w:val="both"/>
      </w:pPr>
      <w:r>
        <w:rPr>
          <w:color w:val="111111"/>
        </w:rPr>
        <w:t xml:space="preserve">La cuarta limitación es que RADAR no sustituye 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Sus resultados son señales de inteligencia estratégica de nivel de screening, útiles para priorizar mercados y orientar el análisis cualitativo, pero no son suficientes para tomar una decisión de inversión. La decisión de comprometer capital en un mercado extranjero requiere la verificación directa de los supuestos críticos del modelo financiero de la operación, que solo el </w:t>
      </w:r>
      <w:proofErr w:type="spellStart"/>
      <w:r>
        <w:rPr>
          <w:color w:val="111111"/>
        </w:rPr>
        <w:t>due</w:t>
      </w:r>
      <w:proofErr w:type="spellEnd"/>
      <w:r>
        <w:rPr>
          <w:color w:val="111111"/>
        </w:rPr>
        <w:t xml:space="preserve"> </w:t>
      </w:r>
      <w:proofErr w:type="spellStart"/>
      <w:r>
        <w:rPr>
          <w:color w:val="111111"/>
        </w:rPr>
        <w:t>diligence</w:t>
      </w:r>
      <w:proofErr w:type="spellEnd"/>
      <w:r>
        <w:rPr>
          <w:color w:val="111111"/>
        </w:rPr>
        <w:t xml:space="preserve"> formal puede proporcionar.</w:t>
      </w:r>
    </w:p>
    <w:p w14:paraId="1D0A39D6" w14:textId="77777777" w:rsidR="0066201C" w:rsidRDefault="0066201C" w:rsidP="0066201C">
      <w:pPr>
        <w:spacing w:before="140" w:after="140" w:line="320" w:lineRule="auto"/>
        <w:jc w:val="both"/>
      </w:pPr>
      <w:r>
        <w:rPr>
          <w:color w:val="111111"/>
        </w:rPr>
        <w:t xml:space="preserve">La quinta limitación es que RADAR es tan bueno como los pesos que le dan sus usuarios. Si el proceso de elicitación directiva que produce los pesos del Pilar 1 es superficial — si los ejecutivos respondieron el cuestionario sin reflexión suficiente, si hubo presión de tiempo que impidió la deliberación, si los pesos no fueron validados en su consistencia —, el modelo producirá un ranking que refleja preferencias poco reflexionadas de la dirección, no la estrategia real de internacionalización de </w:t>
      </w:r>
      <w:proofErr w:type="spellStart"/>
      <w:r>
        <w:rPr>
          <w:color w:val="111111"/>
        </w:rPr>
        <w:t>Cibest</w:t>
      </w:r>
      <w:proofErr w:type="spellEnd"/>
      <w:r>
        <w:rPr>
          <w:color w:val="111111"/>
        </w:rPr>
        <w:t>. El modelo amplifica las preferencias de quien lo configura: si esas preferencias son sólidas, el modelo produce un ranking sólido; si son superficiales, el modelo produce un ranking superficial con apariencia de rigor cuantitativo.</w:t>
      </w:r>
    </w:p>
    <w:p w14:paraId="2C598CA7" w14:textId="77777777" w:rsidR="0066201C" w:rsidRDefault="0066201C" w:rsidP="0066201C">
      <w:pPr>
        <w:spacing w:after="100"/>
      </w:pPr>
    </w:p>
    <w:p w14:paraId="0275A835" w14:textId="77777777" w:rsidR="0066201C" w:rsidRDefault="0066201C" w:rsidP="0066201C">
      <w:pPr>
        <w:pStyle w:val="Ttulo2"/>
        <w:pBdr>
          <w:bottom w:val="single" w:sz="4" w:space="4" w:color="E8B931"/>
        </w:pBdr>
      </w:pPr>
      <w:bookmarkStart w:id="101" w:name="_Toc232659650"/>
      <w:proofErr w:type="gramStart"/>
      <w:r>
        <w:t>12.2  Limitaciones</w:t>
      </w:r>
      <w:proofErr w:type="gramEnd"/>
      <w:r>
        <w:t xml:space="preserve"> técnicas del modelo cuantitativo</w:t>
      </w:r>
      <w:bookmarkEnd w:id="101"/>
    </w:p>
    <w:p w14:paraId="76C29BF1" w14:textId="77777777" w:rsidR="0066201C" w:rsidRDefault="0066201C" w:rsidP="0066201C">
      <w:pPr>
        <w:spacing w:before="140" w:after="140" w:line="320" w:lineRule="auto"/>
        <w:jc w:val="both"/>
      </w:pPr>
      <w:r>
        <w:rPr>
          <w:color w:val="111111"/>
        </w:rPr>
        <w:t>Para los miembros del Comité con formación cuantitativa o para el equipo de Estrategia que debe explicar el modelo a auditorías internas o externas, se describen a continuación las fuentes de error técnico del modelo y los mecanismos de gestión de cada 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3600"/>
        <w:gridCol w:w="3120"/>
      </w:tblGrid>
      <w:tr w:rsidR="0066201C" w14:paraId="459D8409" w14:textId="77777777" w:rsidTr="00800E51">
        <w:tc>
          <w:tcPr>
            <w:tcW w:w="264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22E57094" w14:textId="77777777" w:rsidR="0066201C" w:rsidRDefault="0066201C" w:rsidP="001F40FE">
            <w:r>
              <w:rPr>
                <w:b/>
                <w:bCs/>
                <w:color w:val="FFFFFF"/>
                <w:sz w:val="20"/>
                <w:szCs w:val="20"/>
              </w:rPr>
              <w:t>Fuente de error técnico</w:t>
            </w:r>
          </w:p>
        </w:tc>
        <w:tc>
          <w:tcPr>
            <w:tcW w:w="36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571CAA44" w14:textId="77777777" w:rsidR="0066201C" w:rsidRDefault="0066201C" w:rsidP="001F40FE">
            <w:r>
              <w:rPr>
                <w:b/>
                <w:bCs/>
                <w:color w:val="FFFFFF"/>
                <w:sz w:val="20"/>
                <w:szCs w:val="20"/>
              </w:rPr>
              <w:t>Descripción y magnitud esperada</w:t>
            </w:r>
          </w:p>
        </w:tc>
        <w:tc>
          <w:tcPr>
            <w:tcW w:w="312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01BCDE01" w14:textId="77777777" w:rsidR="0066201C" w:rsidRDefault="0066201C" w:rsidP="001F40FE">
            <w:r>
              <w:rPr>
                <w:b/>
                <w:bCs/>
                <w:color w:val="FFFFFF"/>
                <w:sz w:val="20"/>
                <w:szCs w:val="20"/>
              </w:rPr>
              <w:t xml:space="preserve">Mecanismo de gestión en RADAR </w:t>
            </w:r>
            <w:proofErr w:type="spellStart"/>
            <w:r>
              <w:rPr>
                <w:b/>
                <w:bCs/>
                <w:color w:val="FFFFFF"/>
                <w:sz w:val="20"/>
                <w:szCs w:val="20"/>
              </w:rPr>
              <w:t>Cibest</w:t>
            </w:r>
            <w:proofErr w:type="spellEnd"/>
          </w:p>
        </w:tc>
      </w:tr>
      <w:tr w:rsidR="0066201C" w14:paraId="14594767" w14:textId="77777777" w:rsidTr="00800E51">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6DF258A" w14:textId="77777777" w:rsidR="0066201C" w:rsidRDefault="0066201C" w:rsidP="001F40FE">
            <w:r>
              <w:rPr>
                <w:b/>
                <w:bCs/>
                <w:color w:val="111111"/>
                <w:sz w:val="20"/>
                <w:szCs w:val="20"/>
              </w:rPr>
              <w:t>Error de medición en fuentes estadísticas</w:t>
            </w:r>
          </w:p>
        </w:tc>
        <w:tc>
          <w:tcPr>
            <w:tcW w:w="3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9AFE88F" w14:textId="77777777" w:rsidR="0066201C" w:rsidRDefault="0066201C" w:rsidP="001F40FE">
            <w:r>
              <w:rPr>
                <w:color w:val="111111"/>
                <w:sz w:val="20"/>
                <w:szCs w:val="20"/>
              </w:rPr>
              <w:t xml:space="preserve">Las variables del WDI, WGI y GFDD son estimaciones con márgenes de </w:t>
            </w:r>
            <w:r>
              <w:rPr>
                <w:color w:val="111111"/>
                <w:sz w:val="20"/>
                <w:szCs w:val="20"/>
              </w:rPr>
              <w:lastRenderedPageBreak/>
              <w:t>error propios de cada fuente. El WGI, en particular, publica intervalos de confianza de ±0.2 puntos en su escala de -2.5 a +2.5 para la mayoría de los países. Variables con error de medición alto en países con sistemas estadísticos débiles.</w:t>
            </w:r>
          </w:p>
        </w:tc>
        <w:tc>
          <w:tcPr>
            <w:tcW w:w="31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C79B673" w14:textId="77777777" w:rsidR="0066201C" w:rsidRDefault="0066201C" w:rsidP="001F40FE">
            <w:r>
              <w:rPr>
                <w:color w:val="111111"/>
                <w:sz w:val="20"/>
                <w:szCs w:val="20"/>
              </w:rPr>
              <w:lastRenderedPageBreak/>
              <w:t xml:space="preserve">El análisis de sensibilidad de pesos (Sección 5.7) absorbe </w:t>
            </w:r>
            <w:r>
              <w:rPr>
                <w:color w:val="111111"/>
                <w:sz w:val="20"/>
                <w:szCs w:val="20"/>
              </w:rPr>
              <w:lastRenderedPageBreak/>
              <w:t>parcialmente el error de medición al evaluar la robustez del ranking a perturbaciones. El indicador de cobertura de datos por país documenta qué mercados tienen mayor exposición a este error.</w:t>
            </w:r>
          </w:p>
        </w:tc>
      </w:tr>
      <w:tr w:rsidR="0066201C" w14:paraId="0CD66E63" w14:textId="77777777" w:rsidTr="00800E51">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014E401" w14:textId="77777777" w:rsidR="0066201C" w:rsidRDefault="0066201C" w:rsidP="001F40FE">
            <w:r>
              <w:rPr>
                <w:b/>
                <w:bCs/>
                <w:color w:val="111111"/>
                <w:sz w:val="20"/>
                <w:szCs w:val="20"/>
              </w:rPr>
              <w:t>Datos faltantes imputados</w:t>
            </w:r>
          </w:p>
        </w:tc>
        <w:tc>
          <w:tcPr>
            <w:tcW w:w="3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C7BCCEE" w14:textId="77777777" w:rsidR="0066201C" w:rsidRDefault="0066201C" w:rsidP="001F40FE">
            <w:r>
              <w:rPr>
                <w:color w:val="111111"/>
                <w:sz w:val="20"/>
                <w:szCs w:val="20"/>
              </w:rPr>
              <w:t>Para los países con datos faltantes en variables específicas, el modelo aplica la mediana del universo como valor de imputación. Esta imputación reduce artificialmente la discriminación del modelo para esos mercados y puede beneficiar a países que debería penalizar (si la mediana es favorable) o viceversa.</w:t>
            </w:r>
          </w:p>
        </w:tc>
        <w:tc>
          <w:tcPr>
            <w:tcW w:w="31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471CD1C" w14:textId="77777777" w:rsidR="0066201C" w:rsidRDefault="0066201C" w:rsidP="001F40FE">
            <w:r>
              <w:rPr>
                <w:color w:val="111111"/>
                <w:sz w:val="20"/>
                <w:szCs w:val="20"/>
              </w:rPr>
              <w:t>El modelo documenta explícitamente qué variables fueron imputadas para cada país. Los mercados con más del 20% de variables imputadas reciben una nota de precaución que se comunica al Comité junto con su score.</w:t>
            </w:r>
          </w:p>
        </w:tc>
      </w:tr>
      <w:tr w:rsidR="0066201C" w14:paraId="031D09DD" w14:textId="77777777" w:rsidTr="00800E51">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9557CD2" w14:textId="77777777" w:rsidR="0066201C" w:rsidRDefault="0066201C" w:rsidP="001F40FE">
            <w:r>
              <w:rPr>
                <w:b/>
                <w:bCs/>
                <w:color w:val="111111"/>
                <w:sz w:val="20"/>
                <w:szCs w:val="20"/>
              </w:rPr>
              <w:t>Sensibilidad al método de normalización</w:t>
            </w:r>
          </w:p>
        </w:tc>
        <w:tc>
          <w:tcPr>
            <w:tcW w:w="3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FA2483F" w14:textId="77777777" w:rsidR="0066201C" w:rsidRDefault="0066201C" w:rsidP="001F40FE">
            <w:r>
              <w:rPr>
                <w:color w:val="111111"/>
                <w:sz w:val="20"/>
                <w:szCs w:val="20"/>
              </w:rPr>
              <w:t>La normalización min-</w:t>
            </w:r>
            <w:proofErr w:type="spellStart"/>
            <w:r>
              <w:rPr>
                <w:color w:val="111111"/>
                <w:sz w:val="20"/>
                <w:szCs w:val="20"/>
              </w:rPr>
              <w:t>max</w:t>
            </w:r>
            <w:proofErr w:type="spellEnd"/>
            <w:r>
              <w:rPr>
                <w:color w:val="111111"/>
                <w:sz w:val="20"/>
                <w:szCs w:val="20"/>
              </w:rPr>
              <w:t xml:space="preserve"> transforma los valores crudos de cada variable a una escala de 0 a 1. Este método es sensible a valores extremos: si Venezuela tiene inflación de 200% y el resto del universo tiene inflación de 5-20%, el método min-</w:t>
            </w:r>
            <w:proofErr w:type="spellStart"/>
            <w:r>
              <w:rPr>
                <w:color w:val="111111"/>
                <w:sz w:val="20"/>
                <w:szCs w:val="20"/>
              </w:rPr>
              <w:t>max</w:t>
            </w:r>
            <w:proofErr w:type="spellEnd"/>
            <w:r>
              <w:rPr>
                <w:color w:val="111111"/>
                <w:sz w:val="20"/>
                <w:szCs w:val="20"/>
              </w:rPr>
              <w:t xml:space="preserve"> comprimirá artificialmente las diferencias entre el resto de los países. Métodos alternativos (z-score, percentil) producirían scores diferentes.</w:t>
            </w:r>
          </w:p>
        </w:tc>
        <w:tc>
          <w:tcPr>
            <w:tcW w:w="31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FBA8F6D" w14:textId="77777777" w:rsidR="0066201C" w:rsidRDefault="0066201C" w:rsidP="001F40FE">
            <w:r>
              <w:rPr>
                <w:color w:val="111111"/>
                <w:sz w:val="20"/>
                <w:szCs w:val="20"/>
              </w:rPr>
              <w:t xml:space="preserve">El modelo incluye un paso de detección de valores extremos que aplica </w:t>
            </w:r>
            <w:proofErr w:type="spellStart"/>
            <w:r>
              <w:rPr>
                <w:color w:val="111111"/>
                <w:sz w:val="20"/>
                <w:szCs w:val="20"/>
              </w:rPr>
              <w:t>winsorización</w:t>
            </w:r>
            <w:proofErr w:type="spellEnd"/>
            <w:r>
              <w:rPr>
                <w:color w:val="111111"/>
                <w:sz w:val="20"/>
                <w:szCs w:val="20"/>
              </w:rPr>
              <w:t xml:space="preserve"> al percentil 95 para variables con distribución muy sesgada, reduciendo el efecto de los </w:t>
            </w:r>
            <w:proofErr w:type="spellStart"/>
            <w:r>
              <w:rPr>
                <w:color w:val="111111"/>
                <w:sz w:val="20"/>
                <w:szCs w:val="20"/>
              </w:rPr>
              <w:t>outliers</w:t>
            </w:r>
            <w:proofErr w:type="spellEnd"/>
            <w:r>
              <w:rPr>
                <w:color w:val="111111"/>
                <w:sz w:val="20"/>
                <w:szCs w:val="20"/>
              </w:rPr>
              <w:t xml:space="preserve"> sobre la escala de normalización.</w:t>
            </w:r>
          </w:p>
        </w:tc>
      </w:tr>
      <w:tr w:rsidR="0066201C" w14:paraId="6F56A763" w14:textId="77777777" w:rsidTr="00800E51">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C101EC8" w14:textId="77777777" w:rsidR="0066201C" w:rsidRDefault="0066201C" w:rsidP="001F40FE">
            <w:r>
              <w:rPr>
                <w:b/>
                <w:bCs/>
                <w:color w:val="111111"/>
                <w:sz w:val="20"/>
                <w:szCs w:val="20"/>
              </w:rPr>
              <w:t>Correlación entre dimensiones (multicolinealidad)</w:t>
            </w:r>
          </w:p>
        </w:tc>
        <w:tc>
          <w:tcPr>
            <w:tcW w:w="3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1799AAD" w14:textId="77777777" w:rsidR="0066201C" w:rsidRDefault="0066201C" w:rsidP="001F40FE">
            <w:r>
              <w:rPr>
                <w:color w:val="111111"/>
                <w:sz w:val="20"/>
                <w:szCs w:val="20"/>
              </w:rPr>
              <w:t>Las cinco dimensiones del modelo no son independientes entre sí: el desarrollo macroeconómico y el desarrollo financiero están altamente correlacionados, al igual que la calidad institucional y la efectividad regulatoria. Variables altamente correlacionadas inflan el peso efectivo de la dimensión a la que pertenecen, más allá del peso asignado en el Pilar 1.</w:t>
            </w:r>
          </w:p>
        </w:tc>
        <w:tc>
          <w:tcPr>
            <w:tcW w:w="31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12FBC47" w14:textId="77777777" w:rsidR="0066201C" w:rsidRDefault="0066201C" w:rsidP="001F40FE">
            <w:r>
              <w:rPr>
                <w:color w:val="111111"/>
                <w:sz w:val="20"/>
                <w:szCs w:val="20"/>
              </w:rPr>
              <w:t>El diseño del diccionario de variables incorporó el criterio de no redundancia en la selección de cada variable (Sección 5.3). El equipo calcula la matriz de correlación de variables antes de cada ejecución del modelo y documenta las correlaciones superiores a 0.80, que pueden indicar redundancia en la información aportada.</w:t>
            </w:r>
          </w:p>
        </w:tc>
      </w:tr>
      <w:tr w:rsidR="0066201C" w14:paraId="3FB50C37" w14:textId="77777777" w:rsidTr="00800E51">
        <w:tc>
          <w:tcPr>
            <w:tcW w:w="26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A6078A0" w14:textId="77777777" w:rsidR="0066201C" w:rsidRDefault="0066201C" w:rsidP="001F40FE">
            <w:r>
              <w:rPr>
                <w:b/>
                <w:bCs/>
                <w:color w:val="111111"/>
                <w:sz w:val="20"/>
                <w:szCs w:val="20"/>
              </w:rPr>
              <w:t>Asunción de estabilidad de preferencias directivas</w:t>
            </w:r>
          </w:p>
        </w:tc>
        <w:tc>
          <w:tcPr>
            <w:tcW w:w="3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2006F1D" w14:textId="77777777" w:rsidR="0066201C" w:rsidRDefault="0066201C" w:rsidP="001F40FE">
            <w:r>
              <w:rPr>
                <w:color w:val="111111"/>
                <w:sz w:val="20"/>
                <w:szCs w:val="20"/>
              </w:rPr>
              <w:t xml:space="preserve">El modelo asume que los pesos asignados por el Comité Ejecutivo en la sesión de elicitación son estables durante todo el período de validez del ranking. Si la estrategia corporativa de </w:t>
            </w:r>
            <w:proofErr w:type="spellStart"/>
            <w:r>
              <w:rPr>
                <w:color w:val="111111"/>
                <w:sz w:val="20"/>
                <w:szCs w:val="20"/>
              </w:rPr>
              <w:t>Cibest</w:t>
            </w:r>
            <w:proofErr w:type="spellEnd"/>
            <w:r>
              <w:rPr>
                <w:color w:val="111111"/>
                <w:sz w:val="20"/>
                <w:szCs w:val="20"/>
              </w:rPr>
              <w:t xml:space="preserve"> cambia significativamente — nueva línea de negocio, nuevo horizonte de inversión, cambio de liderazgo en el Comité — los pesos pueden dejar de reflejar las prioridades actuales de la dirección.</w:t>
            </w:r>
          </w:p>
        </w:tc>
        <w:tc>
          <w:tcPr>
            <w:tcW w:w="312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5B36EF9" w14:textId="77777777" w:rsidR="0066201C" w:rsidRDefault="0066201C" w:rsidP="001F40FE">
            <w:r>
              <w:rPr>
                <w:color w:val="111111"/>
                <w:sz w:val="20"/>
                <w:szCs w:val="20"/>
              </w:rPr>
              <w:t xml:space="preserve">El protocolo de actualización anual descrito en la Sección 14 incluye una </w:t>
            </w:r>
            <w:proofErr w:type="spellStart"/>
            <w:r>
              <w:rPr>
                <w:color w:val="111111"/>
                <w:sz w:val="20"/>
                <w:szCs w:val="20"/>
              </w:rPr>
              <w:t>re-elicitación</w:t>
            </w:r>
            <w:proofErr w:type="spellEnd"/>
            <w:r>
              <w:rPr>
                <w:color w:val="111111"/>
                <w:sz w:val="20"/>
                <w:szCs w:val="20"/>
              </w:rPr>
              <w:t xml:space="preserve"> de pesos con el Comité, no solo una actualización de datos. Cualquier cambio estratégico mayor en </w:t>
            </w:r>
            <w:proofErr w:type="spellStart"/>
            <w:r>
              <w:rPr>
                <w:color w:val="111111"/>
                <w:sz w:val="20"/>
                <w:szCs w:val="20"/>
              </w:rPr>
              <w:t>Cibest</w:t>
            </w:r>
            <w:proofErr w:type="spellEnd"/>
            <w:r>
              <w:rPr>
                <w:color w:val="111111"/>
                <w:sz w:val="20"/>
                <w:szCs w:val="20"/>
              </w:rPr>
              <w:t xml:space="preserve"> debe activar una </w:t>
            </w:r>
            <w:proofErr w:type="spellStart"/>
            <w:r>
              <w:rPr>
                <w:color w:val="111111"/>
                <w:sz w:val="20"/>
                <w:szCs w:val="20"/>
              </w:rPr>
              <w:t>re-elicitación</w:t>
            </w:r>
            <w:proofErr w:type="spellEnd"/>
            <w:r>
              <w:rPr>
                <w:color w:val="111111"/>
                <w:sz w:val="20"/>
                <w:szCs w:val="20"/>
              </w:rPr>
              <w:t xml:space="preserve"> de pesos fuera del ciclo regular.</w:t>
            </w:r>
          </w:p>
        </w:tc>
      </w:tr>
    </w:tbl>
    <w:p w14:paraId="1FA277F1" w14:textId="77777777" w:rsidR="0066201C" w:rsidRDefault="0066201C" w:rsidP="0066201C">
      <w:pPr>
        <w:spacing w:after="100"/>
      </w:pPr>
    </w:p>
    <w:p w14:paraId="36E029D9" w14:textId="77777777" w:rsidR="0066201C" w:rsidRDefault="0066201C" w:rsidP="0066201C">
      <w:pPr>
        <w:pStyle w:val="Ttulo2"/>
        <w:pBdr>
          <w:bottom w:val="single" w:sz="4" w:space="4" w:color="E8B931"/>
        </w:pBdr>
      </w:pPr>
      <w:bookmarkStart w:id="102" w:name="_Toc232659651"/>
      <w:proofErr w:type="gramStart"/>
      <w:r>
        <w:lastRenderedPageBreak/>
        <w:t>12.3  Limitaciones</w:t>
      </w:r>
      <w:proofErr w:type="gramEnd"/>
      <w:r>
        <w:t xml:space="preserve"> del proceso SIM en su conjunto</w:t>
      </w:r>
      <w:bookmarkEnd w:id="102"/>
    </w:p>
    <w:p w14:paraId="50B246BE" w14:textId="77777777" w:rsidR="0066201C" w:rsidRDefault="0066201C" w:rsidP="0066201C">
      <w:pPr>
        <w:spacing w:before="140" w:after="140" w:line="320" w:lineRule="auto"/>
        <w:jc w:val="both"/>
      </w:pPr>
      <w:r>
        <w:rPr>
          <w:color w:val="111111"/>
        </w:rPr>
        <w:t xml:space="preserve">Más allá de las limitaciones específicas del modelo cuantitativo, el proceso SIM en su conjunto tiene dos limitaciones estructurales que el Comité Ejecutivo debe conocer antes de usar sus resultados para tomar decisiones de inversión. La primera es que el proceso SIM está diseñado para evaluar el atractivo de los mercados, no para garantizar la calidad de la ejecución. Una organización puede seguir rigurosamente las ocho fases del proceso, seleccionar el mercado correcto y el modo de entrada correcto, y </w:t>
      </w:r>
      <w:proofErr w:type="spellStart"/>
      <w:r>
        <w:rPr>
          <w:color w:val="111111"/>
        </w:rPr>
        <w:t>aún</w:t>
      </w:r>
      <w:proofErr w:type="spellEnd"/>
      <w:r>
        <w:rPr>
          <w:color w:val="111111"/>
        </w:rPr>
        <w:t xml:space="preserve"> así fracasar en la ejecución por razones que el proceso no puede detectar: problemas de liderazgo en la operación local, dificultades de integración cultural, sobrecarga de la capacidad de gestión de la casa matriz o cambios en el contexto competitivo durante el período de establecimiento. El proceso SIM reduce el riesgo de la decisión de entrada; no elimina el riesgo de la ejecución.</w:t>
      </w:r>
    </w:p>
    <w:p w14:paraId="6250C9DA" w14:textId="77777777" w:rsidR="0066201C" w:rsidRDefault="0066201C" w:rsidP="0066201C">
      <w:pPr>
        <w:spacing w:before="140" w:after="140" w:line="320" w:lineRule="auto"/>
        <w:jc w:val="both"/>
      </w:pPr>
      <w:r>
        <w:rPr>
          <w:color w:val="111111"/>
        </w:rPr>
        <w:t xml:space="preserve">La segunda limitación estructural es que el proceso SIM es tan bueno como la calidad de la información que recibe. Si el objetivo estratégico de internacionalización declarado por el Comité Ejecutivo en la Fase 1 no refleja el objetivo real de la dirección — porque hay consideraciones políticas o personales que no se expresaron en la sesión de trabajo —, el proceso produce el mercado correcto para el objetivo declarado, no para el objetivo real. Si la inteligencia cualitativa de la Fase 4 fue superficial por restricciones de tiempo o de presupuesto, el proceso clasificará mercados que la investigación más profunda habría descartado. Si la </w:t>
      </w:r>
      <w:proofErr w:type="spellStart"/>
      <w:proofErr w:type="gramStart"/>
      <w:r>
        <w:rPr>
          <w:color w:val="111111"/>
        </w:rPr>
        <w:t>auto-evaluación</w:t>
      </w:r>
      <w:proofErr w:type="spellEnd"/>
      <w:proofErr w:type="gramEnd"/>
      <w:r>
        <w:rPr>
          <w:color w:val="111111"/>
        </w:rPr>
        <w:t xml:space="preserve"> de capacidades de la Fase 5 fue optimista — como tienden a serlo las </w:t>
      </w:r>
      <w:proofErr w:type="spellStart"/>
      <w:proofErr w:type="gramStart"/>
      <w:r>
        <w:rPr>
          <w:color w:val="111111"/>
        </w:rPr>
        <w:t>auto-evaluaciones</w:t>
      </w:r>
      <w:proofErr w:type="spellEnd"/>
      <w:proofErr w:type="gramEnd"/>
      <w:r>
        <w:rPr>
          <w:color w:val="111111"/>
        </w:rPr>
        <w:t xml:space="preserve"> organizacionales cuando hay entusiasmo directivo por la internacionalización —, el proceso clasificará en el Cuadrante 1 mercados que un diagnóstico de capacidades más riguroso habría clasificado en el Cuadrante 3. La calidad del proceso depende en última instancia de la calidad de la participación de los actores que lo alimentan.</w:t>
      </w:r>
    </w:p>
    <w:p w14:paraId="505CA070" w14:textId="77777777" w:rsidR="0066201C" w:rsidRDefault="0066201C" w:rsidP="0066201C">
      <w:r>
        <w:br w:type="page"/>
      </w:r>
    </w:p>
    <w:p w14:paraId="0C83C647" w14:textId="77777777" w:rsidR="0066201C" w:rsidRPr="00460847" w:rsidRDefault="0066201C" w:rsidP="0066201C">
      <w:pPr>
        <w:pStyle w:val="Ttulo1"/>
        <w:ind w:left="200" w:right="200"/>
        <w:rPr>
          <w:color w:val="auto"/>
        </w:rPr>
      </w:pPr>
      <w:bookmarkStart w:id="103" w:name="_Toc232659652"/>
      <w:r w:rsidRPr="00460847">
        <w:rPr>
          <w:color w:val="auto"/>
        </w:rPr>
        <w:lastRenderedPageBreak/>
        <w:t>Sección 13 — Gobernanza del Proceso SIM: Roles, Cronograma y Recursos</w:t>
      </w:r>
      <w:bookmarkEnd w:id="103"/>
    </w:p>
    <w:p w14:paraId="365A4040" w14:textId="77777777" w:rsidR="0066201C" w:rsidRDefault="0066201C" w:rsidP="0066201C">
      <w:pPr>
        <w:spacing w:after="100"/>
      </w:pPr>
    </w:p>
    <w:p w14:paraId="3F5FA267" w14:textId="77777777" w:rsidR="0066201C" w:rsidRDefault="0066201C" w:rsidP="0066201C">
      <w:pPr>
        <w:pStyle w:val="Ttulo2"/>
        <w:pBdr>
          <w:bottom w:val="single" w:sz="4" w:space="4" w:color="E8B931"/>
        </w:pBdr>
      </w:pPr>
      <w:bookmarkStart w:id="104" w:name="_Toc232659653"/>
      <w:proofErr w:type="gramStart"/>
      <w:r>
        <w:t>13.1  Tabla</w:t>
      </w:r>
      <w:proofErr w:type="gramEnd"/>
      <w:r>
        <w:t xml:space="preserve"> RACI del proceso SIM completo</w:t>
      </w:r>
      <w:bookmarkEnd w:id="104"/>
    </w:p>
    <w:p w14:paraId="52E62A60" w14:textId="77777777" w:rsidR="0066201C" w:rsidRDefault="0066201C" w:rsidP="0066201C">
      <w:pPr>
        <w:spacing w:before="140" w:after="140" w:line="320" w:lineRule="auto"/>
        <w:jc w:val="both"/>
      </w:pPr>
      <w:r>
        <w:rPr>
          <w:color w:val="111111"/>
        </w:rPr>
        <w:t>La tabla RACI a continuación asigna para cada fase del proceso SIM cuatro tipos de responsabilidad: R (</w:t>
      </w:r>
      <w:proofErr w:type="gramStart"/>
      <w:r>
        <w:rPr>
          <w:color w:val="111111"/>
        </w:rPr>
        <w:t>Responsable</w:t>
      </w:r>
      <w:proofErr w:type="gramEnd"/>
      <w:r>
        <w:rPr>
          <w:color w:val="111111"/>
        </w:rPr>
        <w:t xml:space="preserve"> — quien ejecuta la tarea), A (Aprobador — quien aprueba el resultado y rinde cuentas por él), C (Consultado — quien debe ser consultado antes de completar la tarea), e I (Informado — quien debe recibir información sobre el resultado sin necesidad de ser consultado).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590"/>
        <w:gridCol w:w="1551"/>
        <w:gridCol w:w="1549"/>
        <w:gridCol w:w="1358"/>
        <w:gridCol w:w="1328"/>
      </w:tblGrid>
      <w:tr w:rsidR="0066201C" w14:paraId="39839B84"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62F4805C" w14:textId="77777777" w:rsidR="0066201C" w:rsidRDefault="0066201C" w:rsidP="001F40FE">
            <w:r>
              <w:rPr>
                <w:b/>
                <w:bCs/>
                <w:color w:val="FFFFFF"/>
                <w:sz w:val="20"/>
                <w:szCs w:val="20"/>
              </w:rPr>
              <w:t>Fase del proceso SIM</w:t>
            </w:r>
          </w:p>
        </w:tc>
        <w:tc>
          <w:tcPr>
            <w:tcW w:w="16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58ED414E" w14:textId="77777777" w:rsidR="0066201C" w:rsidRDefault="0066201C" w:rsidP="001F40FE">
            <w:proofErr w:type="spellStart"/>
            <w:proofErr w:type="gramStart"/>
            <w:r>
              <w:rPr>
                <w:b/>
                <w:bCs/>
                <w:color w:val="FFFFFF"/>
                <w:sz w:val="20"/>
                <w:szCs w:val="20"/>
              </w:rPr>
              <w:t>Co-líderes</w:t>
            </w:r>
            <w:proofErr w:type="spellEnd"/>
            <w:proofErr w:type="gramEnd"/>
            <w:r>
              <w:rPr>
                <w:b/>
                <w:bCs/>
                <w:color w:val="FFFFFF"/>
                <w:sz w:val="20"/>
                <w:szCs w:val="20"/>
              </w:rPr>
              <w:t xml:space="preserve"> RADAR </w:t>
            </w:r>
            <w:proofErr w:type="spellStart"/>
            <w:r>
              <w:rPr>
                <w:b/>
                <w:bCs/>
                <w:color w:val="FFFFFF"/>
                <w:sz w:val="20"/>
                <w:szCs w:val="20"/>
              </w:rPr>
              <w:t>Cibest</w:t>
            </w:r>
            <w:proofErr w:type="spellEnd"/>
          </w:p>
        </w:tc>
        <w:tc>
          <w:tcPr>
            <w:tcW w:w="156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20EF3F27" w14:textId="77777777" w:rsidR="0066201C" w:rsidRDefault="0066201C" w:rsidP="001F40FE">
            <w:r>
              <w:rPr>
                <w:b/>
                <w:bCs/>
                <w:color w:val="FFFFFF"/>
                <w:sz w:val="20"/>
                <w:szCs w:val="20"/>
              </w:rPr>
              <w:t>Director Estrategia</w:t>
            </w:r>
          </w:p>
        </w:tc>
        <w:tc>
          <w:tcPr>
            <w:tcW w:w="156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155691A3" w14:textId="77777777" w:rsidR="0066201C" w:rsidRDefault="0066201C" w:rsidP="001F40FE">
            <w:r>
              <w:rPr>
                <w:b/>
                <w:bCs/>
                <w:color w:val="FFFFFF"/>
                <w:sz w:val="20"/>
                <w:szCs w:val="20"/>
              </w:rPr>
              <w:t>Comité Ejecutivo</w:t>
            </w:r>
          </w:p>
        </w:tc>
        <w:tc>
          <w:tcPr>
            <w:tcW w:w="136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351DE538" w14:textId="77777777" w:rsidR="0066201C" w:rsidRDefault="0066201C" w:rsidP="001F40FE">
            <w:r>
              <w:rPr>
                <w:b/>
                <w:bCs/>
                <w:color w:val="FFFFFF"/>
                <w:sz w:val="20"/>
                <w:szCs w:val="20"/>
              </w:rPr>
              <w:t>Líderes líneas de negocio</w:t>
            </w:r>
          </w:p>
        </w:tc>
        <w:tc>
          <w:tcPr>
            <w:tcW w:w="128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56EF685D" w14:textId="77777777" w:rsidR="0066201C" w:rsidRDefault="0066201C" w:rsidP="001F40FE">
            <w:r>
              <w:rPr>
                <w:b/>
                <w:bCs/>
                <w:color w:val="FFFFFF"/>
                <w:sz w:val="20"/>
                <w:szCs w:val="20"/>
              </w:rPr>
              <w:t>Asesores externos</w:t>
            </w:r>
          </w:p>
        </w:tc>
      </w:tr>
      <w:tr w:rsidR="0066201C" w14:paraId="3E09F324"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8F1E7BB" w14:textId="77777777" w:rsidR="0066201C" w:rsidRDefault="0066201C" w:rsidP="001F40FE">
            <w:r>
              <w:rPr>
                <w:color w:val="111111"/>
                <w:sz w:val="20"/>
                <w:szCs w:val="20"/>
              </w:rPr>
              <w:t>Fase 1 — Definición del objetivo</w:t>
            </w:r>
          </w:p>
        </w:tc>
        <w:tc>
          <w:tcPr>
            <w:tcW w:w="1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3539D11" w14:textId="77777777" w:rsidR="0066201C" w:rsidRDefault="0066201C" w:rsidP="001F40FE">
            <w:r>
              <w:rPr>
                <w:color w:val="111111"/>
                <w:sz w:val="20"/>
                <w:szCs w:val="20"/>
              </w:rPr>
              <w:t>R</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9BD6E7D" w14:textId="77777777" w:rsidR="0066201C" w:rsidRDefault="0066201C" w:rsidP="001F40FE">
            <w:r>
              <w:rPr>
                <w:color w:val="111111"/>
                <w:sz w:val="20"/>
                <w:szCs w:val="20"/>
              </w:rPr>
              <w:t>A</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3449F07" w14:textId="77777777" w:rsidR="0066201C" w:rsidRDefault="0066201C" w:rsidP="001F40FE">
            <w:r>
              <w:rPr>
                <w:color w:val="111111"/>
                <w:sz w:val="20"/>
                <w:szCs w:val="20"/>
              </w:rPr>
              <w:t>A / C</w:t>
            </w:r>
          </w:p>
        </w:tc>
        <w:tc>
          <w:tcPr>
            <w:tcW w:w="1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A95C5DB" w14:textId="77777777" w:rsidR="0066201C" w:rsidRDefault="0066201C" w:rsidP="001F40FE">
            <w:r>
              <w:rPr>
                <w:color w:val="111111"/>
                <w:sz w:val="20"/>
                <w:szCs w:val="20"/>
              </w:rPr>
              <w:t>C</w:t>
            </w:r>
          </w:p>
        </w:tc>
        <w:tc>
          <w:tcPr>
            <w:tcW w:w="12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ED43534" w14:textId="77777777" w:rsidR="0066201C" w:rsidRDefault="0066201C" w:rsidP="001F40FE">
            <w:r>
              <w:rPr>
                <w:color w:val="111111"/>
                <w:sz w:val="20"/>
                <w:szCs w:val="20"/>
              </w:rPr>
              <w:t>—</w:t>
            </w:r>
          </w:p>
        </w:tc>
      </w:tr>
      <w:tr w:rsidR="0066201C" w14:paraId="098BABE2"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EC19175" w14:textId="77777777" w:rsidR="0066201C" w:rsidRDefault="0066201C" w:rsidP="001F40FE">
            <w:r>
              <w:rPr>
                <w:color w:val="111111"/>
                <w:sz w:val="20"/>
                <w:szCs w:val="20"/>
              </w:rPr>
              <w:t>Fase 2 — Screening primario</w:t>
            </w:r>
          </w:p>
        </w:tc>
        <w:tc>
          <w:tcPr>
            <w:tcW w:w="1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2F60621" w14:textId="77777777" w:rsidR="0066201C" w:rsidRDefault="0066201C" w:rsidP="001F40FE">
            <w:r>
              <w:rPr>
                <w:color w:val="111111"/>
                <w:sz w:val="20"/>
                <w:szCs w:val="20"/>
              </w:rPr>
              <w:t>R</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355E48C" w14:textId="77777777" w:rsidR="0066201C" w:rsidRDefault="0066201C" w:rsidP="001F40FE">
            <w:r>
              <w:rPr>
                <w:color w:val="111111"/>
                <w:sz w:val="20"/>
                <w:szCs w:val="20"/>
              </w:rPr>
              <w:t>A</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12DB06C" w14:textId="77777777" w:rsidR="0066201C" w:rsidRDefault="0066201C" w:rsidP="001F40FE">
            <w:r>
              <w:rPr>
                <w:color w:val="111111"/>
                <w:sz w:val="20"/>
                <w:szCs w:val="20"/>
              </w:rPr>
              <w:t>I</w:t>
            </w:r>
          </w:p>
        </w:tc>
        <w:tc>
          <w:tcPr>
            <w:tcW w:w="1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0D5D662" w14:textId="77777777" w:rsidR="0066201C" w:rsidRDefault="0066201C" w:rsidP="001F40FE">
            <w:r>
              <w:rPr>
                <w:color w:val="111111"/>
                <w:sz w:val="20"/>
                <w:szCs w:val="20"/>
              </w:rPr>
              <w:t>—</w:t>
            </w:r>
          </w:p>
        </w:tc>
        <w:tc>
          <w:tcPr>
            <w:tcW w:w="12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68E3B74" w14:textId="77777777" w:rsidR="0066201C" w:rsidRDefault="0066201C" w:rsidP="001F40FE">
            <w:r>
              <w:rPr>
                <w:color w:val="111111"/>
                <w:sz w:val="20"/>
                <w:szCs w:val="20"/>
              </w:rPr>
              <w:t>C (legal)</w:t>
            </w:r>
          </w:p>
        </w:tc>
      </w:tr>
      <w:tr w:rsidR="0066201C" w14:paraId="5FAB2DF6"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E4DAF4E" w14:textId="77777777" w:rsidR="0066201C" w:rsidRDefault="0066201C" w:rsidP="001F40FE">
            <w:r>
              <w:rPr>
                <w:color w:val="111111"/>
                <w:sz w:val="20"/>
                <w:szCs w:val="20"/>
              </w:rPr>
              <w:t xml:space="preserve">Fase 3 — RADAR </w:t>
            </w:r>
            <w:proofErr w:type="spellStart"/>
            <w:r>
              <w:rPr>
                <w:color w:val="111111"/>
                <w:sz w:val="20"/>
                <w:szCs w:val="20"/>
              </w:rPr>
              <w:t>Cibest</w:t>
            </w:r>
            <w:proofErr w:type="spellEnd"/>
            <w:r>
              <w:rPr>
                <w:color w:val="111111"/>
                <w:sz w:val="20"/>
                <w:szCs w:val="20"/>
              </w:rPr>
              <w:t xml:space="preserve"> (datos + modelo)</w:t>
            </w:r>
          </w:p>
        </w:tc>
        <w:tc>
          <w:tcPr>
            <w:tcW w:w="1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54B11A4" w14:textId="77777777" w:rsidR="0066201C" w:rsidRDefault="0066201C" w:rsidP="001F40FE">
            <w:r>
              <w:rPr>
                <w:color w:val="111111"/>
                <w:sz w:val="20"/>
                <w:szCs w:val="20"/>
              </w:rPr>
              <w:t>R</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BF06CEF" w14:textId="77777777" w:rsidR="0066201C" w:rsidRDefault="0066201C" w:rsidP="001F40FE">
            <w:r>
              <w:rPr>
                <w:color w:val="111111"/>
                <w:sz w:val="20"/>
                <w:szCs w:val="20"/>
              </w:rPr>
              <w:t>A</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18FFB0B" w14:textId="77777777" w:rsidR="0066201C" w:rsidRDefault="0066201C" w:rsidP="001F40FE">
            <w:r>
              <w:rPr>
                <w:color w:val="111111"/>
                <w:sz w:val="20"/>
                <w:szCs w:val="20"/>
              </w:rPr>
              <w:t>C</w:t>
            </w:r>
          </w:p>
        </w:tc>
        <w:tc>
          <w:tcPr>
            <w:tcW w:w="1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B9EB655" w14:textId="77777777" w:rsidR="0066201C" w:rsidRDefault="0066201C" w:rsidP="001F40FE">
            <w:r>
              <w:rPr>
                <w:color w:val="111111"/>
                <w:sz w:val="20"/>
                <w:szCs w:val="20"/>
              </w:rPr>
              <w:t>C</w:t>
            </w:r>
          </w:p>
        </w:tc>
        <w:tc>
          <w:tcPr>
            <w:tcW w:w="12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2C58C7C" w14:textId="77777777" w:rsidR="0066201C" w:rsidRDefault="0066201C" w:rsidP="001F40FE">
            <w:r>
              <w:rPr>
                <w:color w:val="111111"/>
                <w:sz w:val="20"/>
                <w:szCs w:val="20"/>
              </w:rPr>
              <w:t>—</w:t>
            </w:r>
          </w:p>
        </w:tc>
      </w:tr>
      <w:tr w:rsidR="0066201C" w14:paraId="22D5AD02"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50F2A0E" w14:textId="77777777" w:rsidR="0066201C" w:rsidRDefault="0066201C" w:rsidP="001F40FE">
            <w:r>
              <w:rPr>
                <w:color w:val="111111"/>
                <w:sz w:val="20"/>
                <w:szCs w:val="20"/>
              </w:rPr>
              <w:t>Fase 3 — Elicitación de pesos</w:t>
            </w:r>
          </w:p>
        </w:tc>
        <w:tc>
          <w:tcPr>
            <w:tcW w:w="1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1CD464E" w14:textId="77777777" w:rsidR="0066201C" w:rsidRDefault="0066201C" w:rsidP="001F40FE">
            <w:r>
              <w:rPr>
                <w:color w:val="111111"/>
                <w:sz w:val="20"/>
                <w:szCs w:val="20"/>
              </w:rPr>
              <w:t>R (facilita)</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B0F1BC3" w14:textId="77777777" w:rsidR="0066201C" w:rsidRDefault="0066201C" w:rsidP="001F40FE">
            <w:r>
              <w:rPr>
                <w:color w:val="111111"/>
                <w:sz w:val="20"/>
                <w:szCs w:val="20"/>
              </w:rPr>
              <w:t>C</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DA90ABD" w14:textId="77777777" w:rsidR="0066201C" w:rsidRDefault="0066201C" w:rsidP="001F40FE">
            <w:r>
              <w:rPr>
                <w:color w:val="111111"/>
                <w:sz w:val="20"/>
                <w:szCs w:val="20"/>
              </w:rPr>
              <w:t>A (decide pesos)</w:t>
            </w:r>
          </w:p>
        </w:tc>
        <w:tc>
          <w:tcPr>
            <w:tcW w:w="1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90DDB17" w14:textId="77777777" w:rsidR="0066201C" w:rsidRDefault="0066201C" w:rsidP="001F40FE">
            <w:r>
              <w:rPr>
                <w:color w:val="111111"/>
                <w:sz w:val="20"/>
                <w:szCs w:val="20"/>
              </w:rPr>
              <w:t>—</w:t>
            </w:r>
          </w:p>
        </w:tc>
        <w:tc>
          <w:tcPr>
            <w:tcW w:w="12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39AC072" w14:textId="77777777" w:rsidR="0066201C" w:rsidRDefault="0066201C" w:rsidP="001F40FE">
            <w:r>
              <w:rPr>
                <w:color w:val="111111"/>
                <w:sz w:val="20"/>
                <w:szCs w:val="20"/>
              </w:rPr>
              <w:t>—</w:t>
            </w:r>
          </w:p>
        </w:tc>
      </w:tr>
      <w:tr w:rsidR="0066201C" w14:paraId="6AD73069"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A5AE629" w14:textId="77777777" w:rsidR="0066201C" w:rsidRDefault="0066201C" w:rsidP="001F40FE">
            <w:r>
              <w:rPr>
                <w:color w:val="111111"/>
                <w:sz w:val="20"/>
                <w:szCs w:val="20"/>
              </w:rPr>
              <w:t>Fase 4 — Inteligencia cualitativa</w:t>
            </w:r>
          </w:p>
        </w:tc>
        <w:tc>
          <w:tcPr>
            <w:tcW w:w="1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C3CBB31" w14:textId="77777777" w:rsidR="0066201C" w:rsidRDefault="0066201C" w:rsidP="001F40FE">
            <w:r>
              <w:rPr>
                <w:color w:val="111111"/>
                <w:sz w:val="20"/>
                <w:szCs w:val="20"/>
              </w:rPr>
              <w:t>R</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0E609DD" w14:textId="77777777" w:rsidR="0066201C" w:rsidRDefault="0066201C" w:rsidP="001F40FE">
            <w:r>
              <w:rPr>
                <w:color w:val="111111"/>
                <w:sz w:val="20"/>
                <w:szCs w:val="20"/>
              </w:rPr>
              <w:t>A</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4152C90" w14:textId="77777777" w:rsidR="0066201C" w:rsidRDefault="0066201C" w:rsidP="001F40FE">
            <w:r>
              <w:rPr>
                <w:color w:val="111111"/>
                <w:sz w:val="20"/>
                <w:szCs w:val="20"/>
              </w:rPr>
              <w:t>I</w:t>
            </w:r>
          </w:p>
        </w:tc>
        <w:tc>
          <w:tcPr>
            <w:tcW w:w="1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B5B82E1" w14:textId="77777777" w:rsidR="0066201C" w:rsidRDefault="0066201C" w:rsidP="001F40FE">
            <w:r>
              <w:rPr>
                <w:color w:val="111111"/>
                <w:sz w:val="20"/>
                <w:szCs w:val="20"/>
              </w:rPr>
              <w:t>C</w:t>
            </w:r>
          </w:p>
        </w:tc>
        <w:tc>
          <w:tcPr>
            <w:tcW w:w="12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0B8C12A" w14:textId="77777777" w:rsidR="0066201C" w:rsidRDefault="0066201C" w:rsidP="001F40FE">
            <w:r>
              <w:rPr>
                <w:color w:val="111111"/>
                <w:sz w:val="20"/>
                <w:szCs w:val="20"/>
              </w:rPr>
              <w:t>R (regulatorio, mercado)</w:t>
            </w:r>
          </w:p>
        </w:tc>
      </w:tr>
      <w:tr w:rsidR="0066201C" w14:paraId="76D76C6A"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C692946" w14:textId="77777777" w:rsidR="0066201C" w:rsidRDefault="0066201C" w:rsidP="001F40FE">
            <w:r>
              <w:rPr>
                <w:color w:val="111111"/>
                <w:sz w:val="20"/>
                <w:szCs w:val="20"/>
              </w:rPr>
              <w:t xml:space="preserve">Fase 5 — Capacidades de </w:t>
            </w:r>
            <w:proofErr w:type="spellStart"/>
            <w:r>
              <w:rPr>
                <w:color w:val="111111"/>
                <w:sz w:val="20"/>
                <w:szCs w:val="20"/>
              </w:rPr>
              <w:t>Cibest</w:t>
            </w:r>
            <w:proofErr w:type="spellEnd"/>
          </w:p>
        </w:tc>
        <w:tc>
          <w:tcPr>
            <w:tcW w:w="1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9614975" w14:textId="77777777" w:rsidR="0066201C" w:rsidRDefault="0066201C" w:rsidP="001F40FE">
            <w:r>
              <w:rPr>
                <w:color w:val="111111"/>
                <w:sz w:val="20"/>
                <w:szCs w:val="20"/>
              </w:rPr>
              <w:t>R (consolida)</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44BDDFA" w14:textId="77777777" w:rsidR="0066201C" w:rsidRDefault="0066201C" w:rsidP="001F40FE">
            <w:r>
              <w:rPr>
                <w:color w:val="111111"/>
                <w:sz w:val="20"/>
                <w:szCs w:val="20"/>
              </w:rPr>
              <w:t>A</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D8F9CCE" w14:textId="77777777" w:rsidR="0066201C" w:rsidRDefault="0066201C" w:rsidP="001F40FE">
            <w:r>
              <w:rPr>
                <w:color w:val="111111"/>
                <w:sz w:val="20"/>
                <w:szCs w:val="20"/>
              </w:rPr>
              <w:t>A (capital)</w:t>
            </w:r>
          </w:p>
        </w:tc>
        <w:tc>
          <w:tcPr>
            <w:tcW w:w="1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97F74A2" w14:textId="77777777" w:rsidR="0066201C" w:rsidRDefault="0066201C" w:rsidP="001F40FE">
            <w:r>
              <w:rPr>
                <w:color w:val="111111"/>
                <w:sz w:val="20"/>
                <w:szCs w:val="20"/>
              </w:rPr>
              <w:t>R (</w:t>
            </w:r>
            <w:proofErr w:type="spellStart"/>
            <w:proofErr w:type="gramStart"/>
            <w:r>
              <w:rPr>
                <w:color w:val="111111"/>
                <w:sz w:val="20"/>
                <w:szCs w:val="20"/>
              </w:rPr>
              <w:t>auto-evaluación</w:t>
            </w:r>
            <w:proofErr w:type="spellEnd"/>
            <w:proofErr w:type="gramEnd"/>
            <w:r>
              <w:rPr>
                <w:color w:val="111111"/>
                <w:sz w:val="20"/>
                <w:szCs w:val="20"/>
              </w:rPr>
              <w:t>)</w:t>
            </w:r>
          </w:p>
        </w:tc>
        <w:tc>
          <w:tcPr>
            <w:tcW w:w="12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9AA56F9" w14:textId="77777777" w:rsidR="0066201C" w:rsidRDefault="0066201C" w:rsidP="001F40FE">
            <w:r>
              <w:rPr>
                <w:color w:val="111111"/>
                <w:sz w:val="20"/>
                <w:szCs w:val="20"/>
              </w:rPr>
              <w:t>—</w:t>
            </w:r>
          </w:p>
        </w:tc>
      </w:tr>
      <w:tr w:rsidR="0066201C" w14:paraId="4D95590F"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167162B" w14:textId="77777777" w:rsidR="0066201C" w:rsidRDefault="0066201C" w:rsidP="001F40FE">
            <w:r>
              <w:rPr>
                <w:color w:val="111111"/>
                <w:sz w:val="20"/>
                <w:szCs w:val="20"/>
              </w:rPr>
              <w:t>Fase 6 — Embudo y perfilamiento</w:t>
            </w:r>
          </w:p>
        </w:tc>
        <w:tc>
          <w:tcPr>
            <w:tcW w:w="1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ACA4C9C" w14:textId="77777777" w:rsidR="0066201C" w:rsidRDefault="0066201C" w:rsidP="001F40FE">
            <w:r>
              <w:rPr>
                <w:color w:val="111111"/>
                <w:sz w:val="20"/>
                <w:szCs w:val="20"/>
              </w:rPr>
              <w:t>R</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DE9C01C" w14:textId="77777777" w:rsidR="0066201C" w:rsidRDefault="0066201C" w:rsidP="001F40FE">
            <w:r>
              <w:rPr>
                <w:color w:val="111111"/>
                <w:sz w:val="20"/>
                <w:szCs w:val="20"/>
              </w:rPr>
              <w:t>A</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B7BB7ED" w14:textId="77777777" w:rsidR="0066201C" w:rsidRDefault="0066201C" w:rsidP="001F40FE">
            <w:r>
              <w:rPr>
                <w:color w:val="111111"/>
                <w:sz w:val="20"/>
                <w:szCs w:val="20"/>
              </w:rPr>
              <w:t>A (decisión de avance)</w:t>
            </w:r>
          </w:p>
        </w:tc>
        <w:tc>
          <w:tcPr>
            <w:tcW w:w="1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44C036C" w14:textId="77777777" w:rsidR="0066201C" w:rsidRDefault="0066201C" w:rsidP="001F40FE">
            <w:r>
              <w:rPr>
                <w:color w:val="111111"/>
                <w:sz w:val="20"/>
                <w:szCs w:val="20"/>
              </w:rPr>
              <w:t>C</w:t>
            </w:r>
          </w:p>
        </w:tc>
        <w:tc>
          <w:tcPr>
            <w:tcW w:w="12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32C17AF" w14:textId="77777777" w:rsidR="0066201C" w:rsidRDefault="0066201C" w:rsidP="001F40FE">
            <w:r>
              <w:rPr>
                <w:color w:val="111111"/>
                <w:sz w:val="20"/>
                <w:szCs w:val="20"/>
              </w:rPr>
              <w:t>—</w:t>
            </w:r>
          </w:p>
        </w:tc>
      </w:tr>
      <w:tr w:rsidR="0066201C" w14:paraId="4C1482AA"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5866F09" w14:textId="77777777" w:rsidR="0066201C" w:rsidRDefault="0066201C" w:rsidP="001F40FE">
            <w:r>
              <w:rPr>
                <w:color w:val="111111"/>
                <w:sz w:val="20"/>
                <w:szCs w:val="20"/>
              </w:rPr>
              <w:t>Fase 7 — Modo de entrada</w:t>
            </w:r>
          </w:p>
        </w:tc>
        <w:tc>
          <w:tcPr>
            <w:tcW w:w="1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15EB444" w14:textId="77777777" w:rsidR="0066201C" w:rsidRDefault="0066201C" w:rsidP="001F40FE">
            <w:r>
              <w:rPr>
                <w:color w:val="111111"/>
                <w:sz w:val="20"/>
                <w:szCs w:val="20"/>
              </w:rPr>
              <w:t>R</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9366240" w14:textId="77777777" w:rsidR="0066201C" w:rsidRDefault="0066201C" w:rsidP="001F40FE">
            <w:r>
              <w:rPr>
                <w:color w:val="111111"/>
                <w:sz w:val="20"/>
                <w:szCs w:val="20"/>
              </w:rPr>
              <w:t>A</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6643160" w14:textId="77777777" w:rsidR="0066201C" w:rsidRDefault="0066201C" w:rsidP="001F40FE">
            <w:r>
              <w:rPr>
                <w:color w:val="111111"/>
                <w:sz w:val="20"/>
                <w:szCs w:val="20"/>
              </w:rPr>
              <w:t>A (decisión de modo)</w:t>
            </w:r>
          </w:p>
        </w:tc>
        <w:tc>
          <w:tcPr>
            <w:tcW w:w="1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CC720F1" w14:textId="77777777" w:rsidR="0066201C" w:rsidRDefault="0066201C" w:rsidP="001F40FE">
            <w:r>
              <w:rPr>
                <w:color w:val="111111"/>
                <w:sz w:val="20"/>
                <w:szCs w:val="20"/>
              </w:rPr>
              <w:t>C</w:t>
            </w:r>
          </w:p>
        </w:tc>
        <w:tc>
          <w:tcPr>
            <w:tcW w:w="12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E479B0F" w14:textId="77777777" w:rsidR="0066201C" w:rsidRDefault="0066201C" w:rsidP="001F40FE">
            <w:r>
              <w:rPr>
                <w:color w:val="111111"/>
                <w:sz w:val="20"/>
                <w:szCs w:val="20"/>
              </w:rPr>
              <w:t>C (legal)</w:t>
            </w:r>
          </w:p>
        </w:tc>
      </w:tr>
      <w:tr w:rsidR="0066201C" w14:paraId="136E1691" w14:textId="77777777" w:rsidTr="00800E51">
        <w:tc>
          <w:tcPr>
            <w:tcW w:w="20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9E5831B" w14:textId="77777777" w:rsidR="0066201C" w:rsidRDefault="0066201C" w:rsidP="001F40FE">
            <w:r>
              <w:rPr>
                <w:color w:val="111111"/>
                <w:sz w:val="20"/>
                <w:szCs w:val="20"/>
              </w:rPr>
              <w:t xml:space="preserve">Fase 8 — Due </w:t>
            </w:r>
            <w:proofErr w:type="spellStart"/>
            <w:r>
              <w:rPr>
                <w:color w:val="111111"/>
                <w:sz w:val="20"/>
                <w:szCs w:val="20"/>
              </w:rPr>
              <w:t>diligence</w:t>
            </w:r>
            <w:proofErr w:type="spellEnd"/>
          </w:p>
        </w:tc>
        <w:tc>
          <w:tcPr>
            <w:tcW w:w="16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4E38A5D" w14:textId="77777777" w:rsidR="0066201C" w:rsidRDefault="0066201C" w:rsidP="001F40FE">
            <w:r>
              <w:rPr>
                <w:color w:val="111111"/>
                <w:sz w:val="20"/>
                <w:szCs w:val="20"/>
              </w:rPr>
              <w:t>C</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83FC650" w14:textId="77777777" w:rsidR="0066201C" w:rsidRDefault="0066201C" w:rsidP="001F40FE">
            <w:r>
              <w:rPr>
                <w:color w:val="111111"/>
                <w:sz w:val="20"/>
                <w:szCs w:val="20"/>
              </w:rPr>
              <w:t>A</w:t>
            </w:r>
          </w:p>
        </w:tc>
        <w:tc>
          <w:tcPr>
            <w:tcW w:w="15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1A7AB34" w14:textId="77777777" w:rsidR="0066201C" w:rsidRDefault="0066201C" w:rsidP="001F40FE">
            <w:r>
              <w:rPr>
                <w:color w:val="111111"/>
                <w:sz w:val="20"/>
                <w:szCs w:val="20"/>
              </w:rPr>
              <w:t>A (decisión de entrada)</w:t>
            </w:r>
          </w:p>
        </w:tc>
        <w:tc>
          <w:tcPr>
            <w:tcW w:w="136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85FAFF4" w14:textId="77777777" w:rsidR="0066201C" w:rsidRDefault="0066201C" w:rsidP="001F40FE">
            <w:r>
              <w:rPr>
                <w:color w:val="111111"/>
                <w:sz w:val="20"/>
                <w:szCs w:val="20"/>
              </w:rPr>
              <w:t>C</w:t>
            </w:r>
          </w:p>
        </w:tc>
        <w:tc>
          <w:tcPr>
            <w:tcW w:w="12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9EDD0BF" w14:textId="77777777" w:rsidR="0066201C" w:rsidRDefault="0066201C" w:rsidP="001F40FE">
            <w:r>
              <w:rPr>
                <w:color w:val="111111"/>
                <w:sz w:val="20"/>
                <w:szCs w:val="20"/>
              </w:rPr>
              <w:t>R (legal, financiero, mercado)</w:t>
            </w:r>
          </w:p>
        </w:tc>
      </w:tr>
    </w:tbl>
    <w:p w14:paraId="016470BA" w14:textId="77777777" w:rsidR="0066201C" w:rsidRDefault="0066201C" w:rsidP="0066201C">
      <w:pPr>
        <w:spacing w:after="100"/>
      </w:pPr>
    </w:p>
    <w:p w14:paraId="05453DF4" w14:textId="77777777" w:rsidR="0066201C" w:rsidRDefault="0066201C" w:rsidP="0066201C">
      <w:pPr>
        <w:pStyle w:val="Ttulo2"/>
        <w:pBdr>
          <w:bottom w:val="single" w:sz="4" w:space="4" w:color="E8B931"/>
        </w:pBdr>
      </w:pPr>
      <w:bookmarkStart w:id="105" w:name="_Toc232659654"/>
      <w:proofErr w:type="gramStart"/>
      <w:r>
        <w:t>13.2  Cronograma</w:t>
      </w:r>
      <w:proofErr w:type="gramEnd"/>
      <w:r>
        <w:t xml:space="preserve"> integrado del proceso SIM completo</w:t>
      </w:r>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80"/>
        <w:gridCol w:w="2040"/>
        <w:gridCol w:w="3440"/>
      </w:tblGrid>
      <w:tr w:rsidR="0066201C" w14:paraId="733964AD"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4C667DD3" w14:textId="77777777" w:rsidR="0066201C" w:rsidRDefault="0066201C" w:rsidP="001F40FE">
            <w:r>
              <w:rPr>
                <w:b/>
                <w:bCs/>
                <w:color w:val="FFFFFF"/>
                <w:sz w:val="20"/>
                <w:szCs w:val="20"/>
              </w:rPr>
              <w:lastRenderedPageBreak/>
              <w:t>Fase</w:t>
            </w:r>
          </w:p>
        </w:tc>
        <w:tc>
          <w:tcPr>
            <w:tcW w:w="168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12F5F83B" w14:textId="77777777" w:rsidR="0066201C" w:rsidRDefault="0066201C" w:rsidP="001F40FE">
            <w:r>
              <w:rPr>
                <w:b/>
                <w:bCs/>
                <w:color w:val="FFFFFF"/>
                <w:sz w:val="20"/>
                <w:szCs w:val="20"/>
              </w:rPr>
              <w:t>Duración estimada</w:t>
            </w:r>
          </w:p>
        </w:tc>
        <w:tc>
          <w:tcPr>
            <w:tcW w:w="204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0140AB3B" w14:textId="77777777" w:rsidR="0066201C" w:rsidRDefault="0066201C" w:rsidP="001F40FE">
            <w:r>
              <w:rPr>
                <w:b/>
                <w:bCs/>
                <w:color w:val="FFFFFF"/>
                <w:sz w:val="20"/>
                <w:szCs w:val="20"/>
              </w:rPr>
              <w:t>Secuencial / Paralelo</w:t>
            </w:r>
          </w:p>
        </w:tc>
        <w:tc>
          <w:tcPr>
            <w:tcW w:w="344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28F5A7F7" w14:textId="77777777" w:rsidR="0066201C" w:rsidRDefault="0066201C" w:rsidP="001F40FE">
            <w:r>
              <w:rPr>
                <w:b/>
                <w:bCs/>
                <w:color w:val="FFFFFF"/>
                <w:sz w:val="20"/>
                <w:szCs w:val="20"/>
              </w:rPr>
              <w:t>Nota sobre el tiempo</w:t>
            </w:r>
          </w:p>
        </w:tc>
      </w:tr>
      <w:tr w:rsidR="0066201C" w14:paraId="64797151"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BD84428" w14:textId="77777777" w:rsidR="0066201C" w:rsidRDefault="0066201C" w:rsidP="001F40FE">
            <w:r>
              <w:rPr>
                <w:color w:val="111111"/>
                <w:sz w:val="20"/>
                <w:szCs w:val="20"/>
              </w:rPr>
              <w:t>Fase 1 — Definición del objetivo</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2BBAC24" w14:textId="77777777" w:rsidR="0066201C" w:rsidRDefault="0066201C" w:rsidP="001F40FE">
            <w:r>
              <w:rPr>
                <w:color w:val="111111"/>
                <w:sz w:val="20"/>
                <w:szCs w:val="20"/>
              </w:rPr>
              <w:t>2 a 3 semanas</w:t>
            </w:r>
          </w:p>
        </w:tc>
        <w:tc>
          <w:tcPr>
            <w:tcW w:w="20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4C7B36C" w14:textId="77777777" w:rsidR="0066201C" w:rsidRDefault="0066201C" w:rsidP="001F40FE">
            <w:r>
              <w:rPr>
                <w:color w:val="111111"/>
                <w:sz w:val="20"/>
                <w:szCs w:val="20"/>
              </w:rPr>
              <w:t>Secuencial</w:t>
            </w:r>
          </w:p>
        </w:tc>
        <w:tc>
          <w:tcPr>
            <w:tcW w:w="34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C3B27F9" w14:textId="77777777" w:rsidR="0066201C" w:rsidRDefault="0066201C" w:rsidP="001F40FE">
            <w:r>
              <w:rPr>
                <w:color w:val="111111"/>
                <w:sz w:val="20"/>
                <w:szCs w:val="20"/>
              </w:rPr>
              <w:t>No puede iniciarse ninguna otra fase sin el DOEI aprobado. Es el cuello de botella inicial del proceso.</w:t>
            </w:r>
          </w:p>
        </w:tc>
      </w:tr>
      <w:tr w:rsidR="0066201C" w14:paraId="07617B60"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1FD25EA" w14:textId="77777777" w:rsidR="0066201C" w:rsidRDefault="0066201C" w:rsidP="001F40FE">
            <w:r>
              <w:rPr>
                <w:color w:val="111111"/>
                <w:sz w:val="20"/>
                <w:szCs w:val="20"/>
              </w:rPr>
              <w:t>Fase 2 — Screening primario</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7A454A8" w14:textId="77777777" w:rsidR="0066201C" w:rsidRDefault="0066201C" w:rsidP="001F40FE">
            <w:r>
              <w:rPr>
                <w:color w:val="111111"/>
                <w:sz w:val="20"/>
                <w:szCs w:val="20"/>
              </w:rPr>
              <w:t>1 a 2 semanas</w:t>
            </w:r>
          </w:p>
        </w:tc>
        <w:tc>
          <w:tcPr>
            <w:tcW w:w="20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65071EB" w14:textId="77777777" w:rsidR="0066201C" w:rsidRDefault="0066201C" w:rsidP="001F40FE">
            <w:r>
              <w:rPr>
                <w:color w:val="111111"/>
                <w:sz w:val="20"/>
                <w:szCs w:val="20"/>
              </w:rPr>
              <w:t>Paralela con inicio de Fase 3</w:t>
            </w:r>
          </w:p>
        </w:tc>
        <w:tc>
          <w:tcPr>
            <w:tcW w:w="34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72F29C0" w14:textId="77777777" w:rsidR="0066201C" w:rsidRDefault="0066201C" w:rsidP="001F40FE">
            <w:r>
              <w:rPr>
                <w:color w:val="111111"/>
                <w:sz w:val="20"/>
                <w:szCs w:val="20"/>
              </w:rPr>
              <w:t>La extracción de datos de RADAR puede iniciarse tan pronto como el universo de mercados esté definido, sin esperar la finalización del screening regulatorio.</w:t>
            </w:r>
          </w:p>
        </w:tc>
      </w:tr>
      <w:tr w:rsidR="0066201C" w14:paraId="7C82734D"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1C6D66F" w14:textId="77777777" w:rsidR="0066201C" w:rsidRDefault="0066201C" w:rsidP="001F40FE">
            <w:r>
              <w:rPr>
                <w:color w:val="111111"/>
                <w:sz w:val="20"/>
                <w:szCs w:val="20"/>
              </w:rPr>
              <w:t xml:space="preserve">Fase 3 — RADAR </w:t>
            </w:r>
            <w:proofErr w:type="spellStart"/>
            <w:r>
              <w:rPr>
                <w:color w:val="111111"/>
                <w:sz w:val="20"/>
                <w:szCs w:val="20"/>
              </w:rPr>
              <w:t>Cibest</w:t>
            </w:r>
            <w:proofErr w:type="spellEnd"/>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41D41E3" w14:textId="77777777" w:rsidR="0066201C" w:rsidRDefault="0066201C" w:rsidP="001F40FE">
            <w:r>
              <w:rPr>
                <w:color w:val="111111"/>
                <w:sz w:val="20"/>
                <w:szCs w:val="20"/>
              </w:rPr>
              <w:t>8 a 10 semanas</w:t>
            </w:r>
          </w:p>
        </w:tc>
        <w:tc>
          <w:tcPr>
            <w:tcW w:w="20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175419B" w14:textId="77777777" w:rsidR="0066201C" w:rsidRDefault="0066201C" w:rsidP="001F40FE">
            <w:r>
              <w:rPr>
                <w:color w:val="111111"/>
                <w:sz w:val="20"/>
                <w:szCs w:val="20"/>
              </w:rPr>
              <w:t>Paralela con Fases 1 y 2</w:t>
            </w:r>
          </w:p>
        </w:tc>
        <w:tc>
          <w:tcPr>
            <w:tcW w:w="34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A62D497" w14:textId="77777777" w:rsidR="0066201C" w:rsidRDefault="0066201C" w:rsidP="001F40FE">
            <w:r>
              <w:rPr>
                <w:color w:val="111111"/>
                <w:sz w:val="20"/>
                <w:szCs w:val="20"/>
              </w:rPr>
              <w:t>La sesión de elicitación de pesos con el Comité se agenda en la semana 4-5. La ejecución del modelo y los entregables se completan en semanas 6-10.</w:t>
            </w:r>
          </w:p>
        </w:tc>
      </w:tr>
      <w:tr w:rsidR="0066201C" w14:paraId="50189E29"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38E57FF" w14:textId="77777777" w:rsidR="0066201C" w:rsidRDefault="0066201C" w:rsidP="001F40FE">
            <w:r>
              <w:rPr>
                <w:color w:val="111111"/>
                <w:sz w:val="20"/>
                <w:szCs w:val="20"/>
              </w:rPr>
              <w:t>Fase 4 — Inteligencia cualitativa</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6D29166" w14:textId="77777777" w:rsidR="0066201C" w:rsidRDefault="0066201C" w:rsidP="001F40FE">
            <w:r>
              <w:rPr>
                <w:color w:val="111111"/>
                <w:sz w:val="20"/>
                <w:szCs w:val="20"/>
              </w:rPr>
              <w:t>4 a 8 semanas</w:t>
            </w:r>
          </w:p>
        </w:tc>
        <w:tc>
          <w:tcPr>
            <w:tcW w:w="20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720E600" w14:textId="77777777" w:rsidR="0066201C" w:rsidRDefault="0066201C" w:rsidP="001F40FE">
            <w:r>
              <w:rPr>
                <w:color w:val="111111"/>
                <w:sz w:val="20"/>
                <w:szCs w:val="20"/>
              </w:rPr>
              <w:t>Secuencial post-Fase 3</w:t>
            </w:r>
          </w:p>
        </w:tc>
        <w:tc>
          <w:tcPr>
            <w:tcW w:w="34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4244FDD" w14:textId="77777777" w:rsidR="0066201C" w:rsidRDefault="0066201C" w:rsidP="001F40FE">
            <w:r>
              <w:rPr>
                <w:color w:val="111111"/>
                <w:sz w:val="20"/>
                <w:szCs w:val="20"/>
              </w:rPr>
              <w:t>El foco y las preguntas de investigación dependen de los perfiles de debilidades de RADAR. No puede iniciarse con profundidad antes de tener el ranking.</w:t>
            </w:r>
          </w:p>
        </w:tc>
      </w:tr>
      <w:tr w:rsidR="0066201C" w14:paraId="2482AAF8"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B7872AB" w14:textId="77777777" w:rsidR="0066201C" w:rsidRDefault="0066201C" w:rsidP="001F40FE">
            <w:r>
              <w:rPr>
                <w:color w:val="111111"/>
                <w:sz w:val="20"/>
                <w:szCs w:val="20"/>
              </w:rPr>
              <w:t xml:space="preserve">Fase 5 — Capacidades de </w:t>
            </w:r>
            <w:proofErr w:type="spellStart"/>
            <w:r>
              <w:rPr>
                <w:color w:val="111111"/>
                <w:sz w:val="20"/>
                <w:szCs w:val="20"/>
              </w:rPr>
              <w:t>Cibest</w:t>
            </w:r>
            <w:proofErr w:type="spellEnd"/>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6D3F9EA" w14:textId="77777777" w:rsidR="0066201C" w:rsidRDefault="0066201C" w:rsidP="001F40FE">
            <w:r>
              <w:rPr>
                <w:color w:val="111111"/>
                <w:sz w:val="20"/>
                <w:szCs w:val="20"/>
              </w:rPr>
              <w:t>2 a 3 semanas</w:t>
            </w:r>
          </w:p>
        </w:tc>
        <w:tc>
          <w:tcPr>
            <w:tcW w:w="20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D276025" w14:textId="77777777" w:rsidR="0066201C" w:rsidRDefault="0066201C" w:rsidP="001F40FE">
            <w:r>
              <w:rPr>
                <w:color w:val="111111"/>
                <w:sz w:val="20"/>
                <w:szCs w:val="20"/>
              </w:rPr>
              <w:t>Paralela con cierre de Fase 4</w:t>
            </w:r>
          </w:p>
        </w:tc>
        <w:tc>
          <w:tcPr>
            <w:tcW w:w="34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AA058FC" w14:textId="77777777" w:rsidR="0066201C" w:rsidRDefault="0066201C" w:rsidP="001F40FE">
            <w:r>
              <w:rPr>
                <w:color w:val="111111"/>
                <w:sz w:val="20"/>
                <w:szCs w:val="20"/>
              </w:rPr>
              <w:t xml:space="preserve">Las sesiones de </w:t>
            </w:r>
            <w:proofErr w:type="spellStart"/>
            <w:proofErr w:type="gramStart"/>
            <w:r>
              <w:rPr>
                <w:color w:val="111111"/>
                <w:sz w:val="20"/>
                <w:szCs w:val="20"/>
              </w:rPr>
              <w:t>auto-evaluación</w:t>
            </w:r>
            <w:proofErr w:type="spellEnd"/>
            <w:proofErr w:type="gramEnd"/>
            <w:r>
              <w:rPr>
                <w:color w:val="111111"/>
                <w:sz w:val="20"/>
                <w:szCs w:val="20"/>
              </w:rPr>
              <w:t xml:space="preserve"> con líderes de línea pueden iniciarse mientras la Fase 4 sigue en curso, usando los primeros memorandos disponibles.</w:t>
            </w:r>
          </w:p>
        </w:tc>
      </w:tr>
      <w:tr w:rsidR="0066201C" w14:paraId="2F4A3AB7"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3E5A364" w14:textId="77777777" w:rsidR="0066201C" w:rsidRDefault="0066201C" w:rsidP="001F40FE">
            <w:r>
              <w:rPr>
                <w:color w:val="111111"/>
                <w:sz w:val="20"/>
                <w:szCs w:val="20"/>
              </w:rPr>
              <w:t>Fase 6 — Embudo y perfilamiento</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BBA0F1D" w14:textId="77777777" w:rsidR="0066201C" w:rsidRDefault="0066201C" w:rsidP="001F40FE">
            <w:r>
              <w:rPr>
                <w:color w:val="111111"/>
                <w:sz w:val="20"/>
                <w:szCs w:val="20"/>
              </w:rPr>
              <w:t>2 semanas</w:t>
            </w:r>
          </w:p>
        </w:tc>
        <w:tc>
          <w:tcPr>
            <w:tcW w:w="20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BE2B8EF" w14:textId="77777777" w:rsidR="0066201C" w:rsidRDefault="0066201C" w:rsidP="001F40FE">
            <w:r>
              <w:rPr>
                <w:color w:val="111111"/>
                <w:sz w:val="20"/>
                <w:szCs w:val="20"/>
              </w:rPr>
              <w:t>Secuencial post-Fases 4 y 5</w:t>
            </w:r>
          </w:p>
        </w:tc>
        <w:tc>
          <w:tcPr>
            <w:tcW w:w="34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3DD63CC" w14:textId="77777777" w:rsidR="0066201C" w:rsidRDefault="0066201C" w:rsidP="001F40FE">
            <w:r>
              <w:rPr>
                <w:color w:val="111111"/>
                <w:sz w:val="20"/>
                <w:szCs w:val="20"/>
              </w:rPr>
              <w:t>Los perfiles estratégicos requieren los resultados completos de las Fases 4 y 5. El motor narrativo de la Fase B de RADAR acelera el borrador inicial.</w:t>
            </w:r>
          </w:p>
        </w:tc>
      </w:tr>
      <w:tr w:rsidR="0066201C" w14:paraId="5B8BAB36"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DBB3B66" w14:textId="77777777" w:rsidR="0066201C" w:rsidRDefault="0066201C" w:rsidP="001F40FE">
            <w:r>
              <w:rPr>
                <w:color w:val="111111"/>
                <w:sz w:val="20"/>
                <w:szCs w:val="20"/>
              </w:rPr>
              <w:t>Fase 7 — Modo de entrada</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2E28562" w14:textId="77777777" w:rsidR="0066201C" w:rsidRDefault="0066201C" w:rsidP="001F40FE">
            <w:r>
              <w:rPr>
                <w:color w:val="111111"/>
                <w:sz w:val="20"/>
                <w:szCs w:val="20"/>
              </w:rPr>
              <w:t>2 semanas</w:t>
            </w:r>
          </w:p>
        </w:tc>
        <w:tc>
          <w:tcPr>
            <w:tcW w:w="20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723C575" w14:textId="77777777" w:rsidR="0066201C" w:rsidRDefault="0066201C" w:rsidP="001F40FE">
            <w:r>
              <w:rPr>
                <w:color w:val="111111"/>
                <w:sz w:val="20"/>
                <w:szCs w:val="20"/>
              </w:rPr>
              <w:t>Paralela con Fase 6</w:t>
            </w:r>
          </w:p>
        </w:tc>
        <w:tc>
          <w:tcPr>
            <w:tcW w:w="34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25B16EF" w14:textId="77777777" w:rsidR="0066201C" w:rsidRDefault="0066201C" w:rsidP="001F40FE">
            <w:r>
              <w:rPr>
                <w:color w:val="111111"/>
                <w:sz w:val="20"/>
                <w:szCs w:val="20"/>
              </w:rPr>
              <w:t>El análisis de modo de entrada puede desarrollarse simultáneamente con la construcción de los perfiles estratégicos, ya que sus insumos provienen de las Fases 3, 4 y 5.</w:t>
            </w:r>
          </w:p>
        </w:tc>
      </w:tr>
      <w:tr w:rsidR="0066201C" w14:paraId="18A4D536"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8340F09" w14:textId="77777777" w:rsidR="0066201C" w:rsidRDefault="0066201C" w:rsidP="001F40FE">
            <w:r>
              <w:rPr>
                <w:color w:val="111111"/>
                <w:sz w:val="20"/>
                <w:szCs w:val="20"/>
              </w:rPr>
              <w:t xml:space="preserve">Fase 8 — Due </w:t>
            </w:r>
            <w:proofErr w:type="spellStart"/>
            <w:r>
              <w:rPr>
                <w:color w:val="111111"/>
                <w:sz w:val="20"/>
                <w:szCs w:val="20"/>
              </w:rPr>
              <w:t>diligence</w:t>
            </w:r>
            <w:proofErr w:type="spellEnd"/>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0318CA3" w14:textId="77777777" w:rsidR="0066201C" w:rsidRDefault="0066201C" w:rsidP="001F40FE">
            <w:r>
              <w:rPr>
                <w:color w:val="111111"/>
                <w:sz w:val="20"/>
                <w:szCs w:val="20"/>
              </w:rPr>
              <w:t>8 a 12 semanas</w:t>
            </w:r>
          </w:p>
        </w:tc>
        <w:tc>
          <w:tcPr>
            <w:tcW w:w="20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7ECFDD1" w14:textId="77777777" w:rsidR="0066201C" w:rsidRDefault="0066201C" w:rsidP="001F40FE">
            <w:r>
              <w:rPr>
                <w:color w:val="111111"/>
                <w:sz w:val="20"/>
                <w:szCs w:val="20"/>
              </w:rPr>
              <w:t xml:space="preserve">Secuencial </w:t>
            </w:r>
            <w:proofErr w:type="spellStart"/>
            <w:r>
              <w:rPr>
                <w:color w:val="111111"/>
                <w:sz w:val="20"/>
                <w:szCs w:val="20"/>
              </w:rPr>
              <w:t>post-decisión</w:t>
            </w:r>
            <w:proofErr w:type="spellEnd"/>
            <w:r>
              <w:rPr>
                <w:color w:val="111111"/>
                <w:sz w:val="20"/>
                <w:szCs w:val="20"/>
              </w:rPr>
              <w:t xml:space="preserve"> Comité</w:t>
            </w:r>
          </w:p>
        </w:tc>
        <w:tc>
          <w:tcPr>
            <w:tcW w:w="34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9D20208" w14:textId="77777777" w:rsidR="0066201C" w:rsidRDefault="0066201C" w:rsidP="001F40FE">
            <w:r>
              <w:rPr>
                <w:color w:val="111111"/>
                <w:sz w:val="20"/>
                <w:szCs w:val="20"/>
              </w:rPr>
              <w:t xml:space="preserve">Inicia solo después de que el Comité Ejecutivo aprueba el avance a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 xml:space="preserve"> formal en la sesión de la Fase 6. Los tres tipos de DD se realizan en paralelo.</w:t>
            </w:r>
          </w:p>
        </w:tc>
      </w:tr>
      <w:tr w:rsidR="0066201C" w14:paraId="59C988A4"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694261A" w14:textId="77777777" w:rsidR="0066201C" w:rsidRDefault="0066201C" w:rsidP="001F40FE">
            <w:r>
              <w:rPr>
                <w:b/>
                <w:bCs/>
                <w:color w:val="111111"/>
                <w:sz w:val="20"/>
                <w:szCs w:val="20"/>
              </w:rPr>
              <w:t xml:space="preserve">TOTAL (sin </w:t>
            </w:r>
            <w:proofErr w:type="spellStart"/>
            <w:r>
              <w:rPr>
                <w:b/>
                <w:bCs/>
                <w:color w:val="111111"/>
                <w:sz w:val="20"/>
                <w:szCs w:val="20"/>
              </w:rPr>
              <w:t>due</w:t>
            </w:r>
            <w:proofErr w:type="spellEnd"/>
            <w:r>
              <w:rPr>
                <w:b/>
                <w:bCs/>
                <w:color w:val="111111"/>
                <w:sz w:val="20"/>
                <w:szCs w:val="20"/>
              </w:rPr>
              <w:t xml:space="preserve"> </w:t>
            </w:r>
            <w:proofErr w:type="spellStart"/>
            <w:r>
              <w:rPr>
                <w:b/>
                <w:bCs/>
                <w:color w:val="111111"/>
                <w:sz w:val="20"/>
                <w:szCs w:val="20"/>
              </w:rPr>
              <w:t>diligence</w:t>
            </w:r>
            <w:proofErr w:type="spellEnd"/>
            <w:r>
              <w:rPr>
                <w:b/>
                <w:bCs/>
                <w:color w:val="111111"/>
                <w:sz w:val="20"/>
                <w:szCs w:val="20"/>
              </w:rPr>
              <w:t>)</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C8670BC" w14:textId="77777777" w:rsidR="0066201C" w:rsidRDefault="0066201C" w:rsidP="001F40FE">
            <w:r>
              <w:rPr>
                <w:b/>
                <w:bCs/>
                <w:color w:val="111111"/>
                <w:sz w:val="20"/>
                <w:szCs w:val="20"/>
              </w:rPr>
              <w:t>14 a 22 semanas</w:t>
            </w:r>
          </w:p>
        </w:tc>
        <w:tc>
          <w:tcPr>
            <w:tcW w:w="20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C9FCC77" w14:textId="77777777" w:rsidR="0066201C" w:rsidRDefault="0066201C" w:rsidP="001F40FE">
            <w:r>
              <w:rPr>
                <w:color w:val="111111"/>
                <w:sz w:val="20"/>
                <w:szCs w:val="20"/>
              </w:rPr>
              <w:t>—</w:t>
            </w:r>
          </w:p>
        </w:tc>
        <w:tc>
          <w:tcPr>
            <w:tcW w:w="34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973C7ED" w14:textId="77777777" w:rsidR="0066201C" w:rsidRDefault="0066201C" w:rsidP="001F40FE">
            <w:r>
              <w:rPr>
                <w:color w:val="111111"/>
                <w:sz w:val="20"/>
                <w:szCs w:val="20"/>
              </w:rPr>
              <w:t xml:space="preserve">Equivalente a 3.5 a 5.5 meses desde inicio hasta decisión de avance a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w:t>
            </w:r>
          </w:p>
        </w:tc>
      </w:tr>
      <w:tr w:rsidR="0066201C" w14:paraId="7412F683"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238BE89A" w14:textId="77777777" w:rsidR="0066201C" w:rsidRDefault="0066201C" w:rsidP="001F40FE">
            <w:r>
              <w:rPr>
                <w:b/>
                <w:bCs/>
                <w:color w:val="111111"/>
                <w:sz w:val="20"/>
                <w:szCs w:val="20"/>
              </w:rPr>
              <w:t xml:space="preserve">TOTAL (con </w:t>
            </w:r>
            <w:proofErr w:type="spellStart"/>
            <w:r>
              <w:rPr>
                <w:b/>
                <w:bCs/>
                <w:color w:val="111111"/>
                <w:sz w:val="20"/>
                <w:szCs w:val="20"/>
              </w:rPr>
              <w:t>due</w:t>
            </w:r>
            <w:proofErr w:type="spellEnd"/>
            <w:r>
              <w:rPr>
                <w:b/>
                <w:bCs/>
                <w:color w:val="111111"/>
                <w:sz w:val="20"/>
                <w:szCs w:val="20"/>
              </w:rPr>
              <w:t xml:space="preserve"> </w:t>
            </w:r>
            <w:proofErr w:type="spellStart"/>
            <w:r>
              <w:rPr>
                <w:b/>
                <w:bCs/>
                <w:color w:val="111111"/>
                <w:sz w:val="20"/>
                <w:szCs w:val="20"/>
              </w:rPr>
              <w:t>diligence</w:t>
            </w:r>
            <w:proofErr w:type="spellEnd"/>
            <w:r>
              <w:rPr>
                <w:b/>
                <w:bCs/>
                <w:color w:val="111111"/>
                <w:sz w:val="20"/>
                <w:szCs w:val="20"/>
              </w:rPr>
              <w:t>)</w:t>
            </w:r>
          </w:p>
        </w:tc>
        <w:tc>
          <w:tcPr>
            <w:tcW w:w="1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49671A6F" w14:textId="77777777" w:rsidR="0066201C" w:rsidRDefault="0066201C" w:rsidP="001F40FE">
            <w:r>
              <w:rPr>
                <w:b/>
                <w:bCs/>
                <w:color w:val="111111"/>
                <w:sz w:val="20"/>
                <w:szCs w:val="20"/>
              </w:rPr>
              <w:t>22 a 34 semanas</w:t>
            </w:r>
          </w:p>
        </w:tc>
        <w:tc>
          <w:tcPr>
            <w:tcW w:w="20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36E00E6" w14:textId="77777777" w:rsidR="0066201C" w:rsidRDefault="0066201C" w:rsidP="001F40FE">
            <w:r>
              <w:rPr>
                <w:color w:val="111111"/>
                <w:sz w:val="20"/>
                <w:szCs w:val="20"/>
              </w:rPr>
              <w:t>—</w:t>
            </w:r>
          </w:p>
        </w:tc>
        <w:tc>
          <w:tcPr>
            <w:tcW w:w="344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E253298" w14:textId="77777777" w:rsidR="0066201C" w:rsidRDefault="0066201C" w:rsidP="001F40FE">
            <w:r>
              <w:rPr>
                <w:color w:val="111111"/>
                <w:sz w:val="20"/>
                <w:szCs w:val="20"/>
              </w:rPr>
              <w:t xml:space="preserve">Equivalente a 5.5 a 8.5 meses desde inicio hasta decisión de entrada. Tiempo total recomendado: 6 meses para un </w:t>
            </w:r>
            <w:r>
              <w:rPr>
                <w:color w:val="111111"/>
                <w:sz w:val="20"/>
                <w:szCs w:val="20"/>
              </w:rPr>
              <w:lastRenderedPageBreak/>
              <w:t>proceso con tres mercados candidatos.</w:t>
            </w:r>
          </w:p>
        </w:tc>
      </w:tr>
    </w:tbl>
    <w:p w14:paraId="16880531" w14:textId="77777777" w:rsidR="0066201C" w:rsidRDefault="0066201C" w:rsidP="0066201C">
      <w:pPr>
        <w:spacing w:after="100"/>
      </w:pPr>
    </w:p>
    <w:p w14:paraId="7B3BD72E" w14:textId="77777777" w:rsidR="0066201C" w:rsidRDefault="0066201C" w:rsidP="0066201C">
      <w:pPr>
        <w:pStyle w:val="Ttulo2"/>
        <w:pBdr>
          <w:bottom w:val="single" w:sz="4" w:space="4" w:color="E8B931"/>
        </w:pBdr>
      </w:pPr>
      <w:bookmarkStart w:id="106" w:name="_Toc232659655"/>
      <w:proofErr w:type="gramStart"/>
      <w:r>
        <w:t>13.3  Recursos</w:t>
      </w:r>
      <w:proofErr w:type="gramEnd"/>
      <w:r>
        <w:t xml:space="preserve"> necesarios para el proceso SIM</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80"/>
        <w:gridCol w:w="3680"/>
      </w:tblGrid>
      <w:tr w:rsidR="0066201C" w14:paraId="4007545A"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41BAEA42" w14:textId="77777777" w:rsidR="0066201C" w:rsidRDefault="0066201C" w:rsidP="001F40FE">
            <w:r>
              <w:rPr>
                <w:b/>
                <w:bCs/>
                <w:color w:val="FFFFFF"/>
                <w:sz w:val="20"/>
                <w:szCs w:val="20"/>
              </w:rPr>
              <w:t>Tipo de recurso</w:t>
            </w:r>
          </w:p>
        </w:tc>
        <w:tc>
          <w:tcPr>
            <w:tcW w:w="348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3AB9CB35" w14:textId="77777777" w:rsidR="0066201C" w:rsidRDefault="0066201C" w:rsidP="001F40FE">
            <w:r>
              <w:rPr>
                <w:b/>
                <w:bCs/>
                <w:color w:val="FFFFFF"/>
                <w:sz w:val="20"/>
                <w:szCs w:val="20"/>
              </w:rPr>
              <w:t>Descripción</w:t>
            </w:r>
          </w:p>
        </w:tc>
        <w:tc>
          <w:tcPr>
            <w:tcW w:w="3680" w:type="dxa"/>
            <w:tcBorders>
              <w:top w:val="single" w:sz="1" w:space="0" w:color="D0D5DB"/>
              <w:left w:val="single" w:sz="1" w:space="0" w:color="D0D5DB"/>
              <w:bottom w:val="single" w:sz="1" w:space="0" w:color="D0D5DB"/>
              <w:right w:val="single" w:sz="1" w:space="0" w:color="D0D5DB"/>
            </w:tcBorders>
            <w:shd w:val="clear" w:color="auto" w:fill="0D1B2A"/>
            <w:tcMar>
              <w:top w:w="80" w:type="dxa"/>
              <w:left w:w="130" w:type="dxa"/>
              <w:bottom w:w="80" w:type="dxa"/>
              <w:right w:w="130" w:type="dxa"/>
            </w:tcMar>
          </w:tcPr>
          <w:p w14:paraId="04B572F2" w14:textId="77777777" w:rsidR="0066201C" w:rsidRDefault="0066201C" w:rsidP="001F40FE">
            <w:r>
              <w:rPr>
                <w:b/>
                <w:bCs/>
                <w:color w:val="FFFFFF"/>
                <w:sz w:val="20"/>
                <w:szCs w:val="20"/>
              </w:rPr>
              <w:t>Estimación de costo o disponibilidad</w:t>
            </w:r>
          </w:p>
        </w:tc>
      </w:tr>
      <w:tr w:rsidR="0066201C" w14:paraId="1BBA8B02"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43BE180" w14:textId="77777777" w:rsidR="0066201C" w:rsidRDefault="0066201C" w:rsidP="001F40FE">
            <w:r>
              <w:rPr>
                <w:b/>
                <w:bCs/>
                <w:color w:val="111111"/>
                <w:sz w:val="20"/>
                <w:szCs w:val="20"/>
              </w:rPr>
              <w:t xml:space="preserve">Equipo interno — </w:t>
            </w:r>
            <w:proofErr w:type="spellStart"/>
            <w:proofErr w:type="gramStart"/>
            <w:r>
              <w:rPr>
                <w:b/>
                <w:bCs/>
                <w:color w:val="111111"/>
                <w:sz w:val="20"/>
                <w:szCs w:val="20"/>
              </w:rPr>
              <w:t>Co-líderes</w:t>
            </w:r>
            <w:proofErr w:type="spellEnd"/>
            <w:proofErr w:type="gramEnd"/>
            <w:r>
              <w:rPr>
                <w:b/>
                <w:bCs/>
                <w:color w:val="111111"/>
                <w:sz w:val="20"/>
                <w:szCs w:val="20"/>
              </w:rPr>
              <w:t xml:space="preserve"> RADAR </w:t>
            </w:r>
            <w:proofErr w:type="spellStart"/>
            <w:r>
              <w:rPr>
                <w:b/>
                <w:bCs/>
                <w:color w:val="111111"/>
                <w:sz w:val="20"/>
                <w:szCs w:val="20"/>
              </w:rPr>
              <w:t>Cibest</w:t>
            </w:r>
            <w:proofErr w:type="spellEnd"/>
          </w:p>
        </w:tc>
        <w:tc>
          <w:tcPr>
            <w:tcW w:w="3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846DF6A" w14:textId="77777777" w:rsidR="0066201C" w:rsidRDefault="0066201C" w:rsidP="001F40FE">
            <w:r>
              <w:rPr>
                <w:color w:val="111111"/>
                <w:sz w:val="20"/>
                <w:szCs w:val="20"/>
              </w:rPr>
              <w:t>Jhon y Laura, Dirección de Estrategia Corporativa. Dedicación parcial: ~3 horas/semana/persona en fase normal; 6-8 horas/semana en fases intensivas (elicitación, inteligencia cualitativa, perfilamiento).</w:t>
            </w:r>
          </w:p>
        </w:tc>
        <w:tc>
          <w:tcPr>
            <w:tcW w:w="3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1F5BF5A" w14:textId="77777777" w:rsidR="0066201C" w:rsidRDefault="0066201C" w:rsidP="001F40FE">
            <w:r>
              <w:rPr>
                <w:color w:val="111111"/>
                <w:sz w:val="20"/>
                <w:szCs w:val="20"/>
              </w:rPr>
              <w:t xml:space="preserve">Costo de oportunidad interno. Sin costo incremental si la dedicación </w:t>
            </w:r>
            <w:proofErr w:type="gramStart"/>
            <w:r>
              <w:rPr>
                <w:color w:val="111111"/>
                <w:sz w:val="20"/>
                <w:szCs w:val="20"/>
              </w:rPr>
              <w:t>se enmarca dentro de</w:t>
            </w:r>
            <w:proofErr w:type="gramEnd"/>
            <w:r>
              <w:rPr>
                <w:color w:val="111111"/>
                <w:sz w:val="20"/>
                <w:szCs w:val="20"/>
              </w:rPr>
              <w:t xml:space="preserve"> la jornada habitual de los </w:t>
            </w:r>
            <w:proofErr w:type="spellStart"/>
            <w:r>
              <w:rPr>
                <w:color w:val="111111"/>
                <w:sz w:val="20"/>
                <w:szCs w:val="20"/>
              </w:rPr>
              <w:t>co-líderes</w:t>
            </w:r>
            <w:proofErr w:type="spellEnd"/>
            <w:r>
              <w:rPr>
                <w:color w:val="111111"/>
                <w:sz w:val="20"/>
                <w:szCs w:val="20"/>
              </w:rPr>
              <w:t>.</w:t>
            </w:r>
          </w:p>
        </w:tc>
      </w:tr>
      <w:tr w:rsidR="0066201C" w14:paraId="1DE17667"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E737EC0" w14:textId="77777777" w:rsidR="0066201C" w:rsidRDefault="0066201C" w:rsidP="001F40FE">
            <w:r>
              <w:rPr>
                <w:b/>
                <w:bCs/>
                <w:color w:val="111111"/>
                <w:sz w:val="20"/>
                <w:szCs w:val="20"/>
              </w:rPr>
              <w:t>Datos — Fuentes primarias (</w:t>
            </w:r>
            <w:proofErr w:type="spellStart"/>
            <w:r>
              <w:rPr>
                <w:b/>
                <w:bCs/>
                <w:color w:val="111111"/>
                <w:sz w:val="20"/>
                <w:szCs w:val="20"/>
              </w:rPr>
              <w:t>wbgapi</w:t>
            </w:r>
            <w:proofErr w:type="spellEnd"/>
            <w:r>
              <w:rPr>
                <w:b/>
                <w:bCs/>
                <w:color w:val="111111"/>
                <w:sz w:val="20"/>
                <w:szCs w:val="20"/>
              </w:rPr>
              <w:t>, Damodaran, Heritage, CEPII, Hofstede)</w:t>
            </w:r>
          </w:p>
        </w:tc>
        <w:tc>
          <w:tcPr>
            <w:tcW w:w="3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FD28057" w14:textId="77777777" w:rsidR="0066201C" w:rsidRDefault="0066201C" w:rsidP="001F40FE">
            <w:r>
              <w:rPr>
                <w:color w:val="111111"/>
                <w:sz w:val="20"/>
                <w:szCs w:val="20"/>
              </w:rPr>
              <w:t>La mayoría de las fuentes del modelo RADAR son de acceso público y gratuito. Los datos del Banco Mundial (WDI, WGI, GFDD) se acceden vía API sin costo. Damodaran publica sus datos en su sitio web sin costo. Heritage EFI, CEPII y Hofstede son igualmente gratuitos.</w:t>
            </w:r>
          </w:p>
        </w:tc>
        <w:tc>
          <w:tcPr>
            <w:tcW w:w="3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992555C" w14:textId="77777777" w:rsidR="0066201C" w:rsidRDefault="0066201C" w:rsidP="001F40FE">
            <w:r>
              <w:rPr>
                <w:color w:val="111111"/>
                <w:sz w:val="20"/>
                <w:szCs w:val="20"/>
              </w:rPr>
              <w:t>Sin costo de licencia. Costo de tiempo de extracción y limpieza: ~40 horas de trabajo del equipo técnico en la primera ejecución; ~10 horas en actualizaciones anuales.</w:t>
            </w:r>
          </w:p>
        </w:tc>
      </w:tr>
      <w:tr w:rsidR="0066201C" w14:paraId="694C9B21"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6D8807EF" w14:textId="77777777" w:rsidR="0066201C" w:rsidRDefault="0066201C" w:rsidP="001F40FE">
            <w:r>
              <w:rPr>
                <w:b/>
                <w:bCs/>
                <w:color w:val="111111"/>
                <w:sz w:val="20"/>
                <w:szCs w:val="20"/>
              </w:rPr>
              <w:t xml:space="preserve">Asesoría legal externa — Due </w:t>
            </w:r>
            <w:proofErr w:type="spellStart"/>
            <w:r>
              <w:rPr>
                <w:b/>
                <w:bCs/>
                <w:color w:val="111111"/>
                <w:sz w:val="20"/>
                <w:szCs w:val="20"/>
              </w:rPr>
              <w:t>diligence</w:t>
            </w:r>
            <w:proofErr w:type="spellEnd"/>
            <w:r>
              <w:rPr>
                <w:b/>
                <w:bCs/>
                <w:color w:val="111111"/>
                <w:sz w:val="20"/>
                <w:szCs w:val="20"/>
              </w:rPr>
              <w:t xml:space="preserve"> regulatorio</w:t>
            </w:r>
          </w:p>
        </w:tc>
        <w:tc>
          <w:tcPr>
            <w:tcW w:w="3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16A556B6" w14:textId="77777777" w:rsidR="0066201C" w:rsidRDefault="0066201C" w:rsidP="001F40FE">
            <w:r>
              <w:rPr>
                <w:color w:val="111111"/>
                <w:sz w:val="20"/>
                <w:szCs w:val="20"/>
              </w:rPr>
              <w:t xml:space="preserve">Bufete de abogados con presencia local en los mercados candidatos finales. Servicios: evaluación de viabilidad regulatoria básica (Fase 2), confirmación de modo de entrada (Fase 7),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 xml:space="preserve"> regulatorio completo (Fase 8).</w:t>
            </w:r>
          </w:p>
        </w:tc>
        <w:tc>
          <w:tcPr>
            <w:tcW w:w="3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5FFC3365" w14:textId="77777777" w:rsidR="0066201C" w:rsidRDefault="0066201C" w:rsidP="001F40FE">
            <w:r>
              <w:rPr>
                <w:color w:val="111111"/>
                <w:sz w:val="20"/>
                <w:szCs w:val="20"/>
              </w:rPr>
              <w:t xml:space="preserve">Referencia: USD 15.000 a 40.000 por mercado para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 xml:space="preserve"> regulatorio completo con bufete de primer nivel (Baker McKenzie, Garrigues, </w:t>
            </w:r>
            <w:proofErr w:type="spellStart"/>
            <w:r>
              <w:rPr>
                <w:color w:val="111111"/>
                <w:sz w:val="20"/>
                <w:szCs w:val="20"/>
              </w:rPr>
              <w:t>Dentons</w:t>
            </w:r>
            <w:proofErr w:type="spellEnd"/>
            <w:r>
              <w:rPr>
                <w:color w:val="111111"/>
                <w:sz w:val="20"/>
                <w:szCs w:val="20"/>
              </w:rPr>
              <w:t>). La evaluación de viabilidad básica de la Fase 2 puede hacerse con una consulta de menor costo: USD 2.000 a 5.000 por mercado.</w:t>
            </w:r>
          </w:p>
        </w:tc>
      </w:tr>
      <w:tr w:rsidR="0066201C" w14:paraId="7DA06A09"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AE84157" w14:textId="77777777" w:rsidR="0066201C" w:rsidRDefault="0066201C" w:rsidP="001F40FE">
            <w:r>
              <w:rPr>
                <w:b/>
                <w:bCs/>
                <w:color w:val="111111"/>
                <w:sz w:val="20"/>
                <w:szCs w:val="20"/>
              </w:rPr>
              <w:t>Consultora de mercado (opcional — Fase 4)</w:t>
            </w:r>
          </w:p>
        </w:tc>
        <w:tc>
          <w:tcPr>
            <w:tcW w:w="3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7B1F8636" w14:textId="77777777" w:rsidR="0066201C" w:rsidRDefault="0066201C" w:rsidP="001F40FE">
            <w:r>
              <w:rPr>
                <w:color w:val="111111"/>
                <w:sz w:val="20"/>
                <w:szCs w:val="20"/>
              </w:rPr>
              <w:t>Investigación de mercado cualitativa y competitiva para los mercados que pasan a análisis profundo. Alternativa a la investigación directa del equipo de Estrategia cuando la profundidad requerida excede la capacidad del equipo interno.</w:t>
            </w:r>
          </w:p>
        </w:tc>
        <w:tc>
          <w:tcPr>
            <w:tcW w:w="3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36CBD22" w14:textId="77777777" w:rsidR="0066201C" w:rsidRDefault="0066201C" w:rsidP="001F40FE">
            <w:r>
              <w:rPr>
                <w:color w:val="111111"/>
                <w:sz w:val="20"/>
                <w:szCs w:val="20"/>
              </w:rPr>
              <w:t>Referencia: USD 30.000 a 80.000 por mercado para un estudio de mercado con consultora de primer nivel regional. Puede reducirse a USD 10.000-20.000 si se usa investigación primaria directa (encuestas, entrevistas) coordinada por el equipo interno.</w:t>
            </w:r>
          </w:p>
        </w:tc>
      </w:tr>
      <w:tr w:rsidR="0066201C" w14:paraId="45E8AA6C" w14:textId="77777777" w:rsidTr="00800E51">
        <w:tc>
          <w:tcPr>
            <w:tcW w:w="220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E10CD50" w14:textId="77777777" w:rsidR="0066201C" w:rsidRDefault="0066201C" w:rsidP="001F40FE">
            <w:r>
              <w:rPr>
                <w:b/>
                <w:bCs/>
                <w:color w:val="111111"/>
                <w:sz w:val="20"/>
                <w:szCs w:val="20"/>
              </w:rPr>
              <w:t>Asesor financiero externo (Fase 8)</w:t>
            </w:r>
          </w:p>
        </w:tc>
        <w:tc>
          <w:tcPr>
            <w:tcW w:w="34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35A13B39" w14:textId="77777777" w:rsidR="0066201C" w:rsidRDefault="0066201C" w:rsidP="001F40FE">
            <w:r>
              <w:rPr>
                <w:color w:val="111111"/>
                <w:sz w:val="20"/>
                <w:szCs w:val="20"/>
              </w:rPr>
              <w:t xml:space="preserve">Para la construcción del modelo financiero de la operación y, en caso de adquisición, para el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 xml:space="preserve"> financiero del </w:t>
            </w:r>
            <w:proofErr w:type="gramStart"/>
            <w:r>
              <w:rPr>
                <w:color w:val="111111"/>
                <w:sz w:val="20"/>
                <w:szCs w:val="20"/>
              </w:rPr>
              <w:t>target</w:t>
            </w:r>
            <w:proofErr w:type="gramEnd"/>
            <w:r>
              <w:rPr>
                <w:color w:val="111111"/>
                <w:sz w:val="20"/>
                <w:szCs w:val="20"/>
              </w:rPr>
              <w:t>. El equipo interno de finanzas puede liderar el modelo financiero con asesoría externa puntual para supuestos específicos del mercado.</w:t>
            </w:r>
          </w:p>
        </w:tc>
        <w:tc>
          <w:tcPr>
            <w:tcW w:w="3680" w:type="dxa"/>
            <w:tcBorders>
              <w:top w:val="single" w:sz="1" w:space="0" w:color="D0D5DB"/>
              <w:left w:val="single" w:sz="1" w:space="0" w:color="D0D5DB"/>
              <w:bottom w:val="single" w:sz="1" w:space="0" w:color="D0D5DB"/>
              <w:right w:val="single" w:sz="1" w:space="0" w:color="D0D5DB"/>
            </w:tcBorders>
            <w:shd w:val="clear" w:color="auto" w:fill="FFFFFF"/>
            <w:tcMar>
              <w:top w:w="80" w:type="dxa"/>
              <w:left w:w="130" w:type="dxa"/>
              <w:bottom w:w="80" w:type="dxa"/>
              <w:right w:w="130" w:type="dxa"/>
            </w:tcMar>
          </w:tcPr>
          <w:p w14:paraId="0569C64A" w14:textId="77777777" w:rsidR="0066201C" w:rsidRDefault="0066201C" w:rsidP="001F40FE">
            <w:r>
              <w:rPr>
                <w:color w:val="111111"/>
                <w:sz w:val="20"/>
                <w:szCs w:val="20"/>
              </w:rPr>
              <w:t xml:space="preserve">Referencia: USD 20.000 a 50.000 para la construcción del modelo financiero con asesoría externa. El </w:t>
            </w:r>
            <w:proofErr w:type="spellStart"/>
            <w:r>
              <w:rPr>
                <w:color w:val="111111"/>
                <w:sz w:val="20"/>
                <w:szCs w:val="20"/>
              </w:rPr>
              <w:t>due</w:t>
            </w:r>
            <w:proofErr w:type="spellEnd"/>
            <w:r>
              <w:rPr>
                <w:color w:val="111111"/>
                <w:sz w:val="20"/>
                <w:szCs w:val="20"/>
              </w:rPr>
              <w:t xml:space="preserve"> </w:t>
            </w:r>
            <w:proofErr w:type="spellStart"/>
            <w:r>
              <w:rPr>
                <w:color w:val="111111"/>
                <w:sz w:val="20"/>
                <w:szCs w:val="20"/>
              </w:rPr>
              <w:t>diligence</w:t>
            </w:r>
            <w:proofErr w:type="spellEnd"/>
            <w:r>
              <w:rPr>
                <w:color w:val="111111"/>
                <w:sz w:val="20"/>
                <w:szCs w:val="20"/>
              </w:rPr>
              <w:t xml:space="preserve"> financiero de una adquisición puede costar USD 100.000 o más si involucra auditoría de cartera de crédito.</w:t>
            </w:r>
          </w:p>
        </w:tc>
      </w:tr>
    </w:tbl>
    <w:p w14:paraId="09DECB27" w14:textId="77777777" w:rsidR="0066201C" w:rsidRDefault="0066201C" w:rsidP="0066201C">
      <w:r>
        <w:br w:type="page"/>
      </w:r>
    </w:p>
    <w:p w14:paraId="43244972" w14:textId="77777777" w:rsidR="0066201C" w:rsidRPr="00460847" w:rsidRDefault="0066201C" w:rsidP="0066201C">
      <w:pPr>
        <w:pStyle w:val="Ttulo1"/>
        <w:ind w:left="200" w:right="200"/>
        <w:rPr>
          <w:color w:val="auto"/>
        </w:rPr>
      </w:pPr>
      <w:bookmarkStart w:id="107" w:name="_Toc232659656"/>
      <w:r w:rsidRPr="00460847">
        <w:rPr>
          <w:color w:val="auto"/>
        </w:rPr>
        <w:lastRenderedPageBreak/>
        <w:t>Sección 14 — Actualización y Monitoreo Continuo del Proceso SIM</w:t>
      </w:r>
      <w:bookmarkEnd w:id="107"/>
    </w:p>
    <w:p w14:paraId="62226FAE" w14:textId="77777777" w:rsidR="0066201C" w:rsidRDefault="0066201C" w:rsidP="0066201C">
      <w:pPr>
        <w:spacing w:after="100"/>
      </w:pPr>
    </w:p>
    <w:p w14:paraId="5E235B2C" w14:textId="77777777" w:rsidR="0066201C" w:rsidRDefault="0066201C" w:rsidP="0066201C">
      <w:pPr>
        <w:spacing w:before="140" w:after="140" w:line="320" w:lineRule="auto"/>
        <w:jc w:val="both"/>
      </w:pPr>
      <w:r>
        <w:rPr>
          <w:color w:val="111111"/>
        </w:rPr>
        <w:t xml:space="preserve">El proceso SIM no es un evento único que se realiza una vez y produce una decisión definitiva: es un proceso cíclico que debe actualizarse periódicamente porque los mercados cambian, las capacidades de </w:t>
      </w:r>
      <w:proofErr w:type="spellStart"/>
      <w:r>
        <w:rPr>
          <w:color w:val="111111"/>
        </w:rPr>
        <w:t>Cibest</w:t>
      </w:r>
      <w:proofErr w:type="spellEnd"/>
      <w:r>
        <w:rPr>
          <w:color w:val="111111"/>
        </w:rPr>
        <w:t xml:space="preserve"> evolucionan y la estrategia corporativa se ajusta. Un ranking de atractivo de mercados construido en el primer trimestre de 2026 puede reflejar mal la realidad del segundo trimestre de 2027 si en el intervalo hubo cambios regulatorios significativos en los mercados candidatos, si las tasas de interés globales se movieron de manera que afectan los márgenes bancarios, o si un competidor de </w:t>
      </w:r>
      <w:proofErr w:type="spellStart"/>
      <w:r>
        <w:rPr>
          <w:color w:val="111111"/>
        </w:rPr>
        <w:t>Cibest</w:t>
      </w:r>
      <w:proofErr w:type="spellEnd"/>
      <w:r>
        <w:rPr>
          <w:color w:val="111111"/>
        </w:rPr>
        <w:t xml:space="preserve"> entró a uno de los mercados mejor clasificados. El proceso SIM que no se actualiza se deteriora como instrumento de inteligencia estratégica.</w:t>
      </w:r>
    </w:p>
    <w:p w14:paraId="0D6D9595" w14:textId="77777777" w:rsidR="0066201C" w:rsidRDefault="0066201C" w:rsidP="0066201C">
      <w:pPr>
        <w:spacing w:before="140" w:after="140" w:line="320" w:lineRule="auto"/>
        <w:jc w:val="both"/>
      </w:pPr>
      <w:r>
        <w:rPr>
          <w:color w:val="111111"/>
        </w:rPr>
        <w:t xml:space="preserve">El ciclo de actualización recomendado para el proceso SIM de </w:t>
      </w:r>
      <w:proofErr w:type="spellStart"/>
      <w:r>
        <w:rPr>
          <w:color w:val="111111"/>
        </w:rPr>
        <w:t>Cibest</w:t>
      </w:r>
      <w:proofErr w:type="spellEnd"/>
      <w:r>
        <w:rPr>
          <w:color w:val="111111"/>
        </w:rPr>
        <w:t xml:space="preserve"> tiene dos componentes: una actualización anual programada y un mecanismo de alerta temprana para actualizaciones fuera del ciclo regular. La actualización anual coincide con el proceso de planeación estratégica de Grupo </w:t>
      </w:r>
      <w:proofErr w:type="spellStart"/>
      <w:r>
        <w:rPr>
          <w:color w:val="111111"/>
        </w:rPr>
        <w:t>Cibest</w:t>
      </w:r>
      <w:proofErr w:type="spellEnd"/>
      <w:r>
        <w:rPr>
          <w:color w:val="111111"/>
        </w:rPr>
        <w:t xml:space="preserve">: en el cuarto trimestre de cada año, el equipo de Estrategia actualiza los datos del modelo RADAR con las observaciones más recientes de cada fuente, </w:t>
      </w:r>
      <w:proofErr w:type="spellStart"/>
      <w:r>
        <w:rPr>
          <w:color w:val="111111"/>
        </w:rPr>
        <w:t>re-ejecuta</w:t>
      </w:r>
      <w:proofErr w:type="spellEnd"/>
      <w:r>
        <w:rPr>
          <w:color w:val="111111"/>
        </w:rPr>
        <w:t xml:space="preserve"> el modelo con los pesos vigentes, compara el nuevo ranking con el ranking del año anterior para identificar movimientos significativos, y presenta la actualización al Comité Ejecutivo como un módulo específico de la sesión de planeación estratégica. Esta actualización no requiere repetir el proceso completo de ocho fases: solo actualiza el componente cuantitativo del ranking, manteniendo los pesos del Pilar 1 a menos que el Comité indique que su objetivo de internacionalización ha cambiado.</w:t>
      </w:r>
    </w:p>
    <w:p w14:paraId="40102C80" w14:textId="77777777" w:rsidR="0066201C" w:rsidRDefault="0066201C" w:rsidP="0066201C">
      <w:pPr>
        <w:spacing w:before="140" w:after="140" w:line="320" w:lineRule="auto"/>
        <w:jc w:val="both"/>
      </w:pPr>
      <w:r>
        <w:rPr>
          <w:color w:val="111111"/>
        </w:rPr>
        <w:t xml:space="preserve">El mecanismo de alerta temprana define los indicadores que, si se materializan fuera del ciclo anual, activan una revisión inmediata del ranking para el mercado afectado. Estos indicadores incluyen: un cambio en la calificación soberana de un mercado candidato de dos o más escalones en cualquier agencia calificadora; la aprobación de una nueva ley o normativa que afecte directamente la viabilidad regulatoria del modo de entrada seleccionado para ese mercado; la entrada de un competidor directo de </w:t>
      </w:r>
      <w:proofErr w:type="spellStart"/>
      <w:r>
        <w:rPr>
          <w:color w:val="111111"/>
        </w:rPr>
        <w:t>Cibest</w:t>
      </w:r>
      <w:proofErr w:type="spellEnd"/>
      <w:r>
        <w:rPr>
          <w:color w:val="111111"/>
        </w:rPr>
        <w:t xml:space="preserve"> a uno de los mercados del Cuadrante 1; un cambio de gobierno en un mercado candidato que signifique un giro significativo en la postura del nuevo gobierno sobre inversión extranjera bancaria; o una crisis económica que lleve el PIB de un mercado candidato a territorio negativo durante dos trimestres consecutivos. Cuando cualquiera de estos indicadores se activa, el equipo de Estrategia prepara un memorando de actualización en no más de cinco días hábiles, evaluando el impacto del cambio sobre el score del mercado afectado y sobre la clasificación de la combinación mercado-línea de negocio relevante.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201C" w14:paraId="1D78692C" w14:textId="77777777" w:rsidTr="00800E51">
        <w:tc>
          <w:tcPr>
            <w:tcW w:w="9360" w:type="dxa"/>
            <w:tcBorders>
              <w:top w:val="single" w:sz="1" w:space="0" w:color="2E8B57"/>
              <w:left w:val="single" w:sz="1" w:space="0" w:color="2E8B57"/>
              <w:bottom w:val="single" w:sz="1" w:space="0" w:color="2E8B57"/>
              <w:right w:val="single" w:sz="1" w:space="0" w:color="2E8B57"/>
            </w:tcBorders>
            <w:shd w:val="clear" w:color="auto" w:fill="EBF7EE"/>
            <w:tcMar>
              <w:top w:w="140" w:type="dxa"/>
              <w:left w:w="220" w:type="dxa"/>
              <w:bottom w:w="140" w:type="dxa"/>
              <w:right w:w="220" w:type="dxa"/>
            </w:tcMar>
          </w:tcPr>
          <w:p w14:paraId="47880D41" w14:textId="77777777" w:rsidR="0066201C" w:rsidRDefault="0066201C" w:rsidP="001F40FE">
            <w:pPr>
              <w:spacing w:after="80"/>
            </w:pPr>
            <w:proofErr w:type="gramStart"/>
            <w:r>
              <w:rPr>
                <w:b/>
                <w:bCs/>
                <w:caps/>
                <w:color w:val="1A6B36"/>
                <w:sz w:val="20"/>
                <w:szCs w:val="20"/>
              </w:rPr>
              <w:t>✅  Integración</w:t>
            </w:r>
            <w:proofErr w:type="gramEnd"/>
            <w:r>
              <w:rPr>
                <w:b/>
                <w:bCs/>
                <w:caps/>
                <w:color w:val="1A6B36"/>
                <w:sz w:val="20"/>
                <w:szCs w:val="20"/>
              </w:rPr>
              <w:t xml:space="preserve"> del SIM con la planeación estratégica anual de Cibest</w:t>
            </w:r>
          </w:p>
          <w:p w14:paraId="49715FE3" w14:textId="77777777" w:rsidR="0066201C" w:rsidRDefault="0066201C" w:rsidP="001F40FE">
            <w:pPr>
              <w:spacing w:after="60"/>
              <w:jc w:val="both"/>
            </w:pPr>
            <w:r>
              <w:rPr>
                <w:color w:val="1A1A1A"/>
                <w:sz w:val="20"/>
                <w:szCs w:val="20"/>
              </w:rPr>
              <w:lastRenderedPageBreak/>
              <w:t xml:space="preserve">El proceso SIM se integra formalmente al ciclo de planeación estratégica de Grupo </w:t>
            </w:r>
            <w:proofErr w:type="spellStart"/>
            <w:r>
              <w:rPr>
                <w:color w:val="1A1A1A"/>
                <w:sz w:val="20"/>
                <w:szCs w:val="20"/>
              </w:rPr>
              <w:t>Cibest</w:t>
            </w:r>
            <w:proofErr w:type="spellEnd"/>
            <w:r>
              <w:rPr>
                <w:color w:val="1A1A1A"/>
                <w:sz w:val="20"/>
                <w:szCs w:val="20"/>
              </w:rPr>
              <w:t xml:space="preserve"> de la siguiente manera: en el primer semestre, el equipo ejecuta el ciclo completo del SIM para los mercados candidatos nuevos o los que han experimentado cambios significativos; en el tercer trimestre, el Comité Ejecutivo revisa el estado del embudo de decisión y toma decisiones de avance o retiro de mercados candidatos; en el cuarto trimestre, la actualización anual del modelo RADAR se presenta como insumo de la planeación estratégica del año siguiente. Los resultados del SIM alimentan directamente el presupuesto de inversión de </w:t>
            </w:r>
            <w:proofErr w:type="spellStart"/>
            <w:r>
              <w:rPr>
                <w:color w:val="1A1A1A"/>
                <w:sz w:val="20"/>
                <w:szCs w:val="20"/>
              </w:rPr>
              <w:t>Cibest</w:t>
            </w:r>
            <w:proofErr w:type="spellEnd"/>
            <w:r>
              <w:rPr>
                <w:color w:val="1A1A1A"/>
                <w:sz w:val="20"/>
                <w:szCs w:val="20"/>
              </w:rPr>
              <w:t xml:space="preserve"> para el año siguiente: los mercados del Cuadrante 1 que el Comité decide avanzar a </w:t>
            </w:r>
            <w:proofErr w:type="spellStart"/>
            <w:r>
              <w:rPr>
                <w:color w:val="1A1A1A"/>
                <w:sz w:val="20"/>
                <w:szCs w:val="20"/>
              </w:rPr>
              <w:t>due</w:t>
            </w:r>
            <w:proofErr w:type="spellEnd"/>
            <w:r>
              <w:rPr>
                <w:color w:val="1A1A1A"/>
                <w:sz w:val="20"/>
                <w:szCs w:val="20"/>
              </w:rPr>
              <w:t xml:space="preserve"> </w:t>
            </w:r>
            <w:proofErr w:type="spellStart"/>
            <w:r>
              <w:rPr>
                <w:color w:val="1A1A1A"/>
                <w:sz w:val="20"/>
                <w:szCs w:val="20"/>
              </w:rPr>
              <w:t>diligence</w:t>
            </w:r>
            <w:proofErr w:type="spellEnd"/>
            <w:r>
              <w:rPr>
                <w:color w:val="1A1A1A"/>
                <w:sz w:val="20"/>
                <w:szCs w:val="20"/>
              </w:rPr>
              <w:t xml:space="preserve"> tienen una línea de presupuesto específica para los costos de esa fase.</w:t>
            </w:r>
          </w:p>
        </w:tc>
      </w:tr>
    </w:tbl>
    <w:p w14:paraId="2F67916E" w14:textId="77777777" w:rsidR="0066201C" w:rsidRDefault="0066201C" w:rsidP="0066201C">
      <w:r>
        <w:br w:type="page"/>
      </w:r>
    </w:p>
    <w:p w14:paraId="3342F7A3" w14:textId="77777777" w:rsidR="0066201C" w:rsidRPr="00460847" w:rsidRDefault="0066201C" w:rsidP="0066201C">
      <w:pPr>
        <w:pStyle w:val="Ttulo1"/>
        <w:ind w:left="200" w:right="200"/>
        <w:rPr>
          <w:color w:val="auto"/>
        </w:rPr>
      </w:pPr>
      <w:bookmarkStart w:id="108" w:name="_Toc232659657"/>
      <w:r w:rsidRPr="00460847">
        <w:rPr>
          <w:color w:val="auto"/>
        </w:rPr>
        <w:lastRenderedPageBreak/>
        <w:t>Sección 15 — Glosario de Términos</w:t>
      </w:r>
      <w:bookmarkEnd w:id="108"/>
    </w:p>
    <w:p w14:paraId="2B22F76A" w14:textId="77777777" w:rsidR="0066201C" w:rsidRDefault="0066201C" w:rsidP="0066201C">
      <w:pPr>
        <w:spacing w:after="100"/>
      </w:pPr>
    </w:p>
    <w:p w14:paraId="777A771E" w14:textId="293CF72E" w:rsidR="0066201C" w:rsidRDefault="0066201C" w:rsidP="0066201C">
      <w:pPr>
        <w:spacing w:before="140" w:after="140" w:line="320" w:lineRule="auto"/>
        <w:jc w:val="both"/>
      </w:pPr>
      <w:r>
        <w:rPr>
          <w:color w:val="111111"/>
        </w:rPr>
        <w:t xml:space="preserve">El presente glosario define los términos técnicos, acrónimos y conceptos especializados utilizados en este </w:t>
      </w:r>
      <w:r w:rsidR="00AA01B4">
        <w:rPr>
          <w:color w:val="111111"/>
        </w:rPr>
        <w:t>documento</w:t>
      </w:r>
      <w:r>
        <w:rPr>
          <w:color w:val="111111"/>
        </w:rPr>
        <w:t>. Las definiciones están formuladas en lenguaje accesible para el Comité Ejecutivo y la Junta Directiva, sin sacrificar la precisión necesaria para el equipo técnico de Estrategia.</w:t>
      </w:r>
    </w:p>
    <w:p w14:paraId="3038C365" w14:textId="77777777" w:rsidR="0066201C" w:rsidRDefault="0066201C" w:rsidP="0066201C">
      <w:pPr>
        <w:spacing w:after="100"/>
      </w:pPr>
    </w:p>
    <w:p w14:paraId="0CACB929" w14:textId="77777777" w:rsidR="0066201C" w:rsidRDefault="0066201C" w:rsidP="0066201C">
      <w:pPr>
        <w:spacing w:before="80" w:after="80" w:line="300" w:lineRule="auto"/>
        <w:jc w:val="both"/>
      </w:pPr>
      <w:r>
        <w:rPr>
          <w:b/>
          <w:bCs/>
          <w:color w:val="0D1B2A"/>
          <w:sz w:val="21"/>
          <w:szCs w:val="21"/>
        </w:rPr>
        <w:t xml:space="preserve">AD — Activos Digitales: </w:t>
      </w:r>
      <w:r>
        <w:rPr>
          <w:color w:val="111111"/>
          <w:sz w:val="21"/>
          <w:szCs w:val="21"/>
        </w:rPr>
        <w:t xml:space="preserve">Línea de negocio de Grupo </w:t>
      </w:r>
      <w:proofErr w:type="spellStart"/>
      <w:r>
        <w:rPr>
          <w:color w:val="111111"/>
          <w:sz w:val="21"/>
          <w:szCs w:val="21"/>
        </w:rPr>
        <w:t>Cibest</w:t>
      </w:r>
      <w:proofErr w:type="spellEnd"/>
      <w:r>
        <w:rPr>
          <w:color w:val="111111"/>
          <w:sz w:val="21"/>
          <w:szCs w:val="21"/>
        </w:rPr>
        <w:t xml:space="preserve"> dedicada a la gestión de </w:t>
      </w:r>
      <w:proofErr w:type="spellStart"/>
      <w:r>
        <w:rPr>
          <w:color w:val="111111"/>
          <w:sz w:val="21"/>
          <w:szCs w:val="21"/>
        </w:rPr>
        <w:t>criptoactivos</w:t>
      </w:r>
      <w:proofErr w:type="spellEnd"/>
      <w:r>
        <w:rPr>
          <w:color w:val="111111"/>
          <w:sz w:val="21"/>
          <w:szCs w:val="21"/>
        </w:rPr>
        <w:t>, tokens, monedas estables (</w:t>
      </w:r>
      <w:proofErr w:type="spellStart"/>
      <w:r>
        <w:rPr>
          <w:color w:val="111111"/>
          <w:sz w:val="21"/>
          <w:szCs w:val="21"/>
        </w:rPr>
        <w:t>stablecoins</w:t>
      </w:r>
      <w:proofErr w:type="spellEnd"/>
      <w:r>
        <w:rPr>
          <w:color w:val="111111"/>
          <w:sz w:val="21"/>
          <w:szCs w:val="21"/>
        </w:rPr>
        <w:t xml:space="preserve">), monedas digitales de banco central (CBDC), </w:t>
      </w:r>
      <w:proofErr w:type="spellStart"/>
      <w:r>
        <w:rPr>
          <w:color w:val="111111"/>
          <w:sz w:val="21"/>
          <w:szCs w:val="21"/>
        </w:rPr>
        <w:t>staking</w:t>
      </w:r>
      <w:proofErr w:type="spellEnd"/>
      <w:r>
        <w:rPr>
          <w:color w:val="111111"/>
          <w:sz w:val="21"/>
          <w:szCs w:val="21"/>
        </w:rPr>
        <w:t>, billeteras digitales y custodia de activos digitales.</w:t>
      </w:r>
    </w:p>
    <w:p w14:paraId="59480799" w14:textId="77777777" w:rsidR="0066201C" w:rsidRDefault="0066201C" w:rsidP="0066201C">
      <w:pPr>
        <w:spacing w:before="80" w:after="80" w:line="300" w:lineRule="auto"/>
        <w:jc w:val="both"/>
      </w:pPr>
      <w:r>
        <w:rPr>
          <w:b/>
          <w:bCs/>
          <w:color w:val="0D1B2A"/>
          <w:sz w:val="21"/>
          <w:szCs w:val="21"/>
        </w:rPr>
        <w:t xml:space="preserve">AHP — Analytic </w:t>
      </w:r>
      <w:proofErr w:type="spellStart"/>
      <w:r>
        <w:rPr>
          <w:b/>
          <w:bCs/>
          <w:color w:val="0D1B2A"/>
          <w:sz w:val="21"/>
          <w:szCs w:val="21"/>
        </w:rPr>
        <w:t>Hierarchy</w:t>
      </w:r>
      <w:proofErr w:type="spellEnd"/>
      <w:r>
        <w:rPr>
          <w:b/>
          <w:bCs/>
          <w:color w:val="0D1B2A"/>
          <w:sz w:val="21"/>
          <w:szCs w:val="21"/>
        </w:rPr>
        <w:t xml:space="preserve"> Process: </w:t>
      </w:r>
      <w:r>
        <w:rPr>
          <w:color w:val="111111"/>
          <w:sz w:val="21"/>
          <w:szCs w:val="21"/>
        </w:rPr>
        <w:t xml:space="preserve">Método de toma de decisiones </w:t>
      </w:r>
      <w:proofErr w:type="spellStart"/>
      <w:r>
        <w:rPr>
          <w:color w:val="111111"/>
          <w:sz w:val="21"/>
          <w:szCs w:val="21"/>
        </w:rPr>
        <w:t>multicriteria</w:t>
      </w:r>
      <w:proofErr w:type="spellEnd"/>
      <w:r>
        <w:rPr>
          <w:color w:val="111111"/>
          <w:sz w:val="21"/>
          <w:szCs w:val="21"/>
        </w:rPr>
        <w:t xml:space="preserve"> desarrollado por Saaty (1980). Permite estructurar problemas complejos en jerarquías de criterios y alternativas. En RADAR </w:t>
      </w:r>
      <w:proofErr w:type="spellStart"/>
      <w:r>
        <w:rPr>
          <w:color w:val="111111"/>
          <w:sz w:val="21"/>
          <w:szCs w:val="21"/>
        </w:rPr>
        <w:t>Cibest</w:t>
      </w:r>
      <w:proofErr w:type="spellEnd"/>
      <w:r>
        <w:rPr>
          <w:color w:val="111111"/>
          <w:sz w:val="21"/>
          <w:szCs w:val="21"/>
        </w:rPr>
        <w:t xml:space="preserve"> es utilizado como técnica de referencia comparativa en la selección del método de ponderación, aunque el método de ponderación principal es el BWM.</w:t>
      </w:r>
    </w:p>
    <w:p w14:paraId="3B587124" w14:textId="77777777" w:rsidR="0066201C" w:rsidRDefault="0066201C" w:rsidP="0066201C">
      <w:pPr>
        <w:spacing w:before="80" w:after="80" w:line="300" w:lineRule="auto"/>
        <w:jc w:val="both"/>
      </w:pPr>
      <w:r>
        <w:rPr>
          <w:b/>
          <w:bCs/>
          <w:color w:val="0D1B2A"/>
          <w:sz w:val="21"/>
          <w:szCs w:val="21"/>
        </w:rPr>
        <w:t xml:space="preserve">BD — Bancos Digitales: </w:t>
      </w:r>
      <w:r>
        <w:rPr>
          <w:color w:val="111111"/>
          <w:sz w:val="21"/>
          <w:szCs w:val="21"/>
        </w:rPr>
        <w:t xml:space="preserve">Línea de negocio de Grupo </w:t>
      </w:r>
      <w:proofErr w:type="spellStart"/>
      <w:r>
        <w:rPr>
          <w:color w:val="111111"/>
          <w:sz w:val="21"/>
          <w:szCs w:val="21"/>
        </w:rPr>
        <w:t>Cibest</w:t>
      </w:r>
      <w:proofErr w:type="spellEnd"/>
      <w:r>
        <w:rPr>
          <w:color w:val="111111"/>
          <w:sz w:val="21"/>
          <w:szCs w:val="21"/>
        </w:rPr>
        <w:t xml:space="preserve"> que opera exclusivamente a través de canales digitales, sin sucursales físicas. Análoga en concepto a </w:t>
      </w:r>
      <w:proofErr w:type="spellStart"/>
      <w:r>
        <w:rPr>
          <w:color w:val="111111"/>
          <w:sz w:val="21"/>
          <w:szCs w:val="21"/>
        </w:rPr>
        <w:t>Nequi</w:t>
      </w:r>
      <w:proofErr w:type="spellEnd"/>
      <w:r>
        <w:rPr>
          <w:color w:val="111111"/>
          <w:sz w:val="21"/>
          <w:szCs w:val="21"/>
        </w:rPr>
        <w:t xml:space="preserve"> (Colombia), </w:t>
      </w:r>
      <w:proofErr w:type="spellStart"/>
      <w:r>
        <w:rPr>
          <w:color w:val="111111"/>
          <w:sz w:val="21"/>
          <w:szCs w:val="21"/>
        </w:rPr>
        <w:t>Nubank</w:t>
      </w:r>
      <w:proofErr w:type="spellEnd"/>
      <w:r>
        <w:rPr>
          <w:color w:val="111111"/>
          <w:sz w:val="21"/>
          <w:szCs w:val="21"/>
        </w:rPr>
        <w:t xml:space="preserve"> (Brasil) o N26 (Europa).</w:t>
      </w:r>
    </w:p>
    <w:p w14:paraId="4AF955E2" w14:textId="77777777" w:rsidR="0066201C" w:rsidRDefault="0066201C" w:rsidP="0066201C">
      <w:pPr>
        <w:spacing w:before="80" w:after="80" w:line="300" w:lineRule="auto"/>
        <w:jc w:val="both"/>
      </w:pPr>
      <w:r>
        <w:rPr>
          <w:b/>
          <w:bCs/>
          <w:color w:val="0D1B2A"/>
          <w:sz w:val="21"/>
          <w:szCs w:val="21"/>
        </w:rPr>
        <w:t xml:space="preserve">BWM — Best-Worst Method: </w:t>
      </w:r>
      <w:r>
        <w:rPr>
          <w:color w:val="111111"/>
          <w:sz w:val="21"/>
          <w:szCs w:val="21"/>
        </w:rPr>
        <w:t xml:space="preserve">Método de ponderación </w:t>
      </w:r>
      <w:proofErr w:type="spellStart"/>
      <w:r>
        <w:rPr>
          <w:color w:val="111111"/>
          <w:sz w:val="21"/>
          <w:szCs w:val="21"/>
        </w:rPr>
        <w:t>multicriteria</w:t>
      </w:r>
      <w:proofErr w:type="spellEnd"/>
      <w:r>
        <w:rPr>
          <w:color w:val="111111"/>
          <w:sz w:val="21"/>
          <w:szCs w:val="21"/>
        </w:rPr>
        <w:t xml:space="preserve"> desarrollado por Rezaei (2015). Permite a los decisores expresar la importancia relativa de los criterios de evaluación a través de comparaciones con el mejor y el peor criterio, produciendo pesos con mayor consistencia matemática que el AHP con menos comparaciones. Es el método de ponderación del Pilar 1 de RADAR </w:t>
      </w:r>
      <w:proofErr w:type="spellStart"/>
      <w:r>
        <w:rPr>
          <w:color w:val="111111"/>
          <w:sz w:val="21"/>
          <w:szCs w:val="21"/>
        </w:rPr>
        <w:t>Cibest</w:t>
      </w:r>
      <w:proofErr w:type="spellEnd"/>
      <w:r>
        <w:rPr>
          <w:color w:val="111111"/>
          <w:sz w:val="21"/>
          <w:szCs w:val="21"/>
        </w:rPr>
        <w:t>.</w:t>
      </w:r>
    </w:p>
    <w:p w14:paraId="5A6096D7" w14:textId="77777777" w:rsidR="0066201C" w:rsidRDefault="0066201C" w:rsidP="0066201C">
      <w:pPr>
        <w:spacing w:before="80" w:after="80" w:line="300" w:lineRule="auto"/>
        <w:jc w:val="both"/>
      </w:pPr>
      <w:r>
        <w:rPr>
          <w:b/>
          <w:bCs/>
          <w:color w:val="0D1B2A"/>
          <w:sz w:val="21"/>
          <w:szCs w:val="21"/>
        </w:rPr>
        <w:t xml:space="preserve">CAF — Banco de Desarrollo de América Latina: </w:t>
      </w:r>
      <w:r>
        <w:rPr>
          <w:color w:val="111111"/>
          <w:sz w:val="21"/>
          <w:szCs w:val="21"/>
        </w:rPr>
        <w:t xml:space="preserve">Institución financiera multilateral que promueve el desarrollo sostenible y la integración regional de América Latina. Sus informes sobre el sistema financiero latinoamericano son fuente de referencia del proceso SIM de </w:t>
      </w:r>
      <w:proofErr w:type="spellStart"/>
      <w:r>
        <w:rPr>
          <w:color w:val="111111"/>
          <w:sz w:val="21"/>
          <w:szCs w:val="21"/>
        </w:rPr>
        <w:t>Cibest</w:t>
      </w:r>
      <w:proofErr w:type="spellEnd"/>
      <w:r>
        <w:rPr>
          <w:color w:val="111111"/>
          <w:sz w:val="21"/>
          <w:szCs w:val="21"/>
        </w:rPr>
        <w:t>.</w:t>
      </w:r>
    </w:p>
    <w:p w14:paraId="4687AAD8" w14:textId="77777777" w:rsidR="0066201C" w:rsidRDefault="0066201C" w:rsidP="0066201C">
      <w:pPr>
        <w:spacing w:before="80" w:after="80" w:line="300" w:lineRule="auto"/>
        <w:jc w:val="both"/>
      </w:pPr>
      <w:r>
        <w:rPr>
          <w:b/>
          <w:bCs/>
          <w:color w:val="0D1B2A"/>
          <w:sz w:val="21"/>
          <w:szCs w:val="21"/>
        </w:rPr>
        <w:t xml:space="preserve">CBDC — Central Bank Digital </w:t>
      </w:r>
      <w:proofErr w:type="spellStart"/>
      <w:r>
        <w:rPr>
          <w:b/>
          <w:bCs/>
          <w:color w:val="0D1B2A"/>
          <w:sz w:val="21"/>
          <w:szCs w:val="21"/>
        </w:rPr>
        <w:t>Currency</w:t>
      </w:r>
      <w:proofErr w:type="spellEnd"/>
      <w:r>
        <w:rPr>
          <w:b/>
          <w:bCs/>
          <w:color w:val="0D1B2A"/>
          <w:sz w:val="21"/>
          <w:szCs w:val="21"/>
        </w:rPr>
        <w:t xml:space="preserve">: </w:t>
      </w:r>
      <w:r>
        <w:rPr>
          <w:color w:val="111111"/>
          <w:sz w:val="21"/>
          <w:szCs w:val="21"/>
        </w:rPr>
        <w:t xml:space="preserve">Moneda digital emitida y respaldada por el banco central de un país. Relevante para la línea de Activos Digitales de </w:t>
      </w:r>
      <w:proofErr w:type="spellStart"/>
      <w:r>
        <w:rPr>
          <w:color w:val="111111"/>
          <w:sz w:val="21"/>
          <w:szCs w:val="21"/>
        </w:rPr>
        <w:t>Cibest</w:t>
      </w:r>
      <w:proofErr w:type="spellEnd"/>
      <w:r>
        <w:rPr>
          <w:color w:val="111111"/>
          <w:sz w:val="21"/>
          <w:szCs w:val="21"/>
        </w:rPr>
        <w:t xml:space="preserve"> como instrumento regulado de valor digital.</w:t>
      </w:r>
    </w:p>
    <w:p w14:paraId="5DB1FA28" w14:textId="77777777" w:rsidR="0066201C" w:rsidRDefault="0066201C" w:rsidP="0066201C">
      <w:pPr>
        <w:spacing w:before="80" w:after="80" w:line="300" w:lineRule="auto"/>
        <w:jc w:val="both"/>
      </w:pPr>
      <w:r>
        <w:rPr>
          <w:b/>
          <w:bCs/>
          <w:color w:val="0D1B2A"/>
          <w:sz w:val="21"/>
          <w:szCs w:val="21"/>
        </w:rPr>
        <w:t xml:space="preserve">CEPII — Centre </w:t>
      </w:r>
      <w:proofErr w:type="spellStart"/>
      <w:r>
        <w:rPr>
          <w:b/>
          <w:bCs/>
          <w:color w:val="0D1B2A"/>
          <w:sz w:val="21"/>
          <w:szCs w:val="21"/>
        </w:rPr>
        <w:t>d'Études</w:t>
      </w:r>
      <w:proofErr w:type="spellEnd"/>
      <w:r>
        <w:rPr>
          <w:b/>
          <w:bCs/>
          <w:color w:val="0D1B2A"/>
          <w:sz w:val="21"/>
          <w:szCs w:val="21"/>
        </w:rPr>
        <w:t xml:space="preserve"> Prospectives et </w:t>
      </w:r>
      <w:proofErr w:type="spellStart"/>
      <w:r>
        <w:rPr>
          <w:b/>
          <w:bCs/>
          <w:color w:val="0D1B2A"/>
          <w:sz w:val="21"/>
          <w:szCs w:val="21"/>
        </w:rPr>
        <w:t>d'Informations</w:t>
      </w:r>
      <w:proofErr w:type="spellEnd"/>
      <w:r>
        <w:rPr>
          <w:b/>
          <w:bCs/>
          <w:color w:val="0D1B2A"/>
          <w:sz w:val="21"/>
          <w:szCs w:val="21"/>
        </w:rPr>
        <w:t xml:space="preserve"> </w:t>
      </w:r>
      <w:proofErr w:type="spellStart"/>
      <w:r>
        <w:rPr>
          <w:b/>
          <w:bCs/>
          <w:color w:val="0D1B2A"/>
          <w:sz w:val="21"/>
          <w:szCs w:val="21"/>
        </w:rPr>
        <w:t>Internationales</w:t>
      </w:r>
      <w:proofErr w:type="spellEnd"/>
      <w:r>
        <w:rPr>
          <w:b/>
          <w:bCs/>
          <w:color w:val="0D1B2A"/>
          <w:sz w:val="21"/>
          <w:szCs w:val="21"/>
        </w:rPr>
        <w:t xml:space="preserve">: </w:t>
      </w:r>
      <w:r>
        <w:rPr>
          <w:color w:val="111111"/>
          <w:sz w:val="21"/>
          <w:szCs w:val="21"/>
        </w:rPr>
        <w:t xml:space="preserve">Centro de investigación económica francés que produce la base de datos </w:t>
      </w:r>
      <w:proofErr w:type="spellStart"/>
      <w:r>
        <w:rPr>
          <w:color w:val="111111"/>
          <w:sz w:val="21"/>
          <w:szCs w:val="21"/>
        </w:rPr>
        <w:t>GeoDist</w:t>
      </w:r>
      <w:proofErr w:type="spellEnd"/>
      <w:r>
        <w:rPr>
          <w:color w:val="111111"/>
          <w:sz w:val="21"/>
          <w:szCs w:val="21"/>
        </w:rPr>
        <w:t xml:space="preserve">, fuente de las variables de distancia geográfica y lengua compartida utilizadas en la Dimensión D5 (Proximidad) del modelo RADAR </w:t>
      </w:r>
      <w:proofErr w:type="spellStart"/>
      <w:r>
        <w:rPr>
          <w:color w:val="111111"/>
          <w:sz w:val="21"/>
          <w:szCs w:val="21"/>
        </w:rPr>
        <w:t>Cibest</w:t>
      </w:r>
      <w:proofErr w:type="spellEnd"/>
      <w:r>
        <w:rPr>
          <w:color w:val="111111"/>
          <w:sz w:val="21"/>
          <w:szCs w:val="21"/>
        </w:rPr>
        <w:t>.</w:t>
      </w:r>
    </w:p>
    <w:p w14:paraId="0FD6BAA2" w14:textId="77777777" w:rsidR="0066201C" w:rsidRDefault="0066201C" w:rsidP="0066201C">
      <w:pPr>
        <w:spacing w:before="80" w:after="80" w:line="300" w:lineRule="auto"/>
        <w:jc w:val="both"/>
      </w:pPr>
      <w:r>
        <w:rPr>
          <w:b/>
          <w:bCs/>
          <w:color w:val="0D1B2A"/>
          <w:sz w:val="21"/>
          <w:szCs w:val="21"/>
        </w:rPr>
        <w:t xml:space="preserve">CIB — </w:t>
      </w:r>
      <w:proofErr w:type="spellStart"/>
      <w:r>
        <w:rPr>
          <w:b/>
          <w:bCs/>
          <w:color w:val="0D1B2A"/>
          <w:sz w:val="21"/>
          <w:szCs w:val="21"/>
        </w:rPr>
        <w:t>Corporate</w:t>
      </w:r>
      <w:proofErr w:type="spellEnd"/>
      <w:r>
        <w:rPr>
          <w:b/>
          <w:bCs/>
          <w:color w:val="0D1B2A"/>
          <w:sz w:val="21"/>
          <w:szCs w:val="21"/>
        </w:rPr>
        <w:t xml:space="preserve"> &amp; </w:t>
      </w:r>
      <w:proofErr w:type="spellStart"/>
      <w:r>
        <w:rPr>
          <w:b/>
          <w:bCs/>
          <w:color w:val="0D1B2A"/>
          <w:sz w:val="21"/>
          <w:szCs w:val="21"/>
        </w:rPr>
        <w:t>Investment</w:t>
      </w:r>
      <w:proofErr w:type="spellEnd"/>
      <w:r>
        <w:rPr>
          <w:b/>
          <w:bCs/>
          <w:color w:val="0D1B2A"/>
          <w:sz w:val="21"/>
          <w:szCs w:val="21"/>
        </w:rPr>
        <w:t xml:space="preserve"> </w:t>
      </w:r>
      <w:proofErr w:type="spellStart"/>
      <w:r>
        <w:rPr>
          <w:b/>
          <w:bCs/>
          <w:color w:val="0D1B2A"/>
          <w:sz w:val="21"/>
          <w:szCs w:val="21"/>
        </w:rPr>
        <w:t>Banking</w:t>
      </w:r>
      <w:proofErr w:type="spellEnd"/>
      <w:r>
        <w:rPr>
          <w:b/>
          <w:bCs/>
          <w:color w:val="0D1B2A"/>
          <w:sz w:val="21"/>
          <w:szCs w:val="21"/>
        </w:rPr>
        <w:t xml:space="preserve">: </w:t>
      </w:r>
      <w:r>
        <w:rPr>
          <w:color w:val="111111"/>
          <w:sz w:val="21"/>
          <w:szCs w:val="21"/>
        </w:rPr>
        <w:t xml:space="preserve">Línea de negocio de Grupo </w:t>
      </w:r>
      <w:proofErr w:type="spellStart"/>
      <w:r>
        <w:rPr>
          <w:color w:val="111111"/>
          <w:sz w:val="21"/>
          <w:szCs w:val="21"/>
        </w:rPr>
        <w:t>Cibest</w:t>
      </w:r>
      <w:proofErr w:type="spellEnd"/>
      <w:r>
        <w:rPr>
          <w:color w:val="111111"/>
          <w:sz w:val="21"/>
          <w:szCs w:val="21"/>
        </w:rPr>
        <w:t xml:space="preserve"> orientada a clientes corporativos, institucionales y de banca privada. Incluye estructuración financiera, banca de inversión, Wealth Management y </w:t>
      </w:r>
      <w:proofErr w:type="spellStart"/>
      <w:r>
        <w:rPr>
          <w:color w:val="111111"/>
          <w:sz w:val="21"/>
          <w:szCs w:val="21"/>
        </w:rPr>
        <w:t>Asset</w:t>
      </w:r>
      <w:proofErr w:type="spellEnd"/>
      <w:r>
        <w:rPr>
          <w:color w:val="111111"/>
          <w:sz w:val="21"/>
          <w:szCs w:val="21"/>
        </w:rPr>
        <w:t xml:space="preserve"> Management.</w:t>
      </w:r>
    </w:p>
    <w:p w14:paraId="3BC2941F" w14:textId="77777777" w:rsidR="0066201C" w:rsidRDefault="0066201C" w:rsidP="0066201C">
      <w:pPr>
        <w:spacing w:before="80" w:after="80" w:line="300" w:lineRule="auto"/>
        <w:jc w:val="both"/>
      </w:pPr>
      <w:r>
        <w:rPr>
          <w:b/>
          <w:bCs/>
          <w:color w:val="0D1B2A"/>
          <w:sz w:val="21"/>
          <w:szCs w:val="21"/>
        </w:rPr>
        <w:t xml:space="preserve">Coeficiente de correlación de Spearman: </w:t>
      </w:r>
      <w:r>
        <w:rPr>
          <w:color w:val="111111"/>
          <w:sz w:val="21"/>
          <w:szCs w:val="21"/>
        </w:rPr>
        <w:t>Medida estadística de la concordancia entre dos rankings. Un valor de 1.0 indica rankings idénticos; un valor de 0 indica ausencia de relación. En el análisis de sensibilidad de RADAR, se usa para medir cuánto cambia el ranking cuando los pesos varían, con un umbral de aceptabilidad de 0.80.</w:t>
      </w:r>
    </w:p>
    <w:p w14:paraId="32B936BD" w14:textId="77777777" w:rsidR="0066201C" w:rsidRDefault="0066201C" w:rsidP="0066201C">
      <w:pPr>
        <w:spacing w:before="80" w:after="80" w:line="300" w:lineRule="auto"/>
        <w:jc w:val="both"/>
      </w:pPr>
      <w:r>
        <w:rPr>
          <w:b/>
          <w:bCs/>
          <w:color w:val="0D1B2A"/>
          <w:sz w:val="21"/>
          <w:szCs w:val="21"/>
        </w:rPr>
        <w:lastRenderedPageBreak/>
        <w:t xml:space="preserve">Distancia institucional: </w:t>
      </w:r>
      <w:r>
        <w:rPr>
          <w:color w:val="111111"/>
          <w:sz w:val="21"/>
          <w:szCs w:val="21"/>
        </w:rPr>
        <w:t xml:space="preserve">Concepto de Kostova (1999) que mide la diferencia entre los sistemas institucionales — formales (regulaciones, leyes) e informales (normas culturales, prácticas de negocio) — de dos países. En RADAR </w:t>
      </w:r>
      <w:proofErr w:type="spellStart"/>
      <w:r>
        <w:rPr>
          <w:color w:val="111111"/>
          <w:sz w:val="21"/>
          <w:szCs w:val="21"/>
        </w:rPr>
        <w:t>Cibest</w:t>
      </w:r>
      <w:proofErr w:type="spellEnd"/>
      <w:r>
        <w:rPr>
          <w:color w:val="111111"/>
          <w:sz w:val="21"/>
          <w:szCs w:val="21"/>
        </w:rPr>
        <w:t>, se operacionaliza a través de los indicadores WGI y las dimensiones culturales de Hofstede.</w:t>
      </w:r>
    </w:p>
    <w:p w14:paraId="0675C376" w14:textId="77777777" w:rsidR="0066201C" w:rsidRDefault="0066201C" w:rsidP="0066201C">
      <w:pPr>
        <w:spacing w:before="80" w:after="80" w:line="300" w:lineRule="auto"/>
        <w:jc w:val="both"/>
      </w:pPr>
      <w:r>
        <w:rPr>
          <w:b/>
          <w:bCs/>
          <w:color w:val="0D1B2A"/>
          <w:sz w:val="21"/>
          <w:szCs w:val="21"/>
        </w:rPr>
        <w:t xml:space="preserve">Distancia psíquica: </w:t>
      </w:r>
      <w:r>
        <w:rPr>
          <w:color w:val="111111"/>
          <w:sz w:val="21"/>
          <w:szCs w:val="21"/>
        </w:rPr>
        <w:t xml:space="preserve">Concepto del Modelo Uppsala (Johanson &amp; </w:t>
      </w:r>
      <w:proofErr w:type="spellStart"/>
      <w:r>
        <w:rPr>
          <w:color w:val="111111"/>
          <w:sz w:val="21"/>
          <w:szCs w:val="21"/>
        </w:rPr>
        <w:t>Vahlne</w:t>
      </w:r>
      <w:proofErr w:type="spellEnd"/>
      <w:r>
        <w:rPr>
          <w:color w:val="111111"/>
          <w:sz w:val="21"/>
          <w:szCs w:val="21"/>
        </w:rPr>
        <w:t>, 1977): la suma de los factores que dificultan el flujo de información entre el país de origen y el destino, incluyendo diferencias en idioma, cultura, sistemas políticos y nivel de desarrollo económico.</w:t>
      </w:r>
    </w:p>
    <w:p w14:paraId="6ED82E53" w14:textId="77777777" w:rsidR="0066201C" w:rsidRDefault="0066201C" w:rsidP="0066201C">
      <w:pPr>
        <w:spacing w:before="80" w:after="80" w:line="300" w:lineRule="auto"/>
        <w:jc w:val="both"/>
      </w:pPr>
      <w:r>
        <w:rPr>
          <w:b/>
          <w:bCs/>
          <w:color w:val="0D1B2A"/>
          <w:sz w:val="21"/>
          <w:szCs w:val="21"/>
        </w:rPr>
        <w:t xml:space="preserve">DOEI — Documento de Definición del Objetivo Estratégico de Internacionalización: </w:t>
      </w:r>
      <w:r>
        <w:rPr>
          <w:color w:val="111111"/>
          <w:sz w:val="21"/>
          <w:szCs w:val="21"/>
        </w:rPr>
        <w:t xml:space="preserve">Entregable formal de la Fase 1 del proceso SIM de </w:t>
      </w:r>
      <w:proofErr w:type="spellStart"/>
      <w:r>
        <w:rPr>
          <w:color w:val="111111"/>
          <w:sz w:val="21"/>
          <w:szCs w:val="21"/>
        </w:rPr>
        <w:t>Cibest</w:t>
      </w:r>
      <w:proofErr w:type="spellEnd"/>
      <w:r>
        <w:rPr>
          <w:color w:val="111111"/>
          <w:sz w:val="21"/>
          <w:szCs w:val="21"/>
        </w:rPr>
        <w:t>. Aprobado por el Comité Ejecutivo, declara el objetivo de internacionalización, las líneas de negocio priorizadas, el horizonte temporal y el capital disponible. Es el input de configuración del modelo RADAR.</w:t>
      </w:r>
    </w:p>
    <w:p w14:paraId="767629A6" w14:textId="77777777" w:rsidR="0066201C" w:rsidRDefault="0066201C" w:rsidP="0066201C">
      <w:pPr>
        <w:spacing w:before="80" w:after="80" w:line="300" w:lineRule="auto"/>
        <w:jc w:val="both"/>
      </w:pPr>
      <w:r>
        <w:rPr>
          <w:b/>
          <w:bCs/>
          <w:color w:val="0D1B2A"/>
          <w:sz w:val="21"/>
          <w:szCs w:val="21"/>
        </w:rPr>
        <w:t xml:space="preserve">Due </w:t>
      </w:r>
      <w:proofErr w:type="spellStart"/>
      <w:r>
        <w:rPr>
          <w:b/>
          <w:bCs/>
          <w:color w:val="0D1B2A"/>
          <w:sz w:val="21"/>
          <w:szCs w:val="21"/>
        </w:rPr>
        <w:t>diligence</w:t>
      </w:r>
      <w:proofErr w:type="spellEnd"/>
      <w:r>
        <w:rPr>
          <w:b/>
          <w:bCs/>
          <w:color w:val="0D1B2A"/>
          <w:sz w:val="21"/>
          <w:szCs w:val="21"/>
        </w:rPr>
        <w:t xml:space="preserve">: </w:t>
      </w:r>
      <w:r>
        <w:rPr>
          <w:color w:val="111111"/>
          <w:sz w:val="21"/>
          <w:szCs w:val="21"/>
        </w:rPr>
        <w:t xml:space="preserve">Proceso de verificación exhaustiva de todos los supuestos sobre los que descansa una decisión de inversión o entrada a un mercado. En el proceso SIM de </w:t>
      </w:r>
      <w:proofErr w:type="spellStart"/>
      <w:r>
        <w:rPr>
          <w:color w:val="111111"/>
          <w:sz w:val="21"/>
          <w:szCs w:val="21"/>
        </w:rPr>
        <w:t>Cibest</w:t>
      </w:r>
      <w:proofErr w:type="spellEnd"/>
      <w:r>
        <w:rPr>
          <w:color w:val="111111"/>
          <w:sz w:val="21"/>
          <w:szCs w:val="21"/>
        </w:rPr>
        <w:t>, comprende tres tipos: regulatorio, de mercado y financiero.</w:t>
      </w:r>
    </w:p>
    <w:p w14:paraId="2E28BD1E" w14:textId="77777777" w:rsidR="0066201C" w:rsidRDefault="0066201C" w:rsidP="0066201C">
      <w:pPr>
        <w:spacing w:before="80" w:after="80" w:line="300" w:lineRule="auto"/>
        <w:jc w:val="both"/>
      </w:pPr>
      <w:r>
        <w:rPr>
          <w:b/>
          <w:bCs/>
          <w:color w:val="0D1B2A"/>
          <w:sz w:val="21"/>
          <w:szCs w:val="21"/>
        </w:rPr>
        <w:t xml:space="preserve">Embudo de decisión: </w:t>
      </w:r>
      <w:r>
        <w:rPr>
          <w:color w:val="111111"/>
          <w:sz w:val="21"/>
          <w:szCs w:val="21"/>
        </w:rPr>
        <w:t xml:space="preserve">Mecanismo de reducción progresiva del universo de mercados candidatos mediante filtros de complejidad creciente. En el proceso SIM de </w:t>
      </w:r>
      <w:proofErr w:type="spellStart"/>
      <w:r>
        <w:rPr>
          <w:color w:val="111111"/>
          <w:sz w:val="21"/>
          <w:szCs w:val="21"/>
        </w:rPr>
        <w:t>Cibest</w:t>
      </w:r>
      <w:proofErr w:type="spellEnd"/>
      <w:r>
        <w:rPr>
          <w:color w:val="111111"/>
          <w:sz w:val="21"/>
          <w:szCs w:val="21"/>
        </w:rPr>
        <w:t xml:space="preserve">, el universo de ~35-40 mercados se reduce hasta 1-3 candidatos para </w:t>
      </w:r>
      <w:proofErr w:type="spellStart"/>
      <w:r>
        <w:rPr>
          <w:color w:val="111111"/>
          <w:sz w:val="21"/>
          <w:szCs w:val="21"/>
        </w:rPr>
        <w:t>due</w:t>
      </w:r>
      <w:proofErr w:type="spellEnd"/>
      <w:r>
        <w:rPr>
          <w:color w:val="111111"/>
          <w:sz w:val="21"/>
          <w:szCs w:val="21"/>
        </w:rPr>
        <w:t xml:space="preserve"> </w:t>
      </w:r>
      <w:proofErr w:type="spellStart"/>
      <w:r>
        <w:rPr>
          <w:color w:val="111111"/>
          <w:sz w:val="21"/>
          <w:szCs w:val="21"/>
        </w:rPr>
        <w:t>diligence</w:t>
      </w:r>
      <w:proofErr w:type="spellEnd"/>
      <w:r>
        <w:rPr>
          <w:color w:val="111111"/>
          <w:sz w:val="21"/>
          <w:szCs w:val="21"/>
        </w:rPr>
        <w:t xml:space="preserve"> formal a través de ocho fases.</w:t>
      </w:r>
    </w:p>
    <w:p w14:paraId="6BEBEC75" w14:textId="77777777" w:rsidR="0066201C" w:rsidRDefault="0066201C" w:rsidP="0066201C">
      <w:pPr>
        <w:spacing w:before="80" w:after="80" w:line="300" w:lineRule="auto"/>
        <w:jc w:val="both"/>
      </w:pPr>
      <w:r>
        <w:rPr>
          <w:b/>
          <w:bCs/>
          <w:color w:val="0D1B2A"/>
          <w:sz w:val="21"/>
          <w:szCs w:val="21"/>
        </w:rPr>
        <w:t xml:space="preserve">GFDD — Global </w:t>
      </w:r>
      <w:proofErr w:type="spellStart"/>
      <w:r>
        <w:rPr>
          <w:b/>
          <w:bCs/>
          <w:color w:val="0D1B2A"/>
          <w:sz w:val="21"/>
          <w:szCs w:val="21"/>
        </w:rPr>
        <w:t>Financial</w:t>
      </w:r>
      <w:proofErr w:type="spellEnd"/>
      <w:r>
        <w:rPr>
          <w:b/>
          <w:bCs/>
          <w:color w:val="0D1B2A"/>
          <w:sz w:val="21"/>
          <w:szCs w:val="21"/>
        </w:rPr>
        <w:t xml:space="preserve"> </w:t>
      </w:r>
      <w:proofErr w:type="spellStart"/>
      <w:r>
        <w:rPr>
          <w:b/>
          <w:bCs/>
          <w:color w:val="0D1B2A"/>
          <w:sz w:val="21"/>
          <w:szCs w:val="21"/>
        </w:rPr>
        <w:t>Development</w:t>
      </w:r>
      <w:proofErr w:type="spellEnd"/>
      <w:r>
        <w:rPr>
          <w:b/>
          <w:bCs/>
          <w:color w:val="0D1B2A"/>
          <w:sz w:val="21"/>
          <w:szCs w:val="21"/>
        </w:rPr>
        <w:t xml:space="preserve"> </w:t>
      </w:r>
      <w:proofErr w:type="spellStart"/>
      <w:r>
        <w:rPr>
          <w:b/>
          <w:bCs/>
          <w:color w:val="0D1B2A"/>
          <w:sz w:val="21"/>
          <w:szCs w:val="21"/>
        </w:rPr>
        <w:t>Database</w:t>
      </w:r>
      <w:proofErr w:type="spellEnd"/>
      <w:r>
        <w:rPr>
          <w:b/>
          <w:bCs/>
          <w:color w:val="0D1B2A"/>
          <w:sz w:val="21"/>
          <w:szCs w:val="21"/>
        </w:rPr>
        <w:t xml:space="preserve">: </w:t>
      </w:r>
      <w:r>
        <w:rPr>
          <w:color w:val="111111"/>
          <w:sz w:val="21"/>
          <w:szCs w:val="21"/>
        </w:rPr>
        <w:t xml:space="preserve">Base de datos del Banco Mundial (accesible vía </w:t>
      </w:r>
      <w:proofErr w:type="spellStart"/>
      <w:r>
        <w:rPr>
          <w:color w:val="111111"/>
          <w:sz w:val="21"/>
          <w:szCs w:val="21"/>
        </w:rPr>
        <w:t>wbgapi</w:t>
      </w:r>
      <w:proofErr w:type="spellEnd"/>
      <w:r>
        <w:rPr>
          <w:color w:val="111111"/>
          <w:sz w:val="21"/>
          <w:szCs w:val="21"/>
        </w:rPr>
        <w:t xml:space="preserve"> </w:t>
      </w:r>
      <w:proofErr w:type="spellStart"/>
      <w:r>
        <w:rPr>
          <w:color w:val="111111"/>
          <w:sz w:val="21"/>
          <w:szCs w:val="21"/>
        </w:rPr>
        <w:t>db</w:t>
      </w:r>
      <w:proofErr w:type="spellEnd"/>
      <w:r>
        <w:rPr>
          <w:color w:val="111111"/>
          <w:sz w:val="21"/>
          <w:szCs w:val="21"/>
        </w:rPr>
        <w:t xml:space="preserve">=32) con indicadores de desarrollo del sistema financiero por país. Fuente de la Dimensión D2 (Financiera) del modelo RADAR </w:t>
      </w:r>
      <w:proofErr w:type="spellStart"/>
      <w:r>
        <w:rPr>
          <w:color w:val="111111"/>
          <w:sz w:val="21"/>
          <w:szCs w:val="21"/>
        </w:rPr>
        <w:t>Cibest</w:t>
      </w:r>
      <w:proofErr w:type="spellEnd"/>
      <w:r>
        <w:rPr>
          <w:color w:val="111111"/>
          <w:sz w:val="21"/>
          <w:szCs w:val="21"/>
        </w:rPr>
        <w:t>.</w:t>
      </w:r>
    </w:p>
    <w:p w14:paraId="54DB260F" w14:textId="77777777" w:rsidR="0066201C" w:rsidRDefault="0066201C" w:rsidP="0066201C">
      <w:pPr>
        <w:spacing w:before="80" w:after="80" w:line="300" w:lineRule="auto"/>
        <w:jc w:val="both"/>
      </w:pPr>
      <w:r>
        <w:rPr>
          <w:b/>
          <w:bCs/>
          <w:color w:val="0D1B2A"/>
          <w:sz w:val="21"/>
          <w:szCs w:val="21"/>
        </w:rPr>
        <w:t xml:space="preserve">Greenfield: </w:t>
      </w:r>
      <w:r>
        <w:rPr>
          <w:color w:val="111111"/>
          <w:sz w:val="21"/>
          <w:szCs w:val="21"/>
        </w:rPr>
        <w:t>Modo de entrada a un mercado extranjero que consiste en establecer una subsidiaria nueva desde cero, obteniendo la licencia del regulador local y construyendo la operación sin adquirir ninguna institución preexistente.</w:t>
      </w:r>
    </w:p>
    <w:p w14:paraId="764FFA78" w14:textId="77777777" w:rsidR="0066201C" w:rsidRDefault="0066201C" w:rsidP="0066201C">
      <w:pPr>
        <w:spacing w:before="80" w:after="80" w:line="300" w:lineRule="auto"/>
        <w:jc w:val="both"/>
      </w:pPr>
      <w:r>
        <w:rPr>
          <w:b/>
          <w:bCs/>
          <w:color w:val="0D1B2A"/>
          <w:sz w:val="21"/>
          <w:szCs w:val="21"/>
        </w:rPr>
        <w:t xml:space="preserve">HHI — Índice Herfindahl-Hirschman: </w:t>
      </w:r>
      <w:r>
        <w:rPr>
          <w:color w:val="111111"/>
          <w:sz w:val="21"/>
          <w:szCs w:val="21"/>
        </w:rPr>
        <w:t>Medida de concentración de mercado calculada como la suma de los cuadrados de las participaciones de mercado de todas las empresas del sector. Un HHI superior a 0.18 indica alta concentración; inferior a 0.10, baja concentración.</w:t>
      </w:r>
    </w:p>
    <w:p w14:paraId="7548B272" w14:textId="77777777" w:rsidR="0066201C" w:rsidRDefault="0066201C" w:rsidP="0066201C">
      <w:pPr>
        <w:spacing w:before="80" w:after="80" w:line="300" w:lineRule="auto"/>
        <w:jc w:val="both"/>
      </w:pPr>
      <w:r>
        <w:rPr>
          <w:b/>
          <w:bCs/>
          <w:color w:val="0D1B2A"/>
          <w:sz w:val="21"/>
          <w:szCs w:val="21"/>
        </w:rPr>
        <w:t xml:space="preserve">HNWI — High Net Worth Individual: </w:t>
      </w:r>
      <w:r>
        <w:rPr>
          <w:color w:val="111111"/>
          <w:sz w:val="21"/>
          <w:szCs w:val="21"/>
        </w:rPr>
        <w:t>Individuo con activos financieros líquidos superiores a un millón de dólares. Segmento objetivo de la línea de Wealth Management dentro de CIB.</w:t>
      </w:r>
    </w:p>
    <w:p w14:paraId="00F2AC24" w14:textId="77777777" w:rsidR="0066201C" w:rsidRDefault="0066201C" w:rsidP="0066201C">
      <w:pPr>
        <w:spacing w:before="80" w:after="80" w:line="300" w:lineRule="auto"/>
        <w:jc w:val="both"/>
      </w:pPr>
      <w:r>
        <w:rPr>
          <w:b/>
          <w:bCs/>
          <w:color w:val="0D1B2A"/>
          <w:sz w:val="21"/>
          <w:szCs w:val="21"/>
        </w:rPr>
        <w:t xml:space="preserve">Hofstede, dimensiones culturales: </w:t>
      </w:r>
      <w:r>
        <w:rPr>
          <w:color w:val="111111"/>
          <w:sz w:val="21"/>
          <w:szCs w:val="21"/>
        </w:rPr>
        <w:t xml:space="preserve">Marco desarrollado por Geert Hofstede que mide seis dimensiones de cultura nacional: Distancia al Poder (PDI), Individualismo (IDV), Masculinidad (MAS), Evasión de Incertidumbre (UAI), Orientación a Largo Plazo (LTO) e Indulgencia (IVR). En RADAR </w:t>
      </w:r>
      <w:proofErr w:type="spellStart"/>
      <w:r>
        <w:rPr>
          <w:color w:val="111111"/>
          <w:sz w:val="21"/>
          <w:szCs w:val="21"/>
        </w:rPr>
        <w:t>Cibest</w:t>
      </w:r>
      <w:proofErr w:type="spellEnd"/>
      <w:r>
        <w:rPr>
          <w:color w:val="111111"/>
          <w:sz w:val="21"/>
          <w:szCs w:val="21"/>
        </w:rPr>
        <w:t>, se incorporan como variables independientes en la Dimensión D5 con dirección neutral.</w:t>
      </w:r>
    </w:p>
    <w:p w14:paraId="78C283C4" w14:textId="77777777" w:rsidR="0066201C" w:rsidRDefault="0066201C" w:rsidP="0066201C">
      <w:pPr>
        <w:spacing w:before="80" w:after="80" w:line="300" w:lineRule="auto"/>
        <w:jc w:val="both"/>
      </w:pPr>
      <w:r>
        <w:rPr>
          <w:b/>
          <w:bCs/>
          <w:color w:val="0D1B2A"/>
          <w:sz w:val="21"/>
          <w:szCs w:val="21"/>
        </w:rPr>
        <w:t xml:space="preserve">IB — Intermediación Bancaria: </w:t>
      </w:r>
      <w:r>
        <w:rPr>
          <w:color w:val="111111"/>
          <w:sz w:val="21"/>
          <w:szCs w:val="21"/>
        </w:rPr>
        <w:t xml:space="preserve">Línea de negocio de Grupo </w:t>
      </w:r>
      <w:proofErr w:type="spellStart"/>
      <w:r>
        <w:rPr>
          <w:color w:val="111111"/>
          <w:sz w:val="21"/>
          <w:szCs w:val="21"/>
        </w:rPr>
        <w:t>Cibest</w:t>
      </w:r>
      <w:proofErr w:type="spellEnd"/>
      <w:r>
        <w:rPr>
          <w:color w:val="111111"/>
          <w:sz w:val="21"/>
          <w:szCs w:val="21"/>
        </w:rPr>
        <w:t xml:space="preserve"> dedicada a la captación de recursos del público (depósitos, </w:t>
      </w:r>
      <w:proofErr w:type="spellStart"/>
      <w:r>
        <w:rPr>
          <w:color w:val="111111"/>
          <w:sz w:val="21"/>
          <w:szCs w:val="21"/>
        </w:rPr>
        <w:t>CDTs</w:t>
      </w:r>
      <w:proofErr w:type="spellEnd"/>
      <w:r>
        <w:rPr>
          <w:color w:val="111111"/>
          <w:sz w:val="21"/>
          <w:szCs w:val="21"/>
        </w:rPr>
        <w:t>) y su colocación en productos de crédito (consumo, hipotecario, comercial, microcrédito).</w:t>
      </w:r>
    </w:p>
    <w:p w14:paraId="5945FA3A" w14:textId="77777777" w:rsidR="0066201C" w:rsidRDefault="0066201C" w:rsidP="0066201C">
      <w:pPr>
        <w:spacing w:before="80" w:after="80" w:line="300" w:lineRule="auto"/>
        <w:jc w:val="both"/>
      </w:pPr>
      <w:r>
        <w:rPr>
          <w:b/>
          <w:bCs/>
          <w:color w:val="0D1B2A"/>
          <w:sz w:val="21"/>
          <w:szCs w:val="21"/>
        </w:rPr>
        <w:t xml:space="preserve">IED — Inversión Extranjera Directa: </w:t>
      </w:r>
      <w:r>
        <w:rPr>
          <w:color w:val="111111"/>
          <w:sz w:val="21"/>
          <w:szCs w:val="21"/>
        </w:rPr>
        <w:t xml:space="preserve">Inversión realizada por una empresa de un país en activos productivos de otro país, con el objetivo de ejercer control o influencia significativa sobre la empresa receptora. Relevante para todos los modos de entrada de </w:t>
      </w:r>
      <w:proofErr w:type="spellStart"/>
      <w:r>
        <w:rPr>
          <w:color w:val="111111"/>
          <w:sz w:val="21"/>
          <w:szCs w:val="21"/>
        </w:rPr>
        <w:t>Cibest</w:t>
      </w:r>
      <w:proofErr w:type="spellEnd"/>
      <w:r>
        <w:rPr>
          <w:color w:val="111111"/>
          <w:sz w:val="21"/>
          <w:szCs w:val="21"/>
        </w:rPr>
        <w:t xml:space="preserve"> que implican presencia en el mercado destino.</w:t>
      </w:r>
    </w:p>
    <w:p w14:paraId="6C9D6A65" w14:textId="77777777" w:rsidR="0066201C" w:rsidRDefault="0066201C" w:rsidP="0066201C">
      <w:pPr>
        <w:spacing w:before="80" w:after="80" w:line="300" w:lineRule="auto"/>
        <w:jc w:val="both"/>
      </w:pPr>
      <w:r>
        <w:rPr>
          <w:b/>
          <w:bCs/>
          <w:color w:val="0D1B2A"/>
          <w:sz w:val="21"/>
          <w:szCs w:val="21"/>
        </w:rPr>
        <w:lastRenderedPageBreak/>
        <w:t xml:space="preserve">IPC — Índice de Proximidad con Colombia: </w:t>
      </w:r>
      <w:r>
        <w:rPr>
          <w:color w:val="111111"/>
          <w:sz w:val="21"/>
          <w:szCs w:val="21"/>
        </w:rPr>
        <w:t xml:space="preserve">Componente del score RADAR </w:t>
      </w:r>
      <w:proofErr w:type="spellStart"/>
      <w:r>
        <w:rPr>
          <w:color w:val="111111"/>
          <w:sz w:val="21"/>
          <w:szCs w:val="21"/>
        </w:rPr>
        <w:t>Cibest</w:t>
      </w:r>
      <w:proofErr w:type="spellEnd"/>
      <w:r>
        <w:rPr>
          <w:color w:val="111111"/>
          <w:sz w:val="21"/>
          <w:szCs w:val="21"/>
        </w:rPr>
        <w:t xml:space="preserve"> (Pilar 3) que mide la afinidad geográfica, lingüística, cultural y migratoria entre Colombia y cada mercado destino. Representa el 30% del score compuesto RADAR.</w:t>
      </w:r>
    </w:p>
    <w:p w14:paraId="6E079109" w14:textId="77777777" w:rsidR="0066201C" w:rsidRDefault="0066201C" w:rsidP="0066201C">
      <w:pPr>
        <w:spacing w:before="80" w:after="80" w:line="300" w:lineRule="auto"/>
        <w:jc w:val="both"/>
      </w:pPr>
      <w:r>
        <w:rPr>
          <w:b/>
          <w:bCs/>
          <w:color w:val="0D1B2A"/>
          <w:sz w:val="21"/>
          <w:szCs w:val="21"/>
        </w:rPr>
        <w:t xml:space="preserve">Kogut-Singh, índice: </w:t>
      </w:r>
      <w:r>
        <w:rPr>
          <w:color w:val="111111"/>
          <w:sz w:val="21"/>
          <w:szCs w:val="21"/>
        </w:rPr>
        <w:t xml:space="preserve">Índice de distancia cultural compuesto, construido a partir de las diferencias en las dimensiones de Hofstede entre dos países. No se utiliza en RADAR </w:t>
      </w:r>
      <w:proofErr w:type="spellStart"/>
      <w:r>
        <w:rPr>
          <w:color w:val="111111"/>
          <w:sz w:val="21"/>
          <w:szCs w:val="21"/>
        </w:rPr>
        <w:t>Cibest</w:t>
      </w:r>
      <w:proofErr w:type="spellEnd"/>
      <w:r>
        <w:rPr>
          <w:color w:val="111111"/>
          <w:sz w:val="21"/>
          <w:szCs w:val="21"/>
        </w:rPr>
        <w:t>: las dimensiones de Hofstede se incorporan como variables independientes para preservar su especificidad analítica.</w:t>
      </w:r>
    </w:p>
    <w:p w14:paraId="3353F949" w14:textId="77777777" w:rsidR="0066201C" w:rsidRDefault="0066201C" w:rsidP="0066201C">
      <w:pPr>
        <w:spacing w:before="80" w:after="80" w:line="300" w:lineRule="auto"/>
        <w:jc w:val="both"/>
      </w:pPr>
      <w:r>
        <w:rPr>
          <w:b/>
          <w:bCs/>
          <w:color w:val="0D1B2A"/>
          <w:sz w:val="21"/>
          <w:szCs w:val="21"/>
        </w:rPr>
        <w:t>MCDM — Multi-</w:t>
      </w:r>
      <w:proofErr w:type="spellStart"/>
      <w:r>
        <w:rPr>
          <w:b/>
          <w:bCs/>
          <w:color w:val="0D1B2A"/>
          <w:sz w:val="21"/>
          <w:szCs w:val="21"/>
        </w:rPr>
        <w:t>Criteria</w:t>
      </w:r>
      <w:proofErr w:type="spellEnd"/>
      <w:r>
        <w:rPr>
          <w:b/>
          <w:bCs/>
          <w:color w:val="0D1B2A"/>
          <w:sz w:val="21"/>
          <w:szCs w:val="21"/>
        </w:rPr>
        <w:t xml:space="preserve"> </w:t>
      </w:r>
      <w:proofErr w:type="spellStart"/>
      <w:r>
        <w:rPr>
          <w:b/>
          <w:bCs/>
          <w:color w:val="0D1B2A"/>
          <w:sz w:val="21"/>
          <w:szCs w:val="21"/>
        </w:rPr>
        <w:t>Decision</w:t>
      </w:r>
      <w:proofErr w:type="spellEnd"/>
      <w:r>
        <w:rPr>
          <w:b/>
          <w:bCs/>
          <w:color w:val="0D1B2A"/>
          <w:sz w:val="21"/>
          <w:szCs w:val="21"/>
        </w:rPr>
        <w:t xml:space="preserve"> </w:t>
      </w:r>
      <w:proofErr w:type="spellStart"/>
      <w:r>
        <w:rPr>
          <w:b/>
          <w:bCs/>
          <w:color w:val="0D1B2A"/>
          <w:sz w:val="21"/>
          <w:szCs w:val="21"/>
        </w:rPr>
        <w:t>Making</w:t>
      </w:r>
      <w:proofErr w:type="spellEnd"/>
      <w:r>
        <w:rPr>
          <w:b/>
          <w:bCs/>
          <w:color w:val="0D1B2A"/>
          <w:sz w:val="21"/>
          <w:szCs w:val="21"/>
        </w:rPr>
        <w:t xml:space="preserve">: </w:t>
      </w:r>
      <w:r>
        <w:rPr>
          <w:color w:val="111111"/>
          <w:sz w:val="21"/>
          <w:szCs w:val="21"/>
        </w:rPr>
        <w:t xml:space="preserve">Familia de métodos de análisis de decisiones que permiten evaluar alternativas (en este caso, mercados) en función de múltiples criterios simultáneos (en este caso, las 35 variables del modelo). RADAR </w:t>
      </w:r>
      <w:proofErr w:type="spellStart"/>
      <w:r>
        <w:rPr>
          <w:color w:val="111111"/>
          <w:sz w:val="21"/>
          <w:szCs w:val="21"/>
        </w:rPr>
        <w:t>Cibest</w:t>
      </w:r>
      <w:proofErr w:type="spellEnd"/>
      <w:r>
        <w:rPr>
          <w:color w:val="111111"/>
          <w:sz w:val="21"/>
          <w:szCs w:val="21"/>
        </w:rPr>
        <w:t xml:space="preserve"> es un sistema MCDM híbrido.</w:t>
      </w:r>
    </w:p>
    <w:p w14:paraId="378F3877" w14:textId="77777777" w:rsidR="0066201C" w:rsidRDefault="0066201C" w:rsidP="0066201C">
      <w:pPr>
        <w:spacing w:before="80" w:after="80" w:line="300" w:lineRule="auto"/>
        <w:jc w:val="both"/>
      </w:pPr>
      <w:r>
        <w:rPr>
          <w:b/>
          <w:bCs/>
          <w:color w:val="0D1B2A"/>
          <w:sz w:val="21"/>
          <w:szCs w:val="21"/>
        </w:rPr>
        <w:t xml:space="preserve">Motor de reglas: </w:t>
      </w:r>
      <w:r>
        <w:rPr>
          <w:color w:val="111111"/>
          <w:sz w:val="21"/>
          <w:szCs w:val="21"/>
        </w:rPr>
        <w:t xml:space="preserve">Componente de RADAR </w:t>
      </w:r>
      <w:proofErr w:type="spellStart"/>
      <w:r>
        <w:rPr>
          <w:color w:val="111111"/>
          <w:sz w:val="21"/>
          <w:szCs w:val="21"/>
        </w:rPr>
        <w:t>Cibest</w:t>
      </w:r>
      <w:proofErr w:type="spellEnd"/>
      <w:r>
        <w:rPr>
          <w:color w:val="111111"/>
          <w:sz w:val="21"/>
          <w:szCs w:val="21"/>
        </w:rPr>
        <w:t xml:space="preserve"> que asigna categorías estratégicas (Prioritario, Atractivo con Riesgo, Oportunidad Especializada, En Monitoreo, No Prioritario) a cada mercado mediante reglas deterministas configuradas por el equipo de Estrategia en función del objetivo de internacionalización.</w:t>
      </w:r>
    </w:p>
    <w:p w14:paraId="0C7609FF" w14:textId="77777777" w:rsidR="0066201C" w:rsidRDefault="0066201C" w:rsidP="0066201C">
      <w:pPr>
        <w:spacing w:before="80" w:after="80" w:line="300" w:lineRule="auto"/>
        <w:jc w:val="both"/>
      </w:pPr>
      <w:r>
        <w:rPr>
          <w:b/>
          <w:bCs/>
          <w:color w:val="0D1B2A"/>
          <w:sz w:val="21"/>
          <w:szCs w:val="21"/>
        </w:rPr>
        <w:t xml:space="preserve">Modelo Uppsala: </w:t>
      </w:r>
      <w:r>
        <w:rPr>
          <w:color w:val="111111"/>
          <w:sz w:val="21"/>
          <w:szCs w:val="21"/>
        </w:rPr>
        <w:t xml:space="preserve">Teoría de la internacionalización empresarial desarrollada por Johanson y </w:t>
      </w:r>
      <w:proofErr w:type="spellStart"/>
      <w:r>
        <w:rPr>
          <w:color w:val="111111"/>
          <w:sz w:val="21"/>
          <w:szCs w:val="21"/>
        </w:rPr>
        <w:t>Vahlne</w:t>
      </w:r>
      <w:proofErr w:type="spellEnd"/>
      <w:r>
        <w:rPr>
          <w:color w:val="111111"/>
          <w:sz w:val="21"/>
          <w:szCs w:val="21"/>
        </w:rPr>
        <w:t xml:space="preserve"> (1977) que propone que las empresas se internacionalizan de manera gradual, comenzando por mercados psíquicamente próximos y expandiéndose progresivamente a mercados más distantes a medida que acumulan experiencia y conocimiento.</w:t>
      </w:r>
    </w:p>
    <w:p w14:paraId="276A2A2B" w14:textId="77777777" w:rsidR="0066201C" w:rsidRDefault="0066201C" w:rsidP="0066201C">
      <w:pPr>
        <w:spacing w:before="80" w:after="80" w:line="300" w:lineRule="auto"/>
        <w:jc w:val="both"/>
      </w:pPr>
      <w:r>
        <w:rPr>
          <w:b/>
          <w:bCs/>
          <w:color w:val="0D1B2A"/>
          <w:sz w:val="21"/>
          <w:szCs w:val="21"/>
        </w:rPr>
        <w:t xml:space="preserve">OFAC — Office </w:t>
      </w:r>
      <w:proofErr w:type="spellStart"/>
      <w:r>
        <w:rPr>
          <w:b/>
          <w:bCs/>
          <w:color w:val="0D1B2A"/>
          <w:sz w:val="21"/>
          <w:szCs w:val="21"/>
        </w:rPr>
        <w:t>of</w:t>
      </w:r>
      <w:proofErr w:type="spellEnd"/>
      <w:r>
        <w:rPr>
          <w:b/>
          <w:bCs/>
          <w:color w:val="0D1B2A"/>
          <w:sz w:val="21"/>
          <w:szCs w:val="21"/>
        </w:rPr>
        <w:t xml:space="preserve"> Foreign </w:t>
      </w:r>
      <w:proofErr w:type="spellStart"/>
      <w:r>
        <w:rPr>
          <w:b/>
          <w:bCs/>
          <w:color w:val="0D1B2A"/>
          <w:sz w:val="21"/>
          <w:szCs w:val="21"/>
        </w:rPr>
        <w:t>Assets</w:t>
      </w:r>
      <w:proofErr w:type="spellEnd"/>
      <w:r>
        <w:rPr>
          <w:b/>
          <w:bCs/>
          <w:color w:val="0D1B2A"/>
          <w:sz w:val="21"/>
          <w:szCs w:val="21"/>
        </w:rPr>
        <w:t xml:space="preserve"> Control: </w:t>
      </w:r>
      <w:r>
        <w:rPr>
          <w:color w:val="111111"/>
          <w:sz w:val="21"/>
          <w:szCs w:val="21"/>
        </w:rPr>
        <w:t>Agencia del Departamento del Tesoro de Estados Unidos que administra y hace cumplir las sanciones económicas y comerciales. Lista de países, entidades e individuos bajo sanciones verificable en https://ofac.treasury.gov/. Fuente de verificación del criterio de exclusión absoluta de sanciones en la Fase 2 del proceso SIM.</w:t>
      </w:r>
    </w:p>
    <w:p w14:paraId="2EE085BE" w14:textId="77777777" w:rsidR="0066201C" w:rsidRDefault="0066201C" w:rsidP="0066201C">
      <w:pPr>
        <w:spacing w:before="80" w:after="80" w:line="300" w:lineRule="auto"/>
        <w:jc w:val="both"/>
      </w:pPr>
      <w:r>
        <w:rPr>
          <w:b/>
          <w:bCs/>
          <w:color w:val="0D1B2A"/>
          <w:sz w:val="21"/>
          <w:szCs w:val="21"/>
        </w:rPr>
        <w:t xml:space="preserve">OLI — Paradigma Ecléctico: </w:t>
      </w:r>
      <w:r>
        <w:rPr>
          <w:color w:val="111111"/>
          <w:sz w:val="21"/>
          <w:szCs w:val="21"/>
        </w:rPr>
        <w:t>Marco teórico de Dunning (1977, 1988) que explica la internacionalización mediante tres condiciones simultáneas: ventajas de Propiedad (</w:t>
      </w:r>
      <w:proofErr w:type="spellStart"/>
      <w:r>
        <w:rPr>
          <w:color w:val="111111"/>
          <w:sz w:val="21"/>
          <w:szCs w:val="21"/>
        </w:rPr>
        <w:t>Ownership</w:t>
      </w:r>
      <w:proofErr w:type="spellEnd"/>
      <w:r>
        <w:rPr>
          <w:color w:val="111111"/>
          <w:sz w:val="21"/>
          <w:szCs w:val="21"/>
        </w:rPr>
        <w:t>), ventajas de Localización (</w:t>
      </w:r>
      <w:proofErr w:type="spellStart"/>
      <w:r>
        <w:rPr>
          <w:color w:val="111111"/>
          <w:sz w:val="21"/>
          <w:szCs w:val="21"/>
        </w:rPr>
        <w:t>Location</w:t>
      </w:r>
      <w:proofErr w:type="spellEnd"/>
      <w:r>
        <w:rPr>
          <w:color w:val="111111"/>
          <w:sz w:val="21"/>
          <w:szCs w:val="21"/>
        </w:rPr>
        <w:t>) y ventajas de Internalización (</w:t>
      </w:r>
      <w:proofErr w:type="spellStart"/>
      <w:r>
        <w:rPr>
          <w:color w:val="111111"/>
          <w:sz w:val="21"/>
          <w:szCs w:val="21"/>
        </w:rPr>
        <w:t>Internalization</w:t>
      </w:r>
      <w:proofErr w:type="spellEnd"/>
      <w:r>
        <w:rPr>
          <w:color w:val="111111"/>
          <w:sz w:val="21"/>
          <w:szCs w:val="21"/>
        </w:rPr>
        <w:t>).</w:t>
      </w:r>
    </w:p>
    <w:p w14:paraId="7677A6DB" w14:textId="77777777" w:rsidR="0066201C" w:rsidRDefault="0066201C" w:rsidP="0066201C">
      <w:pPr>
        <w:spacing w:before="80" w:after="80" w:line="300" w:lineRule="auto"/>
        <w:jc w:val="both"/>
      </w:pPr>
      <w:r>
        <w:rPr>
          <w:b/>
          <w:bCs/>
          <w:color w:val="0D1B2A"/>
          <w:sz w:val="21"/>
          <w:szCs w:val="21"/>
        </w:rPr>
        <w:t xml:space="preserve">Prima de riesgo país (Damodaran): </w:t>
      </w:r>
      <w:r>
        <w:rPr>
          <w:color w:val="111111"/>
          <w:sz w:val="21"/>
          <w:szCs w:val="21"/>
        </w:rPr>
        <w:t xml:space="preserve">Costo adicional de capital exigido por los mercados financieros internacionales para invertir en un país específico, relativo a la tasa libre de riesgo. Calculada y publicada por el profesor Aswath Damodaran (NYU Stern). En RADAR </w:t>
      </w:r>
      <w:proofErr w:type="spellStart"/>
      <w:r>
        <w:rPr>
          <w:color w:val="111111"/>
          <w:sz w:val="21"/>
          <w:szCs w:val="21"/>
        </w:rPr>
        <w:t>Cibest</w:t>
      </w:r>
      <w:proofErr w:type="spellEnd"/>
      <w:r>
        <w:rPr>
          <w:color w:val="111111"/>
          <w:sz w:val="21"/>
          <w:szCs w:val="21"/>
        </w:rPr>
        <w:t>, es la única variable con codificación A para las cinco líneas de negocio simultáneamente.</w:t>
      </w:r>
    </w:p>
    <w:p w14:paraId="674921C8" w14:textId="77777777" w:rsidR="0066201C" w:rsidRDefault="0066201C" w:rsidP="0066201C">
      <w:pPr>
        <w:spacing w:before="80" w:after="80" w:line="300" w:lineRule="auto"/>
        <w:jc w:val="both"/>
      </w:pPr>
      <w:r>
        <w:rPr>
          <w:b/>
          <w:bCs/>
          <w:color w:val="0D1B2A"/>
          <w:sz w:val="21"/>
          <w:szCs w:val="21"/>
        </w:rPr>
        <w:t xml:space="preserve">PT — Pagos y Flujos: </w:t>
      </w:r>
      <w:r>
        <w:rPr>
          <w:color w:val="111111"/>
          <w:sz w:val="21"/>
          <w:szCs w:val="21"/>
        </w:rPr>
        <w:t xml:space="preserve">Línea de negocio de Grupo </w:t>
      </w:r>
      <w:proofErr w:type="spellStart"/>
      <w:r>
        <w:rPr>
          <w:color w:val="111111"/>
          <w:sz w:val="21"/>
          <w:szCs w:val="21"/>
        </w:rPr>
        <w:t>Cibest</w:t>
      </w:r>
      <w:proofErr w:type="spellEnd"/>
      <w:r>
        <w:rPr>
          <w:color w:val="111111"/>
          <w:sz w:val="21"/>
          <w:szCs w:val="21"/>
        </w:rPr>
        <w:t xml:space="preserve"> dedicada al procesamiento de tarjetas, recaudos, transferencias, giros y remesas internacionales. Modelo de negocio de escala y volumen transaccional.</w:t>
      </w:r>
    </w:p>
    <w:p w14:paraId="7BA1EA2B" w14:textId="77777777" w:rsidR="0066201C" w:rsidRDefault="0066201C" w:rsidP="0066201C">
      <w:pPr>
        <w:spacing w:before="80" w:after="80" w:line="300" w:lineRule="auto"/>
        <w:jc w:val="both"/>
      </w:pPr>
      <w:r>
        <w:rPr>
          <w:b/>
          <w:bCs/>
          <w:color w:val="0D1B2A"/>
          <w:sz w:val="21"/>
          <w:szCs w:val="21"/>
        </w:rPr>
        <w:t xml:space="preserve">RACI: </w:t>
      </w:r>
      <w:r>
        <w:rPr>
          <w:color w:val="111111"/>
          <w:sz w:val="21"/>
          <w:szCs w:val="21"/>
        </w:rPr>
        <w:t>Matriz de asignación de responsabilidades: Responsable (ejecuta), Aprobador (aprueba y rinde cuentas), Consultado (debe ser consultado), Informado (recibe información sobre el resultado).</w:t>
      </w:r>
    </w:p>
    <w:p w14:paraId="0DA15EC6" w14:textId="77777777" w:rsidR="0066201C" w:rsidRDefault="0066201C" w:rsidP="0066201C">
      <w:pPr>
        <w:spacing w:before="80" w:after="80" w:line="300" w:lineRule="auto"/>
        <w:jc w:val="both"/>
      </w:pPr>
      <w:r>
        <w:rPr>
          <w:b/>
          <w:bCs/>
          <w:color w:val="0D1B2A"/>
          <w:sz w:val="21"/>
          <w:szCs w:val="21"/>
        </w:rPr>
        <w:t xml:space="preserve">Sandbox regulatorio: </w:t>
      </w:r>
      <w:r>
        <w:rPr>
          <w:color w:val="111111"/>
          <w:sz w:val="21"/>
          <w:szCs w:val="21"/>
        </w:rPr>
        <w:t xml:space="preserve">Entorno regulatorio controlado que permite a las empresas probar productos y modelos de negocio financieros innovadores bajo supervisión del regulador, con exenciones temporales de algunos requisitos normativos. Relevante para las líneas de Bancos Digitales y Activos Digitales de </w:t>
      </w:r>
      <w:proofErr w:type="spellStart"/>
      <w:r>
        <w:rPr>
          <w:color w:val="111111"/>
          <w:sz w:val="21"/>
          <w:szCs w:val="21"/>
        </w:rPr>
        <w:t>Cibest</w:t>
      </w:r>
      <w:proofErr w:type="spellEnd"/>
      <w:r>
        <w:rPr>
          <w:color w:val="111111"/>
          <w:sz w:val="21"/>
          <w:szCs w:val="21"/>
        </w:rPr>
        <w:t>.</w:t>
      </w:r>
    </w:p>
    <w:p w14:paraId="02BD7BD2" w14:textId="11382C17" w:rsidR="0066201C" w:rsidRDefault="0066201C" w:rsidP="0066201C">
      <w:pPr>
        <w:spacing w:before="80" w:after="80" w:line="300" w:lineRule="auto"/>
        <w:jc w:val="both"/>
      </w:pPr>
      <w:r>
        <w:rPr>
          <w:b/>
          <w:bCs/>
          <w:color w:val="0D1B2A"/>
          <w:sz w:val="21"/>
          <w:szCs w:val="21"/>
        </w:rPr>
        <w:t xml:space="preserve">Score RADAR: </w:t>
      </w:r>
      <w:r>
        <w:rPr>
          <w:color w:val="111111"/>
          <w:sz w:val="21"/>
          <w:szCs w:val="21"/>
        </w:rPr>
        <w:t xml:space="preserve">Medida compuesta de atractivo de un mercado para Grupo </w:t>
      </w:r>
      <w:proofErr w:type="spellStart"/>
      <w:r>
        <w:rPr>
          <w:color w:val="111111"/>
          <w:sz w:val="21"/>
          <w:szCs w:val="21"/>
        </w:rPr>
        <w:t>Cibest</w:t>
      </w:r>
      <w:proofErr w:type="spellEnd"/>
      <w:r>
        <w:rPr>
          <w:color w:val="111111"/>
          <w:sz w:val="21"/>
          <w:szCs w:val="21"/>
        </w:rPr>
        <w:t>, calculada como: RADAR(</w:t>
      </w:r>
      <w:proofErr w:type="spellStart"/>
      <w:proofErr w:type="gramStart"/>
      <w:r>
        <w:rPr>
          <w:color w:val="111111"/>
          <w:sz w:val="21"/>
          <w:szCs w:val="21"/>
        </w:rPr>
        <w:t>j,l</w:t>
      </w:r>
      <w:proofErr w:type="spellEnd"/>
      <w:proofErr w:type="gramEnd"/>
      <w:r>
        <w:rPr>
          <w:color w:val="111111"/>
          <w:sz w:val="21"/>
          <w:szCs w:val="21"/>
        </w:rPr>
        <w:t>) = 0.</w:t>
      </w:r>
      <w:r w:rsidR="00775957">
        <w:rPr>
          <w:color w:val="111111"/>
          <w:sz w:val="21"/>
          <w:szCs w:val="21"/>
        </w:rPr>
        <w:t>6</w:t>
      </w:r>
      <w:r>
        <w:rPr>
          <w:color w:val="111111"/>
          <w:sz w:val="21"/>
          <w:szCs w:val="21"/>
        </w:rPr>
        <w:t>·CC_TOPSIS + 0.3·IPC + 0.1·Tendencia. Se expresa en escala de 0 a 1 y se calcula para cada combinación de mercado (j) y línea de negocio (l).</w:t>
      </w:r>
    </w:p>
    <w:p w14:paraId="3A43C902" w14:textId="09DDBD5E" w:rsidR="0066201C" w:rsidRDefault="0066201C" w:rsidP="0066201C">
      <w:pPr>
        <w:spacing w:before="80" w:after="80" w:line="300" w:lineRule="auto"/>
        <w:jc w:val="both"/>
      </w:pPr>
      <w:r>
        <w:rPr>
          <w:b/>
          <w:bCs/>
          <w:color w:val="0D1B2A"/>
          <w:sz w:val="21"/>
          <w:szCs w:val="21"/>
        </w:rPr>
        <w:lastRenderedPageBreak/>
        <w:t xml:space="preserve">SIM — Selección Internacional de Mercados: </w:t>
      </w:r>
      <w:r>
        <w:rPr>
          <w:color w:val="111111"/>
          <w:sz w:val="21"/>
          <w:szCs w:val="21"/>
        </w:rPr>
        <w:t xml:space="preserve">Proceso metodológico de ocho fases descrito en este </w:t>
      </w:r>
      <w:r w:rsidR="00AA01B4">
        <w:rPr>
          <w:color w:val="111111"/>
          <w:sz w:val="21"/>
          <w:szCs w:val="21"/>
        </w:rPr>
        <w:t>documento</w:t>
      </w:r>
      <w:r>
        <w:rPr>
          <w:color w:val="111111"/>
          <w:sz w:val="21"/>
          <w:szCs w:val="21"/>
        </w:rPr>
        <w:t xml:space="preserve">, cuyo propósito es identificar los mercados más atractivos para la internacionalización de Grupo </w:t>
      </w:r>
      <w:proofErr w:type="spellStart"/>
      <w:r>
        <w:rPr>
          <w:color w:val="111111"/>
          <w:sz w:val="21"/>
          <w:szCs w:val="21"/>
        </w:rPr>
        <w:t>Cibest</w:t>
      </w:r>
      <w:proofErr w:type="spellEnd"/>
      <w:r>
        <w:rPr>
          <w:color w:val="111111"/>
          <w:sz w:val="21"/>
          <w:szCs w:val="21"/>
        </w:rPr>
        <w:t>, evaluar las capacidades internas para entrar a esos mercados y definir el modo de entrada más apropiado.</w:t>
      </w:r>
    </w:p>
    <w:p w14:paraId="55832187" w14:textId="77777777" w:rsidR="0066201C" w:rsidRDefault="0066201C" w:rsidP="0066201C">
      <w:pPr>
        <w:spacing w:before="80" w:after="80" w:line="300" w:lineRule="auto"/>
        <w:jc w:val="both"/>
      </w:pPr>
      <w:r>
        <w:rPr>
          <w:b/>
          <w:bCs/>
          <w:color w:val="0D1B2A"/>
          <w:sz w:val="21"/>
          <w:szCs w:val="21"/>
        </w:rPr>
        <w:t xml:space="preserve">TOPSIS — </w:t>
      </w:r>
      <w:proofErr w:type="spellStart"/>
      <w:r>
        <w:rPr>
          <w:b/>
          <w:bCs/>
          <w:color w:val="0D1B2A"/>
          <w:sz w:val="21"/>
          <w:szCs w:val="21"/>
        </w:rPr>
        <w:t>Technique</w:t>
      </w:r>
      <w:proofErr w:type="spellEnd"/>
      <w:r>
        <w:rPr>
          <w:b/>
          <w:bCs/>
          <w:color w:val="0D1B2A"/>
          <w:sz w:val="21"/>
          <w:szCs w:val="21"/>
        </w:rPr>
        <w:t xml:space="preserve"> </w:t>
      </w:r>
      <w:proofErr w:type="spellStart"/>
      <w:r>
        <w:rPr>
          <w:b/>
          <w:bCs/>
          <w:color w:val="0D1B2A"/>
          <w:sz w:val="21"/>
          <w:szCs w:val="21"/>
        </w:rPr>
        <w:t>for</w:t>
      </w:r>
      <w:proofErr w:type="spellEnd"/>
      <w:r>
        <w:rPr>
          <w:b/>
          <w:bCs/>
          <w:color w:val="0D1B2A"/>
          <w:sz w:val="21"/>
          <w:szCs w:val="21"/>
        </w:rPr>
        <w:t xml:space="preserve"> </w:t>
      </w:r>
      <w:proofErr w:type="spellStart"/>
      <w:r>
        <w:rPr>
          <w:b/>
          <w:bCs/>
          <w:color w:val="0D1B2A"/>
          <w:sz w:val="21"/>
          <w:szCs w:val="21"/>
        </w:rPr>
        <w:t>Order</w:t>
      </w:r>
      <w:proofErr w:type="spellEnd"/>
      <w:r>
        <w:rPr>
          <w:b/>
          <w:bCs/>
          <w:color w:val="0D1B2A"/>
          <w:sz w:val="21"/>
          <w:szCs w:val="21"/>
        </w:rPr>
        <w:t xml:space="preserve"> </w:t>
      </w:r>
      <w:proofErr w:type="spellStart"/>
      <w:r>
        <w:rPr>
          <w:b/>
          <w:bCs/>
          <w:color w:val="0D1B2A"/>
          <w:sz w:val="21"/>
          <w:szCs w:val="21"/>
        </w:rPr>
        <w:t>Preference</w:t>
      </w:r>
      <w:proofErr w:type="spellEnd"/>
      <w:r>
        <w:rPr>
          <w:b/>
          <w:bCs/>
          <w:color w:val="0D1B2A"/>
          <w:sz w:val="21"/>
          <w:szCs w:val="21"/>
        </w:rPr>
        <w:t xml:space="preserve"> </w:t>
      </w:r>
      <w:proofErr w:type="spellStart"/>
      <w:r>
        <w:rPr>
          <w:b/>
          <w:bCs/>
          <w:color w:val="0D1B2A"/>
          <w:sz w:val="21"/>
          <w:szCs w:val="21"/>
        </w:rPr>
        <w:t>by</w:t>
      </w:r>
      <w:proofErr w:type="spellEnd"/>
      <w:r>
        <w:rPr>
          <w:b/>
          <w:bCs/>
          <w:color w:val="0D1B2A"/>
          <w:sz w:val="21"/>
          <w:szCs w:val="21"/>
        </w:rPr>
        <w:t xml:space="preserve"> </w:t>
      </w:r>
      <w:proofErr w:type="spellStart"/>
      <w:r>
        <w:rPr>
          <w:b/>
          <w:bCs/>
          <w:color w:val="0D1B2A"/>
          <w:sz w:val="21"/>
          <w:szCs w:val="21"/>
        </w:rPr>
        <w:t>Similarity</w:t>
      </w:r>
      <w:proofErr w:type="spellEnd"/>
      <w:r>
        <w:rPr>
          <w:b/>
          <w:bCs/>
          <w:color w:val="0D1B2A"/>
          <w:sz w:val="21"/>
          <w:szCs w:val="21"/>
        </w:rPr>
        <w:t xml:space="preserve"> </w:t>
      </w:r>
      <w:proofErr w:type="spellStart"/>
      <w:r>
        <w:rPr>
          <w:b/>
          <w:bCs/>
          <w:color w:val="0D1B2A"/>
          <w:sz w:val="21"/>
          <w:szCs w:val="21"/>
        </w:rPr>
        <w:t>to</w:t>
      </w:r>
      <w:proofErr w:type="spellEnd"/>
      <w:r>
        <w:rPr>
          <w:b/>
          <w:bCs/>
          <w:color w:val="0D1B2A"/>
          <w:sz w:val="21"/>
          <w:szCs w:val="21"/>
        </w:rPr>
        <w:t xml:space="preserve"> Ideal </w:t>
      </w:r>
      <w:proofErr w:type="spellStart"/>
      <w:r>
        <w:rPr>
          <w:b/>
          <w:bCs/>
          <w:color w:val="0D1B2A"/>
          <w:sz w:val="21"/>
          <w:szCs w:val="21"/>
        </w:rPr>
        <w:t>Solution</w:t>
      </w:r>
      <w:proofErr w:type="spellEnd"/>
      <w:r>
        <w:rPr>
          <w:b/>
          <w:bCs/>
          <w:color w:val="0D1B2A"/>
          <w:sz w:val="21"/>
          <w:szCs w:val="21"/>
        </w:rPr>
        <w:t xml:space="preserve">: </w:t>
      </w:r>
      <w:r>
        <w:rPr>
          <w:color w:val="111111"/>
          <w:sz w:val="21"/>
          <w:szCs w:val="21"/>
        </w:rPr>
        <w:t xml:space="preserve">Método de ranking </w:t>
      </w:r>
      <w:proofErr w:type="spellStart"/>
      <w:r>
        <w:rPr>
          <w:color w:val="111111"/>
          <w:sz w:val="21"/>
          <w:szCs w:val="21"/>
        </w:rPr>
        <w:t>multicriteria</w:t>
      </w:r>
      <w:proofErr w:type="spellEnd"/>
      <w:r>
        <w:rPr>
          <w:color w:val="111111"/>
          <w:sz w:val="21"/>
          <w:szCs w:val="21"/>
        </w:rPr>
        <w:t xml:space="preserve"> desarrollado por Hwang y Yoon (1981). Evalúa cada alternativa en función de su distancia al escenario ideal (mejor valor posible en todas las variables) y su distancia al escenario </w:t>
      </w:r>
      <w:proofErr w:type="spellStart"/>
      <w:r>
        <w:rPr>
          <w:color w:val="111111"/>
          <w:sz w:val="21"/>
          <w:szCs w:val="21"/>
        </w:rPr>
        <w:t>anti-ideal</w:t>
      </w:r>
      <w:proofErr w:type="spellEnd"/>
      <w:r>
        <w:rPr>
          <w:color w:val="111111"/>
          <w:sz w:val="21"/>
          <w:szCs w:val="21"/>
        </w:rPr>
        <w:t xml:space="preserve"> (peor valor posible). Es el método de ranking del Pilar 2 de RADAR </w:t>
      </w:r>
      <w:proofErr w:type="spellStart"/>
      <w:r>
        <w:rPr>
          <w:color w:val="111111"/>
          <w:sz w:val="21"/>
          <w:szCs w:val="21"/>
        </w:rPr>
        <w:t>Cibest</w:t>
      </w:r>
      <w:proofErr w:type="spellEnd"/>
      <w:r>
        <w:rPr>
          <w:color w:val="111111"/>
          <w:sz w:val="21"/>
          <w:szCs w:val="21"/>
        </w:rPr>
        <w:t>.</w:t>
      </w:r>
    </w:p>
    <w:p w14:paraId="22AA13AF" w14:textId="77777777" w:rsidR="0066201C" w:rsidRDefault="0066201C" w:rsidP="0066201C">
      <w:pPr>
        <w:spacing w:before="80" w:after="80" w:line="300" w:lineRule="auto"/>
        <w:jc w:val="both"/>
      </w:pPr>
      <w:r>
        <w:rPr>
          <w:b/>
          <w:bCs/>
          <w:color w:val="0D1B2A"/>
          <w:sz w:val="21"/>
          <w:szCs w:val="21"/>
        </w:rPr>
        <w:t xml:space="preserve">VIKOR — </w:t>
      </w:r>
      <w:proofErr w:type="spellStart"/>
      <w:r>
        <w:rPr>
          <w:b/>
          <w:bCs/>
          <w:color w:val="0D1B2A"/>
          <w:sz w:val="21"/>
          <w:szCs w:val="21"/>
        </w:rPr>
        <w:t>VIšekriterijumsko</w:t>
      </w:r>
      <w:proofErr w:type="spellEnd"/>
      <w:r>
        <w:rPr>
          <w:b/>
          <w:bCs/>
          <w:color w:val="0D1B2A"/>
          <w:sz w:val="21"/>
          <w:szCs w:val="21"/>
        </w:rPr>
        <w:t xml:space="preserve"> </w:t>
      </w:r>
      <w:proofErr w:type="spellStart"/>
      <w:r>
        <w:rPr>
          <w:b/>
          <w:bCs/>
          <w:color w:val="0D1B2A"/>
          <w:sz w:val="21"/>
          <w:szCs w:val="21"/>
        </w:rPr>
        <w:t>KOmpromisno</w:t>
      </w:r>
      <w:proofErr w:type="spellEnd"/>
      <w:r>
        <w:rPr>
          <w:b/>
          <w:bCs/>
          <w:color w:val="0D1B2A"/>
          <w:sz w:val="21"/>
          <w:szCs w:val="21"/>
        </w:rPr>
        <w:t xml:space="preserve"> </w:t>
      </w:r>
      <w:proofErr w:type="spellStart"/>
      <w:r>
        <w:rPr>
          <w:b/>
          <w:bCs/>
          <w:color w:val="0D1B2A"/>
          <w:sz w:val="21"/>
          <w:szCs w:val="21"/>
        </w:rPr>
        <w:t>Rangiranje</w:t>
      </w:r>
      <w:proofErr w:type="spellEnd"/>
      <w:r>
        <w:rPr>
          <w:b/>
          <w:bCs/>
          <w:color w:val="0D1B2A"/>
          <w:sz w:val="21"/>
          <w:szCs w:val="21"/>
        </w:rPr>
        <w:t xml:space="preserve">: </w:t>
      </w:r>
      <w:r>
        <w:rPr>
          <w:color w:val="111111"/>
          <w:sz w:val="21"/>
          <w:szCs w:val="21"/>
        </w:rPr>
        <w:t xml:space="preserve">Método de ranking </w:t>
      </w:r>
      <w:proofErr w:type="spellStart"/>
      <w:r>
        <w:rPr>
          <w:color w:val="111111"/>
          <w:sz w:val="21"/>
          <w:szCs w:val="21"/>
        </w:rPr>
        <w:t>multicriteria</w:t>
      </w:r>
      <w:proofErr w:type="spellEnd"/>
      <w:r>
        <w:rPr>
          <w:color w:val="111111"/>
          <w:sz w:val="21"/>
          <w:szCs w:val="21"/>
        </w:rPr>
        <w:t xml:space="preserve"> desarrollado por Opricovic y Tzeng (2004). Produce un ranking de compromiso que maximiza la utilidad del grupo y minimiza el arrepentimiento individual. En RADAR </w:t>
      </w:r>
      <w:proofErr w:type="spellStart"/>
      <w:r>
        <w:rPr>
          <w:color w:val="111111"/>
          <w:sz w:val="21"/>
          <w:szCs w:val="21"/>
        </w:rPr>
        <w:t>Cibest</w:t>
      </w:r>
      <w:proofErr w:type="spellEnd"/>
      <w:r>
        <w:rPr>
          <w:color w:val="111111"/>
          <w:sz w:val="21"/>
          <w:szCs w:val="21"/>
        </w:rPr>
        <w:t>, se utiliza como validación cruzada del ranking producido por TOPSIS.</w:t>
      </w:r>
    </w:p>
    <w:p w14:paraId="71C1D9AB" w14:textId="77777777" w:rsidR="0066201C" w:rsidRDefault="0066201C" w:rsidP="0066201C">
      <w:pPr>
        <w:spacing w:before="80" w:after="80" w:line="300" w:lineRule="auto"/>
        <w:jc w:val="both"/>
      </w:pPr>
      <w:r>
        <w:rPr>
          <w:b/>
          <w:bCs/>
          <w:color w:val="0D1B2A"/>
          <w:sz w:val="21"/>
          <w:szCs w:val="21"/>
        </w:rPr>
        <w:t xml:space="preserve">VIKOR como validación cruzada: </w:t>
      </w:r>
      <w:r>
        <w:rPr>
          <w:color w:val="111111"/>
          <w:sz w:val="21"/>
          <w:szCs w:val="21"/>
        </w:rPr>
        <w:t xml:space="preserve">En RADAR </w:t>
      </w:r>
      <w:proofErr w:type="spellStart"/>
      <w:r>
        <w:rPr>
          <w:color w:val="111111"/>
          <w:sz w:val="21"/>
          <w:szCs w:val="21"/>
        </w:rPr>
        <w:t>Cibest</w:t>
      </w:r>
      <w:proofErr w:type="spellEnd"/>
      <w:r>
        <w:rPr>
          <w:color w:val="111111"/>
          <w:sz w:val="21"/>
          <w:szCs w:val="21"/>
        </w:rPr>
        <w:t xml:space="preserve">, VIKOR no produce el ranking </w:t>
      </w:r>
      <w:proofErr w:type="gramStart"/>
      <w:r>
        <w:rPr>
          <w:color w:val="111111"/>
          <w:sz w:val="21"/>
          <w:szCs w:val="21"/>
        </w:rPr>
        <w:t>principal</w:t>
      </w:r>
      <w:proofErr w:type="gramEnd"/>
      <w:r>
        <w:rPr>
          <w:color w:val="111111"/>
          <w:sz w:val="21"/>
          <w:szCs w:val="21"/>
        </w:rPr>
        <w:t xml:space="preserve"> sino que lo contrasta con el ranking de TOPSIS. Una alta correlación de Spearman entre los dos rankings refuerza la robustez del resultado; una baja correlación señala que el ranking es sensible al método de agregación y merece análisis adicional.</w:t>
      </w:r>
    </w:p>
    <w:p w14:paraId="34C85EB2" w14:textId="77777777" w:rsidR="0066201C" w:rsidRDefault="0066201C" w:rsidP="0066201C">
      <w:pPr>
        <w:spacing w:before="80" w:after="80" w:line="300" w:lineRule="auto"/>
        <w:jc w:val="both"/>
      </w:pPr>
      <w:r>
        <w:rPr>
          <w:b/>
          <w:bCs/>
          <w:color w:val="0D1B2A"/>
          <w:sz w:val="21"/>
          <w:szCs w:val="21"/>
        </w:rPr>
        <w:t xml:space="preserve">WGI — </w:t>
      </w:r>
      <w:proofErr w:type="spellStart"/>
      <w:r>
        <w:rPr>
          <w:b/>
          <w:bCs/>
          <w:color w:val="0D1B2A"/>
          <w:sz w:val="21"/>
          <w:szCs w:val="21"/>
        </w:rPr>
        <w:t>Worldwide</w:t>
      </w:r>
      <w:proofErr w:type="spellEnd"/>
      <w:r>
        <w:rPr>
          <w:b/>
          <w:bCs/>
          <w:color w:val="0D1B2A"/>
          <w:sz w:val="21"/>
          <w:szCs w:val="21"/>
        </w:rPr>
        <w:t xml:space="preserve"> </w:t>
      </w:r>
      <w:proofErr w:type="spellStart"/>
      <w:r>
        <w:rPr>
          <w:b/>
          <w:bCs/>
          <w:color w:val="0D1B2A"/>
          <w:sz w:val="21"/>
          <w:szCs w:val="21"/>
        </w:rPr>
        <w:t>Governance</w:t>
      </w:r>
      <w:proofErr w:type="spellEnd"/>
      <w:r>
        <w:rPr>
          <w:b/>
          <w:bCs/>
          <w:color w:val="0D1B2A"/>
          <w:sz w:val="21"/>
          <w:szCs w:val="21"/>
        </w:rPr>
        <w:t xml:space="preserve"> </w:t>
      </w:r>
      <w:proofErr w:type="spellStart"/>
      <w:r>
        <w:rPr>
          <w:b/>
          <w:bCs/>
          <w:color w:val="0D1B2A"/>
          <w:sz w:val="21"/>
          <w:szCs w:val="21"/>
        </w:rPr>
        <w:t>Indicators</w:t>
      </w:r>
      <w:proofErr w:type="spellEnd"/>
      <w:r>
        <w:rPr>
          <w:b/>
          <w:bCs/>
          <w:color w:val="0D1B2A"/>
          <w:sz w:val="21"/>
          <w:szCs w:val="21"/>
        </w:rPr>
        <w:t xml:space="preserve">: </w:t>
      </w:r>
      <w:r>
        <w:rPr>
          <w:color w:val="111111"/>
          <w:sz w:val="21"/>
          <w:szCs w:val="21"/>
        </w:rPr>
        <w:t xml:space="preserve">Conjunto de seis indicadores de gobernanza producidos por el Banco Mundial (accesibles vía </w:t>
      </w:r>
      <w:proofErr w:type="spellStart"/>
      <w:r>
        <w:rPr>
          <w:color w:val="111111"/>
          <w:sz w:val="21"/>
          <w:szCs w:val="21"/>
        </w:rPr>
        <w:t>wbgapi</w:t>
      </w:r>
      <w:proofErr w:type="spellEnd"/>
      <w:r>
        <w:rPr>
          <w:color w:val="111111"/>
          <w:sz w:val="21"/>
          <w:szCs w:val="21"/>
        </w:rPr>
        <w:t xml:space="preserve"> </w:t>
      </w:r>
      <w:proofErr w:type="spellStart"/>
      <w:r>
        <w:rPr>
          <w:color w:val="111111"/>
          <w:sz w:val="21"/>
          <w:szCs w:val="21"/>
        </w:rPr>
        <w:t>db</w:t>
      </w:r>
      <w:proofErr w:type="spellEnd"/>
      <w:r>
        <w:rPr>
          <w:color w:val="111111"/>
          <w:sz w:val="21"/>
          <w:szCs w:val="21"/>
        </w:rPr>
        <w:t xml:space="preserve">=3): Voz y Rendición de Cuentas, Estabilidad Política, Efectividad del Gobierno, Calidad Regulatoria, Estado de Derecho y Control de la Corrupción. Constituyen la base de la Dimensión D3 (Institucional) de RADAR </w:t>
      </w:r>
      <w:proofErr w:type="spellStart"/>
      <w:r>
        <w:rPr>
          <w:color w:val="111111"/>
          <w:sz w:val="21"/>
          <w:szCs w:val="21"/>
        </w:rPr>
        <w:t>Cibest</w:t>
      </w:r>
      <w:proofErr w:type="spellEnd"/>
      <w:r>
        <w:rPr>
          <w:color w:val="111111"/>
          <w:sz w:val="21"/>
          <w:szCs w:val="21"/>
        </w:rPr>
        <w:t>.</w:t>
      </w:r>
    </w:p>
    <w:p w14:paraId="05E5A9F6" w14:textId="77777777" w:rsidR="0066201C" w:rsidRDefault="0066201C" w:rsidP="0066201C">
      <w:pPr>
        <w:spacing w:before="80" w:after="80" w:line="300" w:lineRule="auto"/>
        <w:jc w:val="both"/>
      </w:pPr>
      <w:proofErr w:type="spellStart"/>
      <w:r>
        <w:rPr>
          <w:b/>
          <w:bCs/>
          <w:color w:val="0D1B2A"/>
          <w:sz w:val="21"/>
          <w:szCs w:val="21"/>
        </w:rPr>
        <w:t>wbgapi</w:t>
      </w:r>
      <w:proofErr w:type="spellEnd"/>
      <w:r>
        <w:rPr>
          <w:b/>
          <w:bCs/>
          <w:color w:val="0D1B2A"/>
          <w:sz w:val="21"/>
          <w:szCs w:val="21"/>
        </w:rPr>
        <w:t xml:space="preserve">: </w:t>
      </w:r>
      <w:r>
        <w:rPr>
          <w:color w:val="111111"/>
          <w:sz w:val="21"/>
          <w:szCs w:val="21"/>
        </w:rPr>
        <w:t>Biblioteca de Python que permite el acceso programático a las bases de datos del Banco Mundial: WDI (</w:t>
      </w:r>
      <w:proofErr w:type="spellStart"/>
      <w:r>
        <w:rPr>
          <w:color w:val="111111"/>
          <w:sz w:val="21"/>
          <w:szCs w:val="21"/>
        </w:rPr>
        <w:t>db</w:t>
      </w:r>
      <w:proofErr w:type="spellEnd"/>
      <w:r>
        <w:rPr>
          <w:color w:val="111111"/>
          <w:sz w:val="21"/>
          <w:szCs w:val="21"/>
        </w:rPr>
        <w:t>=2), WGI (</w:t>
      </w:r>
      <w:proofErr w:type="spellStart"/>
      <w:r>
        <w:rPr>
          <w:color w:val="111111"/>
          <w:sz w:val="21"/>
          <w:szCs w:val="21"/>
        </w:rPr>
        <w:t>db</w:t>
      </w:r>
      <w:proofErr w:type="spellEnd"/>
      <w:r>
        <w:rPr>
          <w:color w:val="111111"/>
          <w:sz w:val="21"/>
          <w:szCs w:val="21"/>
        </w:rPr>
        <w:t>=3) y GFDD (</w:t>
      </w:r>
      <w:proofErr w:type="spellStart"/>
      <w:r>
        <w:rPr>
          <w:color w:val="111111"/>
          <w:sz w:val="21"/>
          <w:szCs w:val="21"/>
        </w:rPr>
        <w:t>db</w:t>
      </w:r>
      <w:proofErr w:type="spellEnd"/>
      <w:r>
        <w:rPr>
          <w:color w:val="111111"/>
          <w:sz w:val="21"/>
          <w:szCs w:val="21"/>
        </w:rPr>
        <w:t xml:space="preserve">=32). Es el mecanismo principal de extracción de datos del modelo RADAR </w:t>
      </w:r>
      <w:proofErr w:type="spellStart"/>
      <w:r>
        <w:rPr>
          <w:color w:val="111111"/>
          <w:sz w:val="21"/>
          <w:szCs w:val="21"/>
        </w:rPr>
        <w:t>Cibest</w:t>
      </w:r>
      <w:proofErr w:type="spellEnd"/>
      <w:r>
        <w:rPr>
          <w:color w:val="111111"/>
          <w:sz w:val="21"/>
          <w:szCs w:val="21"/>
        </w:rPr>
        <w:t>.</w:t>
      </w:r>
    </w:p>
    <w:p w14:paraId="56B5E6EE" w14:textId="77777777" w:rsidR="0066201C" w:rsidRDefault="0066201C" w:rsidP="0066201C">
      <w:pPr>
        <w:spacing w:before="80" w:after="80" w:line="300" w:lineRule="auto"/>
        <w:jc w:val="both"/>
      </w:pPr>
      <w:r>
        <w:rPr>
          <w:b/>
          <w:bCs/>
          <w:color w:val="0D1B2A"/>
          <w:sz w:val="21"/>
          <w:szCs w:val="21"/>
        </w:rPr>
        <w:t xml:space="preserve">WDI — World </w:t>
      </w:r>
      <w:proofErr w:type="spellStart"/>
      <w:r>
        <w:rPr>
          <w:b/>
          <w:bCs/>
          <w:color w:val="0D1B2A"/>
          <w:sz w:val="21"/>
          <w:szCs w:val="21"/>
        </w:rPr>
        <w:t>Development</w:t>
      </w:r>
      <w:proofErr w:type="spellEnd"/>
      <w:r>
        <w:rPr>
          <w:b/>
          <w:bCs/>
          <w:color w:val="0D1B2A"/>
          <w:sz w:val="21"/>
          <w:szCs w:val="21"/>
        </w:rPr>
        <w:t xml:space="preserve"> </w:t>
      </w:r>
      <w:proofErr w:type="spellStart"/>
      <w:r>
        <w:rPr>
          <w:b/>
          <w:bCs/>
          <w:color w:val="0D1B2A"/>
          <w:sz w:val="21"/>
          <w:szCs w:val="21"/>
        </w:rPr>
        <w:t>Indicators</w:t>
      </w:r>
      <w:proofErr w:type="spellEnd"/>
      <w:r>
        <w:rPr>
          <w:b/>
          <w:bCs/>
          <w:color w:val="0D1B2A"/>
          <w:sz w:val="21"/>
          <w:szCs w:val="21"/>
        </w:rPr>
        <w:t xml:space="preserve">: </w:t>
      </w:r>
      <w:r>
        <w:rPr>
          <w:color w:val="111111"/>
          <w:sz w:val="21"/>
          <w:szCs w:val="21"/>
        </w:rPr>
        <w:t xml:space="preserve">Base de datos principal del Banco Mundial (accesible vía </w:t>
      </w:r>
      <w:proofErr w:type="spellStart"/>
      <w:r>
        <w:rPr>
          <w:color w:val="111111"/>
          <w:sz w:val="21"/>
          <w:szCs w:val="21"/>
        </w:rPr>
        <w:t>wbgapi</w:t>
      </w:r>
      <w:proofErr w:type="spellEnd"/>
      <w:r>
        <w:rPr>
          <w:color w:val="111111"/>
          <w:sz w:val="21"/>
          <w:szCs w:val="21"/>
        </w:rPr>
        <w:t xml:space="preserve"> </w:t>
      </w:r>
      <w:proofErr w:type="spellStart"/>
      <w:r>
        <w:rPr>
          <w:color w:val="111111"/>
          <w:sz w:val="21"/>
          <w:szCs w:val="21"/>
        </w:rPr>
        <w:t>db</w:t>
      </w:r>
      <w:proofErr w:type="spellEnd"/>
      <w:r>
        <w:rPr>
          <w:color w:val="111111"/>
          <w:sz w:val="21"/>
          <w:szCs w:val="21"/>
        </w:rPr>
        <w:t xml:space="preserve">=2) con indicadores de desarrollo económico, social e </w:t>
      </w:r>
      <w:proofErr w:type="spellStart"/>
      <w:r>
        <w:rPr>
          <w:color w:val="111111"/>
          <w:sz w:val="21"/>
          <w:szCs w:val="21"/>
        </w:rPr>
        <w:t>infraestructural</w:t>
      </w:r>
      <w:proofErr w:type="spellEnd"/>
      <w:r>
        <w:rPr>
          <w:color w:val="111111"/>
          <w:sz w:val="21"/>
          <w:szCs w:val="21"/>
        </w:rPr>
        <w:t xml:space="preserve"> para más de 200 países. Fuente de las Dimensiones D1 (Macroeconómica) y D4 (Tecnológica) del modelo RADAR </w:t>
      </w:r>
      <w:proofErr w:type="spellStart"/>
      <w:r>
        <w:rPr>
          <w:color w:val="111111"/>
          <w:sz w:val="21"/>
          <w:szCs w:val="21"/>
        </w:rPr>
        <w:t>Cibest</w:t>
      </w:r>
      <w:proofErr w:type="spellEnd"/>
      <w:r>
        <w:rPr>
          <w:color w:val="111111"/>
          <w:sz w:val="21"/>
          <w:szCs w:val="21"/>
        </w:rPr>
        <w:t>.</w:t>
      </w:r>
    </w:p>
    <w:p w14:paraId="1B692AE1" w14:textId="77777777" w:rsidR="0066201C" w:rsidRDefault="0066201C" w:rsidP="0066201C">
      <w:r>
        <w:br w:type="page"/>
      </w:r>
    </w:p>
    <w:p w14:paraId="2C9EBB3A" w14:textId="77777777" w:rsidR="0066201C" w:rsidRPr="00460847" w:rsidRDefault="0066201C" w:rsidP="0066201C">
      <w:pPr>
        <w:pStyle w:val="Ttulo1"/>
        <w:ind w:left="200" w:right="200"/>
        <w:rPr>
          <w:color w:val="auto"/>
        </w:rPr>
      </w:pPr>
      <w:bookmarkStart w:id="109" w:name="_Toc232659658"/>
      <w:r w:rsidRPr="00460847">
        <w:rPr>
          <w:color w:val="auto"/>
        </w:rPr>
        <w:lastRenderedPageBreak/>
        <w:t>Sección 16 — Bibliografía y Recursos de Referencia</w:t>
      </w:r>
      <w:bookmarkEnd w:id="109"/>
    </w:p>
    <w:p w14:paraId="60817077" w14:textId="77777777" w:rsidR="0066201C" w:rsidRDefault="0066201C" w:rsidP="0066201C">
      <w:pPr>
        <w:spacing w:after="100"/>
      </w:pPr>
    </w:p>
    <w:p w14:paraId="60C4819C" w14:textId="634FC1B1" w:rsidR="0066201C" w:rsidRDefault="0066201C" w:rsidP="0066201C">
      <w:pPr>
        <w:spacing w:before="140" w:after="140" w:line="320" w:lineRule="auto"/>
        <w:jc w:val="both"/>
      </w:pPr>
      <w:r>
        <w:rPr>
          <w:color w:val="111111"/>
        </w:rPr>
        <w:t xml:space="preserve">La bibliografía se organiza en seis bloques temáticos que corresponden a los principales cuerpos de conocimiento que sustentan este </w:t>
      </w:r>
      <w:r w:rsidR="00AA01B4">
        <w:rPr>
          <w:color w:val="111111"/>
        </w:rPr>
        <w:t>documento</w:t>
      </w:r>
      <w:r>
        <w:rPr>
          <w:color w:val="111111"/>
        </w:rPr>
        <w:t>. Para cada fuente se indica la referencia completa en formato APA 7 y la URL de acceso cuando está disponible. Las fuentes marcadas con [verificar URL] corresponden a referencias cuya existencia es verificable pero cuya URL exacta puede haber cambiado desde la redacción de este documento.</w:t>
      </w:r>
    </w:p>
    <w:p w14:paraId="6DAD2B97" w14:textId="77777777" w:rsidR="0066201C" w:rsidRDefault="0066201C" w:rsidP="0066201C">
      <w:pPr>
        <w:spacing w:after="100"/>
      </w:pPr>
    </w:p>
    <w:p w14:paraId="276E2B9B" w14:textId="77777777" w:rsidR="0066201C" w:rsidRDefault="0066201C" w:rsidP="0066201C">
      <w:pPr>
        <w:pStyle w:val="Ttulo2"/>
        <w:pBdr>
          <w:bottom w:val="single" w:sz="4" w:space="4" w:color="E8B931"/>
        </w:pBdr>
      </w:pPr>
      <w:bookmarkStart w:id="110" w:name="_Toc232659659"/>
      <w:r>
        <w:t>I — Marcos teóricos de internacionalización empresarial</w:t>
      </w:r>
      <w:bookmarkEnd w:id="110"/>
    </w:p>
    <w:p w14:paraId="488B9494" w14:textId="77777777" w:rsidR="0066201C" w:rsidRDefault="0066201C" w:rsidP="0066201C">
      <w:pPr>
        <w:spacing w:after="100"/>
      </w:pPr>
    </w:p>
    <w:p w14:paraId="2DCFBF3E" w14:textId="77777777" w:rsidR="0066201C" w:rsidRDefault="0066201C" w:rsidP="0066201C">
      <w:pPr>
        <w:spacing w:before="60" w:after="60" w:line="300" w:lineRule="auto"/>
        <w:ind w:left="720" w:hanging="720"/>
        <w:jc w:val="both"/>
      </w:pPr>
      <w:r>
        <w:rPr>
          <w:color w:val="111111"/>
          <w:sz w:val="20"/>
          <w:szCs w:val="20"/>
        </w:rPr>
        <w:t xml:space="preserve">Anderson, E., &amp; </w:t>
      </w:r>
      <w:proofErr w:type="spellStart"/>
      <w:r>
        <w:rPr>
          <w:color w:val="111111"/>
          <w:sz w:val="20"/>
          <w:szCs w:val="20"/>
        </w:rPr>
        <w:t>Gatignon</w:t>
      </w:r>
      <w:proofErr w:type="spellEnd"/>
      <w:r>
        <w:rPr>
          <w:color w:val="111111"/>
          <w:sz w:val="20"/>
          <w:szCs w:val="20"/>
        </w:rPr>
        <w:t xml:space="preserve">, H. (1986). Modes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foreign</w:t>
      </w:r>
      <w:proofErr w:type="spellEnd"/>
      <w:r>
        <w:rPr>
          <w:color w:val="111111"/>
          <w:sz w:val="20"/>
          <w:szCs w:val="20"/>
        </w:rPr>
        <w:t xml:space="preserve"> </w:t>
      </w:r>
      <w:proofErr w:type="spellStart"/>
      <w:r>
        <w:rPr>
          <w:color w:val="111111"/>
          <w:sz w:val="20"/>
          <w:szCs w:val="20"/>
        </w:rPr>
        <w:t>entry</w:t>
      </w:r>
      <w:proofErr w:type="spellEnd"/>
      <w:r>
        <w:rPr>
          <w:color w:val="111111"/>
          <w:sz w:val="20"/>
          <w:szCs w:val="20"/>
        </w:rPr>
        <w:t xml:space="preserve">: A </w:t>
      </w:r>
      <w:proofErr w:type="spellStart"/>
      <w:r>
        <w:rPr>
          <w:color w:val="111111"/>
          <w:sz w:val="20"/>
          <w:szCs w:val="20"/>
        </w:rPr>
        <w:t>transaction</w:t>
      </w:r>
      <w:proofErr w:type="spellEnd"/>
      <w:r>
        <w:rPr>
          <w:color w:val="111111"/>
          <w:sz w:val="20"/>
          <w:szCs w:val="20"/>
        </w:rPr>
        <w:t xml:space="preserve"> </w:t>
      </w:r>
      <w:proofErr w:type="spellStart"/>
      <w:r>
        <w:rPr>
          <w:color w:val="111111"/>
          <w:sz w:val="20"/>
          <w:szCs w:val="20"/>
        </w:rPr>
        <w:t>cost</w:t>
      </w:r>
      <w:proofErr w:type="spellEnd"/>
      <w:r>
        <w:rPr>
          <w:color w:val="111111"/>
          <w:sz w:val="20"/>
          <w:szCs w:val="20"/>
        </w:rPr>
        <w:t xml:space="preserve"> </w:t>
      </w:r>
      <w:proofErr w:type="spellStart"/>
      <w:r>
        <w:rPr>
          <w:color w:val="111111"/>
          <w:sz w:val="20"/>
          <w:szCs w:val="20"/>
        </w:rPr>
        <w:t>analysis</w:t>
      </w:r>
      <w:proofErr w:type="spellEnd"/>
      <w:r>
        <w:rPr>
          <w:color w:val="111111"/>
          <w:sz w:val="20"/>
          <w:szCs w:val="20"/>
        </w:rPr>
        <w:t xml:space="preserve"> and </w:t>
      </w:r>
      <w:proofErr w:type="spellStart"/>
      <w:r>
        <w:rPr>
          <w:color w:val="111111"/>
          <w:sz w:val="20"/>
          <w:szCs w:val="20"/>
        </w:rPr>
        <w:t>propositions</w:t>
      </w:r>
      <w:proofErr w:type="spellEnd"/>
      <w:r>
        <w:rPr>
          <w:color w:val="111111"/>
          <w:sz w:val="20"/>
          <w:szCs w:val="20"/>
        </w:rPr>
        <w:t xml:space="preserve">. </w:t>
      </w:r>
      <w:proofErr w:type="spellStart"/>
      <w:r>
        <w:rPr>
          <w:color w:val="111111"/>
          <w:sz w:val="20"/>
          <w:szCs w:val="20"/>
        </w:rPr>
        <w:t>Journal</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International Business </w:t>
      </w:r>
      <w:proofErr w:type="spellStart"/>
      <w:r>
        <w:rPr>
          <w:color w:val="111111"/>
          <w:sz w:val="20"/>
          <w:szCs w:val="20"/>
        </w:rPr>
        <w:t>Studies</w:t>
      </w:r>
      <w:proofErr w:type="spellEnd"/>
      <w:r>
        <w:rPr>
          <w:color w:val="111111"/>
          <w:sz w:val="20"/>
          <w:szCs w:val="20"/>
        </w:rPr>
        <w:t>, 17(3), 1-26. https://doi.org/10.1057/palgrave.jibs.8490432</w:t>
      </w:r>
    </w:p>
    <w:p w14:paraId="15E88052" w14:textId="77777777" w:rsidR="0066201C" w:rsidRDefault="0066201C" w:rsidP="0066201C">
      <w:pPr>
        <w:spacing w:before="60" w:after="60" w:line="300" w:lineRule="auto"/>
        <w:ind w:left="720" w:hanging="720"/>
        <w:jc w:val="both"/>
      </w:pPr>
      <w:r>
        <w:rPr>
          <w:color w:val="111111"/>
          <w:sz w:val="20"/>
          <w:szCs w:val="20"/>
        </w:rPr>
        <w:t xml:space="preserve">Anderson, J. E., &amp; van Wincoop, E. (2003). </w:t>
      </w:r>
      <w:proofErr w:type="spellStart"/>
      <w:r>
        <w:rPr>
          <w:color w:val="111111"/>
          <w:sz w:val="20"/>
          <w:szCs w:val="20"/>
        </w:rPr>
        <w:t>Gravity</w:t>
      </w:r>
      <w:proofErr w:type="spellEnd"/>
      <w:r>
        <w:rPr>
          <w:color w:val="111111"/>
          <w:sz w:val="20"/>
          <w:szCs w:val="20"/>
        </w:rPr>
        <w:t xml:space="preserve"> </w:t>
      </w:r>
      <w:proofErr w:type="spellStart"/>
      <w:r>
        <w:rPr>
          <w:color w:val="111111"/>
          <w:sz w:val="20"/>
          <w:szCs w:val="20"/>
        </w:rPr>
        <w:t>with</w:t>
      </w:r>
      <w:proofErr w:type="spellEnd"/>
      <w:r>
        <w:rPr>
          <w:color w:val="111111"/>
          <w:sz w:val="20"/>
          <w:szCs w:val="20"/>
        </w:rPr>
        <w:t xml:space="preserve"> gravitas: A </w:t>
      </w:r>
      <w:proofErr w:type="spellStart"/>
      <w:r>
        <w:rPr>
          <w:color w:val="111111"/>
          <w:sz w:val="20"/>
          <w:szCs w:val="20"/>
        </w:rPr>
        <w:t>solution</w:t>
      </w:r>
      <w:proofErr w:type="spellEnd"/>
      <w:r>
        <w:rPr>
          <w:color w:val="111111"/>
          <w:sz w:val="20"/>
          <w:szCs w:val="20"/>
        </w:rPr>
        <w:t xml:space="preserve"> </w:t>
      </w:r>
      <w:proofErr w:type="spellStart"/>
      <w:r>
        <w:rPr>
          <w:color w:val="111111"/>
          <w:sz w:val="20"/>
          <w:szCs w:val="20"/>
        </w:rPr>
        <w:t>to</w:t>
      </w:r>
      <w:proofErr w:type="spellEnd"/>
      <w:r>
        <w:rPr>
          <w:color w:val="111111"/>
          <w:sz w:val="20"/>
          <w:szCs w:val="20"/>
        </w:rPr>
        <w:t xml:space="preserve"> </w:t>
      </w:r>
      <w:proofErr w:type="spellStart"/>
      <w:r>
        <w:rPr>
          <w:color w:val="111111"/>
          <w:sz w:val="20"/>
          <w:szCs w:val="20"/>
        </w:rPr>
        <w:t>the</w:t>
      </w:r>
      <w:proofErr w:type="spellEnd"/>
      <w:r>
        <w:rPr>
          <w:color w:val="111111"/>
          <w:sz w:val="20"/>
          <w:szCs w:val="20"/>
        </w:rPr>
        <w:t xml:space="preserve"> </w:t>
      </w:r>
      <w:proofErr w:type="spellStart"/>
      <w:r>
        <w:rPr>
          <w:color w:val="111111"/>
          <w:sz w:val="20"/>
          <w:szCs w:val="20"/>
        </w:rPr>
        <w:t>border</w:t>
      </w:r>
      <w:proofErr w:type="spellEnd"/>
      <w:r>
        <w:rPr>
          <w:color w:val="111111"/>
          <w:sz w:val="20"/>
          <w:szCs w:val="20"/>
        </w:rPr>
        <w:t xml:space="preserve"> </w:t>
      </w:r>
      <w:proofErr w:type="spellStart"/>
      <w:r>
        <w:rPr>
          <w:color w:val="111111"/>
          <w:sz w:val="20"/>
          <w:szCs w:val="20"/>
        </w:rPr>
        <w:t>puzzle</w:t>
      </w:r>
      <w:proofErr w:type="spellEnd"/>
      <w:r>
        <w:rPr>
          <w:color w:val="111111"/>
          <w:sz w:val="20"/>
          <w:szCs w:val="20"/>
        </w:rPr>
        <w:t xml:space="preserve">. American </w:t>
      </w:r>
      <w:proofErr w:type="spellStart"/>
      <w:r>
        <w:rPr>
          <w:color w:val="111111"/>
          <w:sz w:val="20"/>
          <w:szCs w:val="20"/>
        </w:rPr>
        <w:t>Economic</w:t>
      </w:r>
      <w:proofErr w:type="spellEnd"/>
      <w:r>
        <w:rPr>
          <w:color w:val="111111"/>
          <w:sz w:val="20"/>
          <w:szCs w:val="20"/>
        </w:rPr>
        <w:t xml:space="preserve"> </w:t>
      </w:r>
      <w:proofErr w:type="spellStart"/>
      <w:r>
        <w:rPr>
          <w:color w:val="111111"/>
          <w:sz w:val="20"/>
          <w:szCs w:val="20"/>
        </w:rPr>
        <w:t>Review</w:t>
      </w:r>
      <w:proofErr w:type="spellEnd"/>
      <w:r>
        <w:rPr>
          <w:color w:val="111111"/>
          <w:sz w:val="20"/>
          <w:szCs w:val="20"/>
        </w:rPr>
        <w:t>, 93(1), 170-192. https://doi.org/10.1257/000282803321455214</w:t>
      </w:r>
    </w:p>
    <w:p w14:paraId="138F989E" w14:textId="77777777" w:rsidR="0066201C" w:rsidRDefault="0066201C" w:rsidP="0066201C">
      <w:pPr>
        <w:spacing w:before="60" w:after="60" w:line="300" w:lineRule="auto"/>
        <w:ind w:left="720" w:hanging="720"/>
        <w:jc w:val="both"/>
      </w:pPr>
      <w:r>
        <w:rPr>
          <w:color w:val="111111"/>
          <w:sz w:val="20"/>
          <w:szCs w:val="20"/>
        </w:rPr>
        <w:t xml:space="preserve">Buckley, P. J., &amp; Casson, M. (1976). The future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the</w:t>
      </w:r>
      <w:proofErr w:type="spellEnd"/>
      <w:r>
        <w:rPr>
          <w:color w:val="111111"/>
          <w:sz w:val="20"/>
          <w:szCs w:val="20"/>
        </w:rPr>
        <w:t xml:space="preserve"> </w:t>
      </w:r>
      <w:proofErr w:type="spellStart"/>
      <w:r>
        <w:rPr>
          <w:color w:val="111111"/>
          <w:sz w:val="20"/>
          <w:szCs w:val="20"/>
        </w:rPr>
        <w:t>multinational</w:t>
      </w:r>
      <w:proofErr w:type="spellEnd"/>
      <w:r>
        <w:rPr>
          <w:color w:val="111111"/>
          <w:sz w:val="20"/>
          <w:szCs w:val="20"/>
        </w:rPr>
        <w:t xml:space="preserve"> </w:t>
      </w:r>
      <w:proofErr w:type="spellStart"/>
      <w:r>
        <w:rPr>
          <w:color w:val="111111"/>
          <w:sz w:val="20"/>
          <w:szCs w:val="20"/>
        </w:rPr>
        <w:t>enterprise</w:t>
      </w:r>
      <w:proofErr w:type="spellEnd"/>
      <w:r>
        <w:rPr>
          <w:color w:val="111111"/>
          <w:sz w:val="20"/>
          <w:szCs w:val="20"/>
        </w:rPr>
        <w:t>. Macmillan.</w:t>
      </w:r>
    </w:p>
    <w:p w14:paraId="06DE9C2D" w14:textId="77777777" w:rsidR="0066201C" w:rsidRDefault="0066201C" w:rsidP="0066201C">
      <w:pPr>
        <w:spacing w:before="60" w:after="60" w:line="300" w:lineRule="auto"/>
        <w:ind w:left="720" w:hanging="720"/>
        <w:jc w:val="both"/>
      </w:pPr>
      <w:r>
        <w:rPr>
          <w:color w:val="111111"/>
          <w:sz w:val="20"/>
          <w:szCs w:val="20"/>
        </w:rPr>
        <w:t xml:space="preserve">Dunning, J. H. (1977). </w:t>
      </w:r>
      <w:proofErr w:type="spellStart"/>
      <w:r>
        <w:rPr>
          <w:color w:val="111111"/>
          <w:sz w:val="20"/>
          <w:szCs w:val="20"/>
        </w:rPr>
        <w:t>Trade</w:t>
      </w:r>
      <w:proofErr w:type="spellEnd"/>
      <w:r>
        <w:rPr>
          <w:color w:val="111111"/>
          <w:sz w:val="20"/>
          <w:szCs w:val="20"/>
        </w:rPr>
        <w:t xml:space="preserve">, </w:t>
      </w:r>
      <w:proofErr w:type="spellStart"/>
      <w:r>
        <w:rPr>
          <w:color w:val="111111"/>
          <w:sz w:val="20"/>
          <w:szCs w:val="20"/>
        </w:rPr>
        <w:t>location</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economic</w:t>
      </w:r>
      <w:proofErr w:type="spellEnd"/>
      <w:r>
        <w:rPr>
          <w:color w:val="111111"/>
          <w:sz w:val="20"/>
          <w:szCs w:val="20"/>
        </w:rPr>
        <w:t xml:space="preserve"> </w:t>
      </w:r>
      <w:proofErr w:type="spellStart"/>
      <w:r>
        <w:rPr>
          <w:color w:val="111111"/>
          <w:sz w:val="20"/>
          <w:szCs w:val="20"/>
        </w:rPr>
        <w:t>activity</w:t>
      </w:r>
      <w:proofErr w:type="spellEnd"/>
      <w:r>
        <w:rPr>
          <w:color w:val="111111"/>
          <w:sz w:val="20"/>
          <w:szCs w:val="20"/>
        </w:rPr>
        <w:t xml:space="preserve"> and </w:t>
      </w:r>
      <w:proofErr w:type="spellStart"/>
      <w:r>
        <w:rPr>
          <w:color w:val="111111"/>
          <w:sz w:val="20"/>
          <w:szCs w:val="20"/>
        </w:rPr>
        <w:t>the</w:t>
      </w:r>
      <w:proofErr w:type="spellEnd"/>
      <w:r>
        <w:rPr>
          <w:color w:val="111111"/>
          <w:sz w:val="20"/>
          <w:szCs w:val="20"/>
        </w:rPr>
        <w:t xml:space="preserve"> MNE: A </w:t>
      </w:r>
      <w:proofErr w:type="spellStart"/>
      <w:r>
        <w:rPr>
          <w:color w:val="111111"/>
          <w:sz w:val="20"/>
          <w:szCs w:val="20"/>
        </w:rPr>
        <w:t>search</w:t>
      </w:r>
      <w:proofErr w:type="spellEnd"/>
      <w:r>
        <w:rPr>
          <w:color w:val="111111"/>
          <w:sz w:val="20"/>
          <w:szCs w:val="20"/>
        </w:rPr>
        <w:t xml:space="preserve"> </w:t>
      </w:r>
      <w:proofErr w:type="spellStart"/>
      <w:r>
        <w:rPr>
          <w:color w:val="111111"/>
          <w:sz w:val="20"/>
          <w:szCs w:val="20"/>
        </w:rPr>
        <w:t>for</w:t>
      </w:r>
      <w:proofErr w:type="spellEnd"/>
      <w:r>
        <w:rPr>
          <w:color w:val="111111"/>
          <w:sz w:val="20"/>
          <w:szCs w:val="20"/>
        </w:rPr>
        <w:t xml:space="preserve"> </w:t>
      </w:r>
      <w:proofErr w:type="spellStart"/>
      <w:r>
        <w:rPr>
          <w:color w:val="111111"/>
          <w:sz w:val="20"/>
          <w:szCs w:val="20"/>
        </w:rPr>
        <w:t>an</w:t>
      </w:r>
      <w:proofErr w:type="spellEnd"/>
      <w:r>
        <w:rPr>
          <w:color w:val="111111"/>
          <w:sz w:val="20"/>
          <w:szCs w:val="20"/>
        </w:rPr>
        <w:t xml:space="preserve"> </w:t>
      </w:r>
      <w:proofErr w:type="spellStart"/>
      <w:r>
        <w:rPr>
          <w:color w:val="111111"/>
          <w:sz w:val="20"/>
          <w:szCs w:val="20"/>
        </w:rPr>
        <w:t>eclectic</w:t>
      </w:r>
      <w:proofErr w:type="spellEnd"/>
      <w:r>
        <w:rPr>
          <w:color w:val="111111"/>
          <w:sz w:val="20"/>
          <w:szCs w:val="20"/>
        </w:rPr>
        <w:t xml:space="preserve"> </w:t>
      </w:r>
      <w:proofErr w:type="spellStart"/>
      <w:r>
        <w:rPr>
          <w:color w:val="111111"/>
          <w:sz w:val="20"/>
          <w:szCs w:val="20"/>
        </w:rPr>
        <w:t>approach</w:t>
      </w:r>
      <w:proofErr w:type="spellEnd"/>
      <w:r>
        <w:rPr>
          <w:color w:val="111111"/>
          <w:sz w:val="20"/>
          <w:szCs w:val="20"/>
        </w:rPr>
        <w:t xml:space="preserve">. En B. Ohlin et al. (Eds.), The </w:t>
      </w:r>
      <w:proofErr w:type="spellStart"/>
      <w:r>
        <w:rPr>
          <w:color w:val="111111"/>
          <w:sz w:val="20"/>
          <w:szCs w:val="20"/>
        </w:rPr>
        <w:t>international</w:t>
      </w:r>
      <w:proofErr w:type="spellEnd"/>
      <w:r>
        <w:rPr>
          <w:color w:val="111111"/>
          <w:sz w:val="20"/>
          <w:szCs w:val="20"/>
        </w:rPr>
        <w:t xml:space="preserve"> </w:t>
      </w:r>
      <w:proofErr w:type="spellStart"/>
      <w:r>
        <w:rPr>
          <w:color w:val="111111"/>
          <w:sz w:val="20"/>
          <w:szCs w:val="20"/>
        </w:rPr>
        <w:t>allocation</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economic</w:t>
      </w:r>
      <w:proofErr w:type="spellEnd"/>
      <w:r>
        <w:rPr>
          <w:color w:val="111111"/>
          <w:sz w:val="20"/>
          <w:szCs w:val="20"/>
        </w:rPr>
        <w:t xml:space="preserve"> </w:t>
      </w:r>
      <w:proofErr w:type="spellStart"/>
      <w:r>
        <w:rPr>
          <w:color w:val="111111"/>
          <w:sz w:val="20"/>
          <w:szCs w:val="20"/>
        </w:rPr>
        <w:t>activity</w:t>
      </w:r>
      <w:proofErr w:type="spellEnd"/>
      <w:r>
        <w:rPr>
          <w:color w:val="111111"/>
          <w:sz w:val="20"/>
          <w:szCs w:val="20"/>
        </w:rPr>
        <w:t xml:space="preserve"> (pp. 395-418). Macmillan.</w:t>
      </w:r>
    </w:p>
    <w:p w14:paraId="251A155C" w14:textId="77777777" w:rsidR="0066201C" w:rsidRDefault="0066201C" w:rsidP="0066201C">
      <w:pPr>
        <w:spacing w:before="60" w:after="60" w:line="300" w:lineRule="auto"/>
        <w:ind w:left="720" w:hanging="720"/>
        <w:jc w:val="both"/>
      </w:pPr>
      <w:r>
        <w:rPr>
          <w:color w:val="111111"/>
          <w:sz w:val="20"/>
          <w:szCs w:val="20"/>
        </w:rPr>
        <w:t xml:space="preserve">Dunning, J. H. (1988). The </w:t>
      </w:r>
      <w:proofErr w:type="spellStart"/>
      <w:r>
        <w:rPr>
          <w:color w:val="111111"/>
          <w:sz w:val="20"/>
          <w:szCs w:val="20"/>
        </w:rPr>
        <w:t>eclectic</w:t>
      </w:r>
      <w:proofErr w:type="spellEnd"/>
      <w:r>
        <w:rPr>
          <w:color w:val="111111"/>
          <w:sz w:val="20"/>
          <w:szCs w:val="20"/>
        </w:rPr>
        <w:t xml:space="preserve"> </w:t>
      </w:r>
      <w:proofErr w:type="spellStart"/>
      <w:r>
        <w:rPr>
          <w:color w:val="111111"/>
          <w:sz w:val="20"/>
          <w:szCs w:val="20"/>
        </w:rPr>
        <w:t>paradigm</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international</w:t>
      </w:r>
      <w:proofErr w:type="spellEnd"/>
      <w:r>
        <w:rPr>
          <w:color w:val="111111"/>
          <w:sz w:val="20"/>
          <w:szCs w:val="20"/>
        </w:rPr>
        <w:t xml:space="preserve"> </w:t>
      </w:r>
      <w:proofErr w:type="spellStart"/>
      <w:r>
        <w:rPr>
          <w:color w:val="111111"/>
          <w:sz w:val="20"/>
          <w:szCs w:val="20"/>
        </w:rPr>
        <w:t>production</w:t>
      </w:r>
      <w:proofErr w:type="spellEnd"/>
      <w:r>
        <w:rPr>
          <w:color w:val="111111"/>
          <w:sz w:val="20"/>
          <w:szCs w:val="20"/>
        </w:rPr>
        <w:t xml:space="preserve">: A </w:t>
      </w:r>
      <w:proofErr w:type="spellStart"/>
      <w:r>
        <w:rPr>
          <w:color w:val="111111"/>
          <w:sz w:val="20"/>
          <w:szCs w:val="20"/>
        </w:rPr>
        <w:t>restatement</w:t>
      </w:r>
      <w:proofErr w:type="spellEnd"/>
      <w:r>
        <w:rPr>
          <w:color w:val="111111"/>
          <w:sz w:val="20"/>
          <w:szCs w:val="20"/>
        </w:rPr>
        <w:t xml:space="preserve"> and </w:t>
      </w:r>
      <w:proofErr w:type="spellStart"/>
      <w:r>
        <w:rPr>
          <w:color w:val="111111"/>
          <w:sz w:val="20"/>
          <w:szCs w:val="20"/>
        </w:rPr>
        <w:t>some</w:t>
      </w:r>
      <w:proofErr w:type="spellEnd"/>
      <w:r>
        <w:rPr>
          <w:color w:val="111111"/>
          <w:sz w:val="20"/>
          <w:szCs w:val="20"/>
        </w:rPr>
        <w:t xml:space="preserve"> </w:t>
      </w:r>
      <w:proofErr w:type="spellStart"/>
      <w:r>
        <w:rPr>
          <w:color w:val="111111"/>
          <w:sz w:val="20"/>
          <w:szCs w:val="20"/>
        </w:rPr>
        <w:t>possible</w:t>
      </w:r>
      <w:proofErr w:type="spellEnd"/>
      <w:r>
        <w:rPr>
          <w:color w:val="111111"/>
          <w:sz w:val="20"/>
          <w:szCs w:val="20"/>
        </w:rPr>
        <w:t xml:space="preserve"> </w:t>
      </w:r>
      <w:proofErr w:type="spellStart"/>
      <w:r>
        <w:rPr>
          <w:color w:val="111111"/>
          <w:sz w:val="20"/>
          <w:szCs w:val="20"/>
        </w:rPr>
        <w:t>extensions</w:t>
      </w:r>
      <w:proofErr w:type="spellEnd"/>
      <w:r>
        <w:rPr>
          <w:color w:val="111111"/>
          <w:sz w:val="20"/>
          <w:szCs w:val="20"/>
        </w:rPr>
        <w:t xml:space="preserve">. </w:t>
      </w:r>
      <w:proofErr w:type="spellStart"/>
      <w:r>
        <w:rPr>
          <w:color w:val="111111"/>
          <w:sz w:val="20"/>
          <w:szCs w:val="20"/>
        </w:rPr>
        <w:t>Journal</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International Business </w:t>
      </w:r>
      <w:proofErr w:type="spellStart"/>
      <w:r>
        <w:rPr>
          <w:color w:val="111111"/>
          <w:sz w:val="20"/>
          <w:szCs w:val="20"/>
        </w:rPr>
        <w:t>Studies</w:t>
      </w:r>
      <w:proofErr w:type="spellEnd"/>
      <w:r>
        <w:rPr>
          <w:color w:val="111111"/>
          <w:sz w:val="20"/>
          <w:szCs w:val="20"/>
        </w:rPr>
        <w:t>, 19(1), 1-31. https://doi.org/10.1057/palgrave.jibs.8490372</w:t>
      </w:r>
    </w:p>
    <w:p w14:paraId="74B227EF" w14:textId="77777777" w:rsidR="0066201C" w:rsidRDefault="0066201C" w:rsidP="0066201C">
      <w:pPr>
        <w:spacing w:before="60" w:after="60" w:line="300" w:lineRule="auto"/>
        <w:ind w:left="720" w:hanging="720"/>
        <w:jc w:val="both"/>
      </w:pPr>
      <w:r>
        <w:rPr>
          <w:color w:val="111111"/>
          <w:sz w:val="20"/>
          <w:szCs w:val="20"/>
        </w:rPr>
        <w:t xml:space="preserve">Head, K., &amp; Mayer, T. (2014). </w:t>
      </w:r>
      <w:proofErr w:type="spellStart"/>
      <w:r>
        <w:rPr>
          <w:color w:val="111111"/>
          <w:sz w:val="20"/>
          <w:szCs w:val="20"/>
        </w:rPr>
        <w:t>Gravity</w:t>
      </w:r>
      <w:proofErr w:type="spellEnd"/>
      <w:r>
        <w:rPr>
          <w:color w:val="111111"/>
          <w:sz w:val="20"/>
          <w:szCs w:val="20"/>
        </w:rPr>
        <w:t xml:space="preserve"> </w:t>
      </w:r>
      <w:proofErr w:type="spellStart"/>
      <w:r>
        <w:rPr>
          <w:color w:val="111111"/>
          <w:sz w:val="20"/>
          <w:szCs w:val="20"/>
        </w:rPr>
        <w:t>equations</w:t>
      </w:r>
      <w:proofErr w:type="spellEnd"/>
      <w:r>
        <w:rPr>
          <w:color w:val="111111"/>
          <w:sz w:val="20"/>
          <w:szCs w:val="20"/>
        </w:rPr>
        <w:t xml:space="preserve">: </w:t>
      </w:r>
      <w:proofErr w:type="spellStart"/>
      <w:r>
        <w:rPr>
          <w:color w:val="111111"/>
          <w:sz w:val="20"/>
          <w:szCs w:val="20"/>
        </w:rPr>
        <w:t>Workhorse</w:t>
      </w:r>
      <w:proofErr w:type="spellEnd"/>
      <w:r>
        <w:rPr>
          <w:color w:val="111111"/>
          <w:sz w:val="20"/>
          <w:szCs w:val="20"/>
        </w:rPr>
        <w:t xml:space="preserve">, </w:t>
      </w:r>
      <w:proofErr w:type="spellStart"/>
      <w:r>
        <w:rPr>
          <w:color w:val="111111"/>
          <w:sz w:val="20"/>
          <w:szCs w:val="20"/>
        </w:rPr>
        <w:t>toolkit</w:t>
      </w:r>
      <w:proofErr w:type="spellEnd"/>
      <w:r>
        <w:rPr>
          <w:color w:val="111111"/>
          <w:sz w:val="20"/>
          <w:szCs w:val="20"/>
        </w:rPr>
        <w:t xml:space="preserve">, and </w:t>
      </w:r>
      <w:proofErr w:type="spellStart"/>
      <w:r>
        <w:rPr>
          <w:color w:val="111111"/>
          <w:sz w:val="20"/>
          <w:szCs w:val="20"/>
        </w:rPr>
        <w:t>cookbook</w:t>
      </w:r>
      <w:proofErr w:type="spellEnd"/>
      <w:r>
        <w:rPr>
          <w:color w:val="111111"/>
          <w:sz w:val="20"/>
          <w:szCs w:val="20"/>
        </w:rPr>
        <w:t xml:space="preserve">. En G. Gopinath et al. (Eds.), </w:t>
      </w:r>
      <w:proofErr w:type="spellStart"/>
      <w:r>
        <w:rPr>
          <w:color w:val="111111"/>
          <w:sz w:val="20"/>
          <w:szCs w:val="20"/>
        </w:rPr>
        <w:t>Handbook</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international</w:t>
      </w:r>
      <w:proofErr w:type="spellEnd"/>
      <w:r>
        <w:rPr>
          <w:color w:val="111111"/>
          <w:sz w:val="20"/>
          <w:szCs w:val="20"/>
        </w:rPr>
        <w:t xml:space="preserve"> </w:t>
      </w:r>
      <w:proofErr w:type="spellStart"/>
      <w:r>
        <w:rPr>
          <w:color w:val="111111"/>
          <w:sz w:val="20"/>
          <w:szCs w:val="20"/>
        </w:rPr>
        <w:t>economics</w:t>
      </w:r>
      <w:proofErr w:type="spellEnd"/>
      <w:r>
        <w:rPr>
          <w:color w:val="111111"/>
          <w:sz w:val="20"/>
          <w:szCs w:val="20"/>
        </w:rPr>
        <w:t xml:space="preserve"> (Vol. 4, pp. 131-195). Elsevier. https://doi.org/10.1016/B978-0-444-54314-1.00003-3</w:t>
      </w:r>
    </w:p>
    <w:p w14:paraId="71B300E5" w14:textId="77777777" w:rsidR="0066201C" w:rsidRDefault="0066201C" w:rsidP="0066201C">
      <w:pPr>
        <w:spacing w:before="60" w:after="60" w:line="300" w:lineRule="auto"/>
        <w:ind w:left="720" w:hanging="720"/>
        <w:jc w:val="both"/>
      </w:pPr>
      <w:r>
        <w:rPr>
          <w:color w:val="111111"/>
          <w:sz w:val="20"/>
          <w:szCs w:val="20"/>
        </w:rPr>
        <w:t xml:space="preserve">Hill, C. W. L., Hwang, P., &amp; Kim, W. C. (1990). </w:t>
      </w:r>
      <w:proofErr w:type="spellStart"/>
      <w:r>
        <w:rPr>
          <w:color w:val="111111"/>
          <w:sz w:val="20"/>
          <w:szCs w:val="20"/>
        </w:rPr>
        <w:t>An</w:t>
      </w:r>
      <w:proofErr w:type="spellEnd"/>
      <w:r>
        <w:rPr>
          <w:color w:val="111111"/>
          <w:sz w:val="20"/>
          <w:szCs w:val="20"/>
        </w:rPr>
        <w:t xml:space="preserve"> </w:t>
      </w:r>
      <w:proofErr w:type="spellStart"/>
      <w:r>
        <w:rPr>
          <w:color w:val="111111"/>
          <w:sz w:val="20"/>
          <w:szCs w:val="20"/>
        </w:rPr>
        <w:t>eclectic</w:t>
      </w:r>
      <w:proofErr w:type="spellEnd"/>
      <w:r>
        <w:rPr>
          <w:color w:val="111111"/>
          <w:sz w:val="20"/>
          <w:szCs w:val="20"/>
        </w:rPr>
        <w:t xml:space="preserve"> </w:t>
      </w:r>
      <w:proofErr w:type="spellStart"/>
      <w:r>
        <w:rPr>
          <w:color w:val="111111"/>
          <w:sz w:val="20"/>
          <w:szCs w:val="20"/>
        </w:rPr>
        <w:t>theory</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the</w:t>
      </w:r>
      <w:proofErr w:type="spellEnd"/>
      <w:r>
        <w:rPr>
          <w:color w:val="111111"/>
          <w:sz w:val="20"/>
          <w:szCs w:val="20"/>
        </w:rPr>
        <w:t xml:space="preserve"> </w:t>
      </w:r>
      <w:proofErr w:type="spellStart"/>
      <w:r>
        <w:rPr>
          <w:color w:val="111111"/>
          <w:sz w:val="20"/>
          <w:szCs w:val="20"/>
        </w:rPr>
        <w:t>choice</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international</w:t>
      </w:r>
      <w:proofErr w:type="spellEnd"/>
      <w:r>
        <w:rPr>
          <w:color w:val="111111"/>
          <w:sz w:val="20"/>
          <w:szCs w:val="20"/>
        </w:rPr>
        <w:t xml:space="preserve"> </w:t>
      </w:r>
      <w:proofErr w:type="spellStart"/>
      <w:r>
        <w:rPr>
          <w:color w:val="111111"/>
          <w:sz w:val="20"/>
          <w:szCs w:val="20"/>
        </w:rPr>
        <w:t>entry</w:t>
      </w:r>
      <w:proofErr w:type="spellEnd"/>
      <w:r>
        <w:rPr>
          <w:color w:val="111111"/>
          <w:sz w:val="20"/>
          <w:szCs w:val="20"/>
        </w:rPr>
        <w:t xml:space="preserve"> </w:t>
      </w:r>
      <w:proofErr w:type="spellStart"/>
      <w:r>
        <w:rPr>
          <w:color w:val="111111"/>
          <w:sz w:val="20"/>
          <w:szCs w:val="20"/>
        </w:rPr>
        <w:t>mode</w:t>
      </w:r>
      <w:proofErr w:type="spellEnd"/>
      <w:r>
        <w:rPr>
          <w:color w:val="111111"/>
          <w:sz w:val="20"/>
          <w:szCs w:val="20"/>
        </w:rPr>
        <w:t xml:space="preserve">. </w:t>
      </w:r>
      <w:proofErr w:type="spellStart"/>
      <w:r>
        <w:rPr>
          <w:color w:val="111111"/>
          <w:sz w:val="20"/>
          <w:szCs w:val="20"/>
        </w:rPr>
        <w:t>Strategic</w:t>
      </w:r>
      <w:proofErr w:type="spellEnd"/>
      <w:r>
        <w:rPr>
          <w:color w:val="111111"/>
          <w:sz w:val="20"/>
          <w:szCs w:val="20"/>
        </w:rPr>
        <w:t xml:space="preserve"> Management </w:t>
      </w:r>
      <w:proofErr w:type="spellStart"/>
      <w:r>
        <w:rPr>
          <w:color w:val="111111"/>
          <w:sz w:val="20"/>
          <w:szCs w:val="20"/>
        </w:rPr>
        <w:t>Journal</w:t>
      </w:r>
      <w:proofErr w:type="spellEnd"/>
      <w:r>
        <w:rPr>
          <w:color w:val="111111"/>
          <w:sz w:val="20"/>
          <w:szCs w:val="20"/>
        </w:rPr>
        <w:t>, 11(2), 117-128. https://doi.org/10.1002/smj.4250110204</w:t>
      </w:r>
    </w:p>
    <w:p w14:paraId="7B3641CE" w14:textId="77777777" w:rsidR="0066201C" w:rsidRDefault="0066201C" w:rsidP="0066201C">
      <w:pPr>
        <w:spacing w:before="60" w:after="60" w:line="300" w:lineRule="auto"/>
        <w:ind w:left="720" w:hanging="720"/>
        <w:jc w:val="both"/>
      </w:pPr>
      <w:r>
        <w:rPr>
          <w:color w:val="111111"/>
          <w:sz w:val="20"/>
          <w:szCs w:val="20"/>
        </w:rPr>
        <w:t xml:space="preserve">Johanson, J., &amp; </w:t>
      </w:r>
      <w:proofErr w:type="spellStart"/>
      <w:r>
        <w:rPr>
          <w:color w:val="111111"/>
          <w:sz w:val="20"/>
          <w:szCs w:val="20"/>
        </w:rPr>
        <w:t>Vahlne</w:t>
      </w:r>
      <w:proofErr w:type="spellEnd"/>
      <w:r>
        <w:rPr>
          <w:color w:val="111111"/>
          <w:sz w:val="20"/>
          <w:szCs w:val="20"/>
        </w:rPr>
        <w:t xml:space="preserve">, J.-E. (1977). The </w:t>
      </w:r>
      <w:proofErr w:type="spellStart"/>
      <w:r>
        <w:rPr>
          <w:color w:val="111111"/>
          <w:sz w:val="20"/>
          <w:szCs w:val="20"/>
        </w:rPr>
        <w:t>internationalization</w:t>
      </w:r>
      <w:proofErr w:type="spellEnd"/>
      <w:r>
        <w:rPr>
          <w:color w:val="111111"/>
          <w:sz w:val="20"/>
          <w:szCs w:val="20"/>
        </w:rPr>
        <w:t xml:space="preserve"> </w:t>
      </w:r>
      <w:proofErr w:type="spellStart"/>
      <w:r>
        <w:rPr>
          <w:color w:val="111111"/>
          <w:sz w:val="20"/>
          <w:szCs w:val="20"/>
        </w:rPr>
        <w:t>process</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the</w:t>
      </w:r>
      <w:proofErr w:type="spellEnd"/>
      <w:r>
        <w:rPr>
          <w:color w:val="111111"/>
          <w:sz w:val="20"/>
          <w:szCs w:val="20"/>
        </w:rPr>
        <w:t xml:space="preserve"> </w:t>
      </w:r>
      <w:proofErr w:type="spellStart"/>
      <w:r>
        <w:rPr>
          <w:color w:val="111111"/>
          <w:sz w:val="20"/>
          <w:szCs w:val="20"/>
        </w:rPr>
        <w:t>firm</w:t>
      </w:r>
      <w:proofErr w:type="spellEnd"/>
      <w:r>
        <w:rPr>
          <w:color w:val="111111"/>
          <w:sz w:val="20"/>
          <w:szCs w:val="20"/>
        </w:rPr>
        <w:t xml:space="preserve">: A </w:t>
      </w:r>
      <w:proofErr w:type="spellStart"/>
      <w:r>
        <w:rPr>
          <w:color w:val="111111"/>
          <w:sz w:val="20"/>
          <w:szCs w:val="20"/>
        </w:rPr>
        <w:t>model</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knowledge</w:t>
      </w:r>
      <w:proofErr w:type="spellEnd"/>
      <w:r>
        <w:rPr>
          <w:color w:val="111111"/>
          <w:sz w:val="20"/>
          <w:szCs w:val="20"/>
        </w:rPr>
        <w:t xml:space="preserve"> </w:t>
      </w:r>
      <w:proofErr w:type="spellStart"/>
      <w:r>
        <w:rPr>
          <w:color w:val="111111"/>
          <w:sz w:val="20"/>
          <w:szCs w:val="20"/>
        </w:rPr>
        <w:t>development</w:t>
      </w:r>
      <w:proofErr w:type="spellEnd"/>
      <w:r>
        <w:rPr>
          <w:color w:val="111111"/>
          <w:sz w:val="20"/>
          <w:szCs w:val="20"/>
        </w:rPr>
        <w:t xml:space="preserve"> and </w:t>
      </w:r>
      <w:proofErr w:type="spellStart"/>
      <w:r>
        <w:rPr>
          <w:color w:val="111111"/>
          <w:sz w:val="20"/>
          <w:szCs w:val="20"/>
        </w:rPr>
        <w:t>increasing</w:t>
      </w:r>
      <w:proofErr w:type="spellEnd"/>
      <w:r>
        <w:rPr>
          <w:color w:val="111111"/>
          <w:sz w:val="20"/>
          <w:szCs w:val="20"/>
        </w:rPr>
        <w:t xml:space="preserve"> </w:t>
      </w:r>
      <w:proofErr w:type="spellStart"/>
      <w:r>
        <w:rPr>
          <w:color w:val="111111"/>
          <w:sz w:val="20"/>
          <w:szCs w:val="20"/>
        </w:rPr>
        <w:t>foreign</w:t>
      </w:r>
      <w:proofErr w:type="spellEnd"/>
      <w:r>
        <w:rPr>
          <w:color w:val="111111"/>
          <w:sz w:val="20"/>
          <w:szCs w:val="20"/>
        </w:rPr>
        <w:t xml:space="preserve"> </w:t>
      </w:r>
      <w:proofErr w:type="spellStart"/>
      <w:r>
        <w:rPr>
          <w:color w:val="111111"/>
          <w:sz w:val="20"/>
          <w:szCs w:val="20"/>
        </w:rPr>
        <w:t>market</w:t>
      </w:r>
      <w:proofErr w:type="spellEnd"/>
      <w:r>
        <w:rPr>
          <w:color w:val="111111"/>
          <w:sz w:val="20"/>
          <w:szCs w:val="20"/>
        </w:rPr>
        <w:t xml:space="preserve"> </w:t>
      </w:r>
      <w:proofErr w:type="spellStart"/>
      <w:r>
        <w:rPr>
          <w:color w:val="111111"/>
          <w:sz w:val="20"/>
          <w:szCs w:val="20"/>
        </w:rPr>
        <w:t>commitments</w:t>
      </w:r>
      <w:proofErr w:type="spellEnd"/>
      <w:r>
        <w:rPr>
          <w:color w:val="111111"/>
          <w:sz w:val="20"/>
          <w:szCs w:val="20"/>
        </w:rPr>
        <w:t xml:space="preserve">. </w:t>
      </w:r>
      <w:proofErr w:type="spellStart"/>
      <w:r>
        <w:rPr>
          <w:color w:val="111111"/>
          <w:sz w:val="20"/>
          <w:szCs w:val="20"/>
        </w:rPr>
        <w:t>Journal</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International Business </w:t>
      </w:r>
      <w:proofErr w:type="spellStart"/>
      <w:r>
        <w:rPr>
          <w:color w:val="111111"/>
          <w:sz w:val="20"/>
          <w:szCs w:val="20"/>
        </w:rPr>
        <w:t>Studies</w:t>
      </w:r>
      <w:proofErr w:type="spellEnd"/>
      <w:r>
        <w:rPr>
          <w:color w:val="111111"/>
          <w:sz w:val="20"/>
          <w:szCs w:val="20"/>
        </w:rPr>
        <w:t>, 8(1), 23-32. https://doi.org/10.1057/palgrave.jibs.8490676</w:t>
      </w:r>
    </w:p>
    <w:p w14:paraId="6B877C56" w14:textId="77777777" w:rsidR="0066201C" w:rsidRDefault="0066201C" w:rsidP="0066201C">
      <w:pPr>
        <w:spacing w:before="60" w:after="60" w:line="300" w:lineRule="auto"/>
        <w:ind w:left="720" w:hanging="720"/>
        <w:jc w:val="both"/>
      </w:pPr>
      <w:r>
        <w:rPr>
          <w:color w:val="111111"/>
          <w:sz w:val="20"/>
          <w:szCs w:val="20"/>
        </w:rPr>
        <w:t xml:space="preserve">Johanson, J., &amp; </w:t>
      </w:r>
      <w:proofErr w:type="spellStart"/>
      <w:r>
        <w:rPr>
          <w:color w:val="111111"/>
          <w:sz w:val="20"/>
          <w:szCs w:val="20"/>
        </w:rPr>
        <w:t>Vahlne</w:t>
      </w:r>
      <w:proofErr w:type="spellEnd"/>
      <w:r>
        <w:rPr>
          <w:color w:val="111111"/>
          <w:sz w:val="20"/>
          <w:szCs w:val="20"/>
        </w:rPr>
        <w:t xml:space="preserve">, J.-E. (2009). The Uppsala </w:t>
      </w:r>
      <w:proofErr w:type="spellStart"/>
      <w:r>
        <w:rPr>
          <w:color w:val="111111"/>
          <w:sz w:val="20"/>
          <w:szCs w:val="20"/>
        </w:rPr>
        <w:t>internationalization</w:t>
      </w:r>
      <w:proofErr w:type="spellEnd"/>
      <w:r>
        <w:rPr>
          <w:color w:val="111111"/>
          <w:sz w:val="20"/>
          <w:szCs w:val="20"/>
        </w:rPr>
        <w:t xml:space="preserve"> </w:t>
      </w:r>
      <w:proofErr w:type="spellStart"/>
      <w:r>
        <w:rPr>
          <w:color w:val="111111"/>
          <w:sz w:val="20"/>
          <w:szCs w:val="20"/>
        </w:rPr>
        <w:t>process</w:t>
      </w:r>
      <w:proofErr w:type="spellEnd"/>
      <w:r>
        <w:rPr>
          <w:color w:val="111111"/>
          <w:sz w:val="20"/>
          <w:szCs w:val="20"/>
        </w:rPr>
        <w:t xml:space="preserve"> </w:t>
      </w:r>
      <w:proofErr w:type="spellStart"/>
      <w:r>
        <w:rPr>
          <w:color w:val="111111"/>
          <w:sz w:val="20"/>
          <w:szCs w:val="20"/>
        </w:rPr>
        <w:t>model</w:t>
      </w:r>
      <w:proofErr w:type="spellEnd"/>
      <w:r>
        <w:rPr>
          <w:color w:val="111111"/>
          <w:sz w:val="20"/>
          <w:szCs w:val="20"/>
        </w:rPr>
        <w:t xml:space="preserve"> </w:t>
      </w:r>
      <w:proofErr w:type="spellStart"/>
      <w:r>
        <w:rPr>
          <w:color w:val="111111"/>
          <w:sz w:val="20"/>
          <w:szCs w:val="20"/>
        </w:rPr>
        <w:t>revisited</w:t>
      </w:r>
      <w:proofErr w:type="spellEnd"/>
      <w:r>
        <w:rPr>
          <w:color w:val="111111"/>
          <w:sz w:val="20"/>
          <w:szCs w:val="20"/>
        </w:rPr>
        <w:t xml:space="preserve">: From </w:t>
      </w:r>
      <w:proofErr w:type="spellStart"/>
      <w:r>
        <w:rPr>
          <w:color w:val="111111"/>
          <w:sz w:val="20"/>
          <w:szCs w:val="20"/>
        </w:rPr>
        <w:t>liability</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foreignness</w:t>
      </w:r>
      <w:proofErr w:type="spellEnd"/>
      <w:r>
        <w:rPr>
          <w:color w:val="111111"/>
          <w:sz w:val="20"/>
          <w:szCs w:val="20"/>
        </w:rPr>
        <w:t xml:space="preserve"> </w:t>
      </w:r>
      <w:proofErr w:type="spellStart"/>
      <w:r>
        <w:rPr>
          <w:color w:val="111111"/>
          <w:sz w:val="20"/>
          <w:szCs w:val="20"/>
        </w:rPr>
        <w:t>to</w:t>
      </w:r>
      <w:proofErr w:type="spellEnd"/>
      <w:r>
        <w:rPr>
          <w:color w:val="111111"/>
          <w:sz w:val="20"/>
          <w:szCs w:val="20"/>
        </w:rPr>
        <w:t xml:space="preserve"> </w:t>
      </w:r>
      <w:proofErr w:type="spellStart"/>
      <w:r>
        <w:rPr>
          <w:color w:val="111111"/>
          <w:sz w:val="20"/>
          <w:szCs w:val="20"/>
        </w:rPr>
        <w:t>liability</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outsidership</w:t>
      </w:r>
      <w:proofErr w:type="spellEnd"/>
      <w:r>
        <w:rPr>
          <w:color w:val="111111"/>
          <w:sz w:val="20"/>
          <w:szCs w:val="20"/>
        </w:rPr>
        <w:t xml:space="preserve">. </w:t>
      </w:r>
      <w:proofErr w:type="spellStart"/>
      <w:r>
        <w:rPr>
          <w:color w:val="111111"/>
          <w:sz w:val="20"/>
          <w:szCs w:val="20"/>
        </w:rPr>
        <w:t>Journal</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International Business </w:t>
      </w:r>
      <w:proofErr w:type="spellStart"/>
      <w:r>
        <w:rPr>
          <w:color w:val="111111"/>
          <w:sz w:val="20"/>
          <w:szCs w:val="20"/>
        </w:rPr>
        <w:t>Studies</w:t>
      </w:r>
      <w:proofErr w:type="spellEnd"/>
      <w:r>
        <w:rPr>
          <w:color w:val="111111"/>
          <w:sz w:val="20"/>
          <w:szCs w:val="20"/>
        </w:rPr>
        <w:t>, 40(9), 1411-1431. https://doi.org/10.1057/jibs.2009.24</w:t>
      </w:r>
    </w:p>
    <w:p w14:paraId="47B9DCDD" w14:textId="77777777" w:rsidR="0066201C" w:rsidRDefault="0066201C" w:rsidP="0066201C">
      <w:pPr>
        <w:spacing w:before="60" w:after="60" w:line="300" w:lineRule="auto"/>
        <w:ind w:left="720" w:hanging="720"/>
        <w:jc w:val="both"/>
      </w:pPr>
      <w:r>
        <w:rPr>
          <w:color w:val="111111"/>
          <w:sz w:val="20"/>
          <w:szCs w:val="20"/>
        </w:rPr>
        <w:t xml:space="preserve">Kostova, T. (1999). </w:t>
      </w:r>
      <w:proofErr w:type="spellStart"/>
      <w:r>
        <w:rPr>
          <w:color w:val="111111"/>
          <w:sz w:val="20"/>
          <w:szCs w:val="20"/>
        </w:rPr>
        <w:t>Transnational</w:t>
      </w:r>
      <w:proofErr w:type="spellEnd"/>
      <w:r>
        <w:rPr>
          <w:color w:val="111111"/>
          <w:sz w:val="20"/>
          <w:szCs w:val="20"/>
        </w:rPr>
        <w:t xml:space="preserve"> transfer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strategic</w:t>
      </w:r>
      <w:proofErr w:type="spellEnd"/>
      <w:r>
        <w:rPr>
          <w:color w:val="111111"/>
          <w:sz w:val="20"/>
          <w:szCs w:val="20"/>
        </w:rPr>
        <w:t xml:space="preserve"> </w:t>
      </w:r>
      <w:proofErr w:type="spellStart"/>
      <w:r>
        <w:rPr>
          <w:color w:val="111111"/>
          <w:sz w:val="20"/>
          <w:szCs w:val="20"/>
        </w:rPr>
        <w:t>organizational</w:t>
      </w:r>
      <w:proofErr w:type="spellEnd"/>
      <w:r>
        <w:rPr>
          <w:color w:val="111111"/>
          <w:sz w:val="20"/>
          <w:szCs w:val="20"/>
        </w:rPr>
        <w:t xml:space="preserve"> </w:t>
      </w:r>
      <w:proofErr w:type="spellStart"/>
      <w:r>
        <w:rPr>
          <w:color w:val="111111"/>
          <w:sz w:val="20"/>
          <w:szCs w:val="20"/>
        </w:rPr>
        <w:t>practices</w:t>
      </w:r>
      <w:proofErr w:type="spellEnd"/>
      <w:r>
        <w:rPr>
          <w:color w:val="111111"/>
          <w:sz w:val="20"/>
          <w:szCs w:val="20"/>
        </w:rPr>
        <w:t xml:space="preserve">: A contextual </w:t>
      </w:r>
      <w:proofErr w:type="spellStart"/>
      <w:r>
        <w:rPr>
          <w:color w:val="111111"/>
          <w:sz w:val="20"/>
          <w:szCs w:val="20"/>
        </w:rPr>
        <w:t>perspective</w:t>
      </w:r>
      <w:proofErr w:type="spellEnd"/>
      <w:r>
        <w:rPr>
          <w:color w:val="111111"/>
          <w:sz w:val="20"/>
          <w:szCs w:val="20"/>
        </w:rPr>
        <w:t xml:space="preserve">. </w:t>
      </w:r>
      <w:proofErr w:type="spellStart"/>
      <w:r>
        <w:rPr>
          <w:color w:val="111111"/>
          <w:sz w:val="20"/>
          <w:szCs w:val="20"/>
        </w:rPr>
        <w:t>Academy</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Management </w:t>
      </w:r>
      <w:proofErr w:type="spellStart"/>
      <w:r>
        <w:rPr>
          <w:color w:val="111111"/>
          <w:sz w:val="20"/>
          <w:szCs w:val="20"/>
        </w:rPr>
        <w:t>Review</w:t>
      </w:r>
      <w:proofErr w:type="spellEnd"/>
      <w:r>
        <w:rPr>
          <w:color w:val="111111"/>
          <w:sz w:val="20"/>
          <w:szCs w:val="20"/>
        </w:rPr>
        <w:t>, 24(2), 308-324. https://doi.org/10.5465/amr.1999.1893938</w:t>
      </w:r>
    </w:p>
    <w:p w14:paraId="405ADA3C" w14:textId="77777777" w:rsidR="0066201C" w:rsidRDefault="0066201C" w:rsidP="0066201C">
      <w:pPr>
        <w:spacing w:before="60" w:after="60" w:line="300" w:lineRule="auto"/>
        <w:ind w:left="720" w:hanging="720"/>
        <w:jc w:val="both"/>
      </w:pPr>
      <w:r>
        <w:rPr>
          <w:color w:val="111111"/>
          <w:sz w:val="20"/>
          <w:szCs w:val="20"/>
        </w:rPr>
        <w:t xml:space="preserve">North, D. C. (1990). </w:t>
      </w:r>
      <w:proofErr w:type="spellStart"/>
      <w:r>
        <w:rPr>
          <w:color w:val="111111"/>
          <w:sz w:val="20"/>
          <w:szCs w:val="20"/>
        </w:rPr>
        <w:t>Institutions</w:t>
      </w:r>
      <w:proofErr w:type="spellEnd"/>
      <w:r>
        <w:rPr>
          <w:color w:val="111111"/>
          <w:sz w:val="20"/>
          <w:szCs w:val="20"/>
        </w:rPr>
        <w:t xml:space="preserve">, </w:t>
      </w:r>
      <w:proofErr w:type="spellStart"/>
      <w:r>
        <w:rPr>
          <w:color w:val="111111"/>
          <w:sz w:val="20"/>
          <w:szCs w:val="20"/>
        </w:rPr>
        <w:t>institutional</w:t>
      </w:r>
      <w:proofErr w:type="spellEnd"/>
      <w:r>
        <w:rPr>
          <w:color w:val="111111"/>
          <w:sz w:val="20"/>
          <w:szCs w:val="20"/>
        </w:rPr>
        <w:t xml:space="preserve"> </w:t>
      </w:r>
      <w:proofErr w:type="spellStart"/>
      <w:r>
        <w:rPr>
          <w:color w:val="111111"/>
          <w:sz w:val="20"/>
          <w:szCs w:val="20"/>
        </w:rPr>
        <w:t>change</w:t>
      </w:r>
      <w:proofErr w:type="spellEnd"/>
      <w:r>
        <w:rPr>
          <w:color w:val="111111"/>
          <w:sz w:val="20"/>
          <w:szCs w:val="20"/>
        </w:rPr>
        <w:t xml:space="preserve"> and </w:t>
      </w:r>
      <w:proofErr w:type="spellStart"/>
      <w:r>
        <w:rPr>
          <w:color w:val="111111"/>
          <w:sz w:val="20"/>
          <w:szCs w:val="20"/>
        </w:rPr>
        <w:t>economic</w:t>
      </w:r>
      <w:proofErr w:type="spellEnd"/>
      <w:r>
        <w:rPr>
          <w:color w:val="111111"/>
          <w:sz w:val="20"/>
          <w:szCs w:val="20"/>
        </w:rPr>
        <w:t xml:space="preserve"> performance. Cambridge </w:t>
      </w:r>
      <w:proofErr w:type="spellStart"/>
      <w:r>
        <w:rPr>
          <w:color w:val="111111"/>
          <w:sz w:val="20"/>
          <w:szCs w:val="20"/>
        </w:rPr>
        <w:t>University</w:t>
      </w:r>
      <w:proofErr w:type="spellEnd"/>
      <w:r>
        <w:rPr>
          <w:color w:val="111111"/>
          <w:sz w:val="20"/>
          <w:szCs w:val="20"/>
        </w:rPr>
        <w:t xml:space="preserve"> Press. https://doi.org/10.1017/CBO9780511808678</w:t>
      </w:r>
    </w:p>
    <w:p w14:paraId="7873025D" w14:textId="77777777" w:rsidR="0066201C" w:rsidRDefault="0066201C" w:rsidP="0066201C">
      <w:pPr>
        <w:spacing w:before="60" w:after="60" w:line="300" w:lineRule="auto"/>
        <w:ind w:left="720" w:hanging="720"/>
        <w:jc w:val="both"/>
      </w:pPr>
      <w:r>
        <w:rPr>
          <w:color w:val="111111"/>
          <w:sz w:val="20"/>
          <w:szCs w:val="20"/>
        </w:rPr>
        <w:lastRenderedPageBreak/>
        <w:t xml:space="preserve">Oviatt, B. M., &amp; McDougall, P. P. (1994). Toward a </w:t>
      </w:r>
      <w:proofErr w:type="spellStart"/>
      <w:r>
        <w:rPr>
          <w:color w:val="111111"/>
          <w:sz w:val="20"/>
          <w:szCs w:val="20"/>
        </w:rPr>
        <w:t>theory</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international</w:t>
      </w:r>
      <w:proofErr w:type="spellEnd"/>
      <w:r>
        <w:rPr>
          <w:color w:val="111111"/>
          <w:sz w:val="20"/>
          <w:szCs w:val="20"/>
        </w:rPr>
        <w:t xml:space="preserve"> new ventures. </w:t>
      </w:r>
      <w:proofErr w:type="spellStart"/>
      <w:r>
        <w:rPr>
          <w:color w:val="111111"/>
          <w:sz w:val="20"/>
          <w:szCs w:val="20"/>
        </w:rPr>
        <w:t>Journal</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International Business </w:t>
      </w:r>
      <w:proofErr w:type="spellStart"/>
      <w:r>
        <w:rPr>
          <w:color w:val="111111"/>
          <w:sz w:val="20"/>
          <w:szCs w:val="20"/>
        </w:rPr>
        <w:t>Studies</w:t>
      </w:r>
      <w:proofErr w:type="spellEnd"/>
      <w:r>
        <w:rPr>
          <w:color w:val="111111"/>
          <w:sz w:val="20"/>
          <w:szCs w:val="20"/>
        </w:rPr>
        <w:t>, 25(1), 45-64. https://doi.org/10.1057/palgrave.jibs.8490193</w:t>
      </w:r>
    </w:p>
    <w:p w14:paraId="6F2EB06E" w14:textId="77777777" w:rsidR="0066201C" w:rsidRDefault="0066201C" w:rsidP="0066201C">
      <w:pPr>
        <w:spacing w:before="60" w:after="60" w:line="300" w:lineRule="auto"/>
        <w:ind w:left="720" w:hanging="720"/>
        <w:jc w:val="both"/>
      </w:pPr>
      <w:r>
        <w:rPr>
          <w:color w:val="111111"/>
          <w:sz w:val="20"/>
          <w:szCs w:val="20"/>
        </w:rPr>
        <w:t xml:space="preserve">Prahalad, C. K., &amp; Hamel, G. (1990). The </w:t>
      </w:r>
      <w:proofErr w:type="spellStart"/>
      <w:r>
        <w:rPr>
          <w:color w:val="111111"/>
          <w:sz w:val="20"/>
          <w:szCs w:val="20"/>
        </w:rPr>
        <w:t>core</w:t>
      </w:r>
      <w:proofErr w:type="spellEnd"/>
      <w:r>
        <w:rPr>
          <w:color w:val="111111"/>
          <w:sz w:val="20"/>
          <w:szCs w:val="20"/>
        </w:rPr>
        <w:t xml:space="preserve"> </w:t>
      </w:r>
      <w:proofErr w:type="spellStart"/>
      <w:r>
        <w:rPr>
          <w:color w:val="111111"/>
          <w:sz w:val="20"/>
          <w:szCs w:val="20"/>
        </w:rPr>
        <w:t>competence</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the</w:t>
      </w:r>
      <w:proofErr w:type="spellEnd"/>
      <w:r>
        <w:rPr>
          <w:color w:val="111111"/>
          <w:sz w:val="20"/>
          <w:szCs w:val="20"/>
        </w:rPr>
        <w:t xml:space="preserve"> </w:t>
      </w:r>
      <w:proofErr w:type="spellStart"/>
      <w:r>
        <w:rPr>
          <w:color w:val="111111"/>
          <w:sz w:val="20"/>
          <w:szCs w:val="20"/>
        </w:rPr>
        <w:t>corporation</w:t>
      </w:r>
      <w:proofErr w:type="spellEnd"/>
      <w:r>
        <w:rPr>
          <w:color w:val="111111"/>
          <w:sz w:val="20"/>
          <w:szCs w:val="20"/>
        </w:rPr>
        <w:t xml:space="preserve">. Harvard Business </w:t>
      </w:r>
      <w:proofErr w:type="spellStart"/>
      <w:r>
        <w:rPr>
          <w:color w:val="111111"/>
          <w:sz w:val="20"/>
          <w:szCs w:val="20"/>
        </w:rPr>
        <w:t>Review</w:t>
      </w:r>
      <w:proofErr w:type="spellEnd"/>
      <w:r>
        <w:rPr>
          <w:color w:val="111111"/>
          <w:sz w:val="20"/>
          <w:szCs w:val="20"/>
        </w:rPr>
        <w:t>, 68(3), 79-91. https://hbr.org/1990/05/the-core-competence-of-the-corporation</w:t>
      </w:r>
    </w:p>
    <w:p w14:paraId="6D335588" w14:textId="77777777" w:rsidR="0066201C" w:rsidRDefault="0066201C" w:rsidP="0066201C">
      <w:pPr>
        <w:spacing w:before="60" w:after="60" w:line="300" w:lineRule="auto"/>
        <w:ind w:left="720" w:hanging="720"/>
        <w:jc w:val="both"/>
      </w:pPr>
      <w:r>
        <w:rPr>
          <w:color w:val="111111"/>
          <w:sz w:val="20"/>
          <w:szCs w:val="20"/>
        </w:rPr>
        <w:t xml:space="preserve">Root, F. R. (1994). </w:t>
      </w:r>
      <w:proofErr w:type="spellStart"/>
      <w:r>
        <w:rPr>
          <w:color w:val="111111"/>
          <w:sz w:val="20"/>
          <w:szCs w:val="20"/>
        </w:rPr>
        <w:t>Entry</w:t>
      </w:r>
      <w:proofErr w:type="spellEnd"/>
      <w:r>
        <w:rPr>
          <w:color w:val="111111"/>
          <w:sz w:val="20"/>
          <w:szCs w:val="20"/>
        </w:rPr>
        <w:t xml:space="preserve"> </w:t>
      </w:r>
      <w:proofErr w:type="spellStart"/>
      <w:r>
        <w:rPr>
          <w:color w:val="111111"/>
          <w:sz w:val="20"/>
          <w:szCs w:val="20"/>
        </w:rPr>
        <w:t>strategies</w:t>
      </w:r>
      <w:proofErr w:type="spellEnd"/>
      <w:r>
        <w:rPr>
          <w:color w:val="111111"/>
          <w:sz w:val="20"/>
          <w:szCs w:val="20"/>
        </w:rPr>
        <w:t xml:space="preserve"> </w:t>
      </w:r>
      <w:proofErr w:type="spellStart"/>
      <w:r>
        <w:rPr>
          <w:color w:val="111111"/>
          <w:sz w:val="20"/>
          <w:szCs w:val="20"/>
        </w:rPr>
        <w:t>for</w:t>
      </w:r>
      <w:proofErr w:type="spellEnd"/>
      <w:r>
        <w:rPr>
          <w:color w:val="111111"/>
          <w:sz w:val="20"/>
          <w:szCs w:val="20"/>
        </w:rPr>
        <w:t xml:space="preserve"> </w:t>
      </w:r>
      <w:proofErr w:type="spellStart"/>
      <w:r>
        <w:rPr>
          <w:color w:val="111111"/>
          <w:sz w:val="20"/>
          <w:szCs w:val="20"/>
        </w:rPr>
        <w:t>international</w:t>
      </w:r>
      <w:proofErr w:type="spellEnd"/>
      <w:r>
        <w:rPr>
          <w:color w:val="111111"/>
          <w:sz w:val="20"/>
          <w:szCs w:val="20"/>
        </w:rPr>
        <w:t xml:space="preserve"> </w:t>
      </w:r>
      <w:proofErr w:type="spellStart"/>
      <w:r>
        <w:rPr>
          <w:color w:val="111111"/>
          <w:sz w:val="20"/>
          <w:szCs w:val="20"/>
        </w:rPr>
        <w:t>markets</w:t>
      </w:r>
      <w:proofErr w:type="spellEnd"/>
      <w:r>
        <w:rPr>
          <w:color w:val="111111"/>
          <w:sz w:val="20"/>
          <w:szCs w:val="20"/>
        </w:rPr>
        <w:t xml:space="preserve"> (2.ª ed.). Lexington Books.</w:t>
      </w:r>
    </w:p>
    <w:p w14:paraId="6565400F" w14:textId="77777777" w:rsidR="0066201C" w:rsidRDefault="0066201C" w:rsidP="0066201C">
      <w:pPr>
        <w:spacing w:before="60" w:after="60" w:line="300" w:lineRule="auto"/>
        <w:ind w:left="720" w:hanging="720"/>
        <w:jc w:val="both"/>
      </w:pPr>
      <w:r>
        <w:rPr>
          <w:color w:val="111111"/>
          <w:sz w:val="20"/>
          <w:szCs w:val="20"/>
        </w:rPr>
        <w:t xml:space="preserve">Tinbergen, J. (1962). </w:t>
      </w:r>
      <w:proofErr w:type="spellStart"/>
      <w:r>
        <w:rPr>
          <w:color w:val="111111"/>
          <w:sz w:val="20"/>
          <w:szCs w:val="20"/>
        </w:rPr>
        <w:t>Shaping</w:t>
      </w:r>
      <w:proofErr w:type="spellEnd"/>
      <w:r>
        <w:rPr>
          <w:color w:val="111111"/>
          <w:sz w:val="20"/>
          <w:szCs w:val="20"/>
        </w:rPr>
        <w:t xml:space="preserve"> </w:t>
      </w:r>
      <w:proofErr w:type="spellStart"/>
      <w:r>
        <w:rPr>
          <w:color w:val="111111"/>
          <w:sz w:val="20"/>
          <w:szCs w:val="20"/>
        </w:rPr>
        <w:t>the</w:t>
      </w:r>
      <w:proofErr w:type="spellEnd"/>
      <w:r>
        <w:rPr>
          <w:color w:val="111111"/>
          <w:sz w:val="20"/>
          <w:szCs w:val="20"/>
        </w:rPr>
        <w:t xml:space="preserve"> </w:t>
      </w:r>
      <w:proofErr w:type="spellStart"/>
      <w:r>
        <w:rPr>
          <w:color w:val="111111"/>
          <w:sz w:val="20"/>
          <w:szCs w:val="20"/>
        </w:rPr>
        <w:t>world</w:t>
      </w:r>
      <w:proofErr w:type="spellEnd"/>
      <w:r>
        <w:rPr>
          <w:color w:val="111111"/>
          <w:sz w:val="20"/>
          <w:szCs w:val="20"/>
        </w:rPr>
        <w:t xml:space="preserve"> </w:t>
      </w:r>
      <w:proofErr w:type="spellStart"/>
      <w:r>
        <w:rPr>
          <w:color w:val="111111"/>
          <w:sz w:val="20"/>
          <w:szCs w:val="20"/>
        </w:rPr>
        <w:t>economy</w:t>
      </w:r>
      <w:proofErr w:type="spellEnd"/>
      <w:r>
        <w:rPr>
          <w:color w:val="111111"/>
          <w:sz w:val="20"/>
          <w:szCs w:val="20"/>
        </w:rPr>
        <w:t xml:space="preserve">: </w:t>
      </w:r>
      <w:proofErr w:type="spellStart"/>
      <w:r>
        <w:rPr>
          <w:color w:val="111111"/>
          <w:sz w:val="20"/>
          <w:szCs w:val="20"/>
        </w:rPr>
        <w:t>Suggestions</w:t>
      </w:r>
      <w:proofErr w:type="spellEnd"/>
      <w:r>
        <w:rPr>
          <w:color w:val="111111"/>
          <w:sz w:val="20"/>
          <w:szCs w:val="20"/>
        </w:rPr>
        <w:t xml:space="preserve"> </w:t>
      </w:r>
      <w:proofErr w:type="spellStart"/>
      <w:r>
        <w:rPr>
          <w:color w:val="111111"/>
          <w:sz w:val="20"/>
          <w:szCs w:val="20"/>
        </w:rPr>
        <w:t>for</w:t>
      </w:r>
      <w:proofErr w:type="spellEnd"/>
      <w:r>
        <w:rPr>
          <w:color w:val="111111"/>
          <w:sz w:val="20"/>
          <w:szCs w:val="20"/>
        </w:rPr>
        <w:t xml:space="preserve"> </w:t>
      </w:r>
      <w:proofErr w:type="spellStart"/>
      <w:r>
        <w:rPr>
          <w:color w:val="111111"/>
          <w:sz w:val="20"/>
          <w:szCs w:val="20"/>
        </w:rPr>
        <w:t>an</w:t>
      </w:r>
      <w:proofErr w:type="spellEnd"/>
      <w:r>
        <w:rPr>
          <w:color w:val="111111"/>
          <w:sz w:val="20"/>
          <w:szCs w:val="20"/>
        </w:rPr>
        <w:t xml:space="preserve"> </w:t>
      </w:r>
      <w:proofErr w:type="spellStart"/>
      <w:r>
        <w:rPr>
          <w:color w:val="111111"/>
          <w:sz w:val="20"/>
          <w:szCs w:val="20"/>
        </w:rPr>
        <w:t>international</w:t>
      </w:r>
      <w:proofErr w:type="spellEnd"/>
      <w:r>
        <w:rPr>
          <w:color w:val="111111"/>
          <w:sz w:val="20"/>
          <w:szCs w:val="20"/>
        </w:rPr>
        <w:t xml:space="preserve"> </w:t>
      </w:r>
      <w:proofErr w:type="spellStart"/>
      <w:r>
        <w:rPr>
          <w:color w:val="111111"/>
          <w:sz w:val="20"/>
          <w:szCs w:val="20"/>
        </w:rPr>
        <w:t>economic</w:t>
      </w:r>
      <w:proofErr w:type="spellEnd"/>
      <w:r>
        <w:rPr>
          <w:color w:val="111111"/>
          <w:sz w:val="20"/>
          <w:szCs w:val="20"/>
        </w:rPr>
        <w:t xml:space="preserve"> </w:t>
      </w:r>
      <w:proofErr w:type="spellStart"/>
      <w:r>
        <w:rPr>
          <w:color w:val="111111"/>
          <w:sz w:val="20"/>
          <w:szCs w:val="20"/>
        </w:rPr>
        <w:t>policy</w:t>
      </w:r>
      <w:proofErr w:type="spellEnd"/>
      <w:r>
        <w:rPr>
          <w:color w:val="111111"/>
          <w:sz w:val="20"/>
          <w:szCs w:val="20"/>
        </w:rPr>
        <w:t xml:space="preserve">. </w:t>
      </w:r>
      <w:proofErr w:type="spellStart"/>
      <w:r>
        <w:rPr>
          <w:color w:val="111111"/>
          <w:sz w:val="20"/>
          <w:szCs w:val="20"/>
        </w:rPr>
        <w:t>Twentieth</w:t>
      </w:r>
      <w:proofErr w:type="spellEnd"/>
      <w:r>
        <w:rPr>
          <w:color w:val="111111"/>
          <w:sz w:val="20"/>
          <w:szCs w:val="20"/>
        </w:rPr>
        <w:t xml:space="preserve"> Century Fund.</w:t>
      </w:r>
    </w:p>
    <w:p w14:paraId="785770D0" w14:textId="77777777" w:rsidR="0066201C" w:rsidRDefault="0066201C" w:rsidP="0066201C">
      <w:pPr>
        <w:spacing w:before="60" w:after="60" w:line="300" w:lineRule="auto"/>
        <w:ind w:left="720" w:hanging="720"/>
        <w:jc w:val="both"/>
      </w:pPr>
      <w:proofErr w:type="spellStart"/>
      <w:r>
        <w:rPr>
          <w:color w:val="111111"/>
          <w:sz w:val="20"/>
          <w:szCs w:val="20"/>
        </w:rPr>
        <w:t>Xu</w:t>
      </w:r>
      <w:proofErr w:type="spellEnd"/>
      <w:r>
        <w:rPr>
          <w:color w:val="111111"/>
          <w:sz w:val="20"/>
          <w:szCs w:val="20"/>
        </w:rPr>
        <w:t xml:space="preserve">, D., &amp; </w:t>
      </w:r>
      <w:proofErr w:type="spellStart"/>
      <w:r>
        <w:rPr>
          <w:color w:val="111111"/>
          <w:sz w:val="20"/>
          <w:szCs w:val="20"/>
        </w:rPr>
        <w:t>Shenkar</w:t>
      </w:r>
      <w:proofErr w:type="spellEnd"/>
      <w:r>
        <w:rPr>
          <w:color w:val="111111"/>
          <w:sz w:val="20"/>
          <w:szCs w:val="20"/>
        </w:rPr>
        <w:t xml:space="preserve">, O. (2002). </w:t>
      </w:r>
      <w:proofErr w:type="spellStart"/>
      <w:r>
        <w:rPr>
          <w:color w:val="111111"/>
          <w:sz w:val="20"/>
          <w:szCs w:val="20"/>
        </w:rPr>
        <w:t>Institutional</w:t>
      </w:r>
      <w:proofErr w:type="spellEnd"/>
      <w:r>
        <w:rPr>
          <w:color w:val="111111"/>
          <w:sz w:val="20"/>
          <w:szCs w:val="20"/>
        </w:rPr>
        <w:t xml:space="preserve"> </w:t>
      </w:r>
      <w:proofErr w:type="spellStart"/>
      <w:r>
        <w:rPr>
          <w:color w:val="111111"/>
          <w:sz w:val="20"/>
          <w:szCs w:val="20"/>
        </w:rPr>
        <w:t>distance</w:t>
      </w:r>
      <w:proofErr w:type="spellEnd"/>
      <w:r>
        <w:rPr>
          <w:color w:val="111111"/>
          <w:sz w:val="20"/>
          <w:szCs w:val="20"/>
        </w:rPr>
        <w:t xml:space="preserve"> and </w:t>
      </w:r>
      <w:proofErr w:type="spellStart"/>
      <w:r>
        <w:rPr>
          <w:color w:val="111111"/>
          <w:sz w:val="20"/>
          <w:szCs w:val="20"/>
        </w:rPr>
        <w:t>the</w:t>
      </w:r>
      <w:proofErr w:type="spellEnd"/>
      <w:r>
        <w:rPr>
          <w:color w:val="111111"/>
          <w:sz w:val="20"/>
          <w:szCs w:val="20"/>
        </w:rPr>
        <w:t xml:space="preserve"> </w:t>
      </w:r>
      <w:proofErr w:type="spellStart"/>
      <w:r>
        <w:rPr>
          <w:color w:val="111111"/>
          <w:sz w:val="20"/>
          <w:szCs w:val="20"/>
        </w:rPr>
        <w:t>multinational</w:t>
      </w:r>
      <w:proofErr w:type="spellEnd"/>
      <w:r>
        <w:rPr>
          <w:color w:val="111111"/>
          <w:sz w:val="20"/>
          <w:szCs w:val="20"/>
        </w:rPr>
        <w:t xml:space="preserve"> </w:t>
      </w:r>
      <w:proofErr w:type="spellStart"/>
      <w:r>
        <w:rPr>
          <w:color w:val="111111"/>
          <w:sz w:val="20"/>
          <w:szCs w:val="20"/>
        </w:rPr>
        <w:t>enterprise</w:t>
      </w:r>
      <w:proofErr w:type="spellEnd"/>
      <w:r>
        <w:rPr>
          <w:color w:val="111111"/>
          <w:sz w:val="20"/>
          <w:szCs w:val="20"/>
        </w:rPr>
        <w:t xml:space="preserve">. </w:t>
      </w:r>
      <w:proofErr w:type="spellStart"/>
      <w:r>
        <w:rPr>
          <w:color w:val="111111"/>
          <w:sz w:val="20"/>
          <w:szCs w:val="20"/>
        </w:rPr>
        <w:t>Academy</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Management </w:t>
      </w:r>
      <w:proofErr w:type="spellStart"/>
      <w:r>
        <w:rPr>
          <w:color w:val="111111"/>
          <w:sz w:val="20"/>
          <w:szCs w:val="20"/>
        </w:rPr>
        <w:t>Review</w:t>
      </w:r>
      <w:proofErr w:type="spellEnd"/>
      <w:r>
        <w:rPr>
          <w:color w:val="111111"/>
          <w:sz w:val="20"/>
          <w:szCs w:val="20"/>
        </w:rPr>
        <w:t>, 27(4), 608-618. https://doi.org/10.2307/4134406</w:t>
      </w:r>
    </w:p>
    <w:p w14:paraId="4D8FD4F2" w14:textId="77777777" w:rsidR="0066201C" w:rsidRDefault="0066201C" w:rsidP="0066201C">
      <w:pPr>
        <w:spacing w:after="100"/>
      </w:pPr>
    </w:p>
    <w:p w14:paraId="21E92BA5" w14:textId="77777777" w:rsidR="0066201C" w:rsidRDefault="0066201C" w:rsidP="0066201C">
      <w:pPr>
        <w:pStyle w:val="Ttulo2"/>
        <w:pBdr>
          <w:bottom w:val="single" w:sz="4" w:space="4" w:color="E8B931"/>
        </w:pBdr>
      </w:pPr>
      <w:bookmarkStart w:id="111" w:name="_Toc232659660"/>
      <w:r>
        <w:t>II — Modelos de selección de mercados y métodos MCDM</w:t>
      </w:r>
      <w:bookmarkEnd w:id="111"/>
    </w:p>
    <w:p w14:paraId="093C29B8" w14:textId="77777777" w:rsidR="0066201C" w:rsidRDefault="0066201C" w:rsidP="0066201C">
      <w:pPr>
        <w:spacing w:after="100"/>
      </w:pPr>
    </w:p>
    <w:p w14:paraId="641923FA" w14:textId="77777777" w:rsidR="0066201C" w:rsidRDefault="0066201C" w:rsidP="0066201C">
      <w:pPr>
        <w:spacing w:before="60" w:after="60" w:line="300" w:lineRule="auto"/>
        <w:ind w:left="720" w:hanging="720"/>
        <w:jc w:val="both"/>
      </w:pPr>
      <w:proofErr w:type="spellStart"/>
      <w:r>
        <w:rPr>
          <w:color w:val="111111"/>
          <w:sz w:val="20"/>
          <w:szCs w:val="20"/>
        </w:rPr>
        <w:t>Cavusgil</w:t>
      </w:r>
      <w:proofErr w:type="spellEnd"/>
      <w:r>
        <w:rPr>
          <w:color w:val="111111"/>
          <w:sz w:val="20"/>
          <w:szCs w:val="20"/>
        </w:rPr>
        <w:t xml:space="preserve">, S. T., Knight, G., &amp; Riesenberger, J. R. (2008). International </w:t>
      </w:r>
      <w:proofErr w:type="spellStart"/>
      <w:r>
        <w:rPr>
          <w:color w:val="111111"/>
          <w:sz w:val="20"/>
          <w:szCs w:val="20"/>
        </w:rPr>
        <w:t>business</w:t>
      </w:r>
      <w:proofErr w:type="spellEnd"/>
      <w:r>
        <w:rPr>
          <w:color w:val="111111"/>
          <w:sz w:val="20"/>
          <w:szCs w:val="20"/>
        </w:rPr>
        <w:t xml:space="preserve">: The new </w:t>
      </w:r>
      <w:proofErr w:type="spellStart"/>
      <w:r>
        <w:rPr>
          <w:color w:val="111111"/>
          <w:sz w:val="20"/>
          <w:szCs w:val="20"/>
        </w:rPr>
        <w:t>realities</w:t>
      </w:r>
      <w:proofErr w:type="spellEnd"/>
      <w:r>
        <w:rPr>
          <w:color w:val="111111"/>
          <w:sz w:val="20"/>
          <w:szCs w:val="20"/>
        </w:rPr>
        <w:t>. Pearson.</w:t>
      </w:r>
    </w:p>
    <w:p w14:paraId="33860723" w14:textId="77777777" w:rsidR="0066201C" w:rsidRDefault="0066201C" w:rsidP="0066201C">
      <w:pPr>
        <w:spacing w:before="60" w:after="60" w:line="300" w:lineRule="auto"/>
        <w:ind w:left="720" w:hanging="720"/>
        <w:jc w:val="both"/>
      </w:pPr>
      <w:r>
        <w:rPr>
          <w:color w:val="111111"/>
          <w:sz w:val="20"/>
          <w:szCs w:val="20"/>
        </w:rPr>
        <w:t xml:space="preserve">Douglas, S. P., &amp; Craig, C. S. (1992). </w:t>
      </w:r>
      <w:proofErr w:type="spellStart"/>
      <w:r>
        <w:rPr>
          <w:color w:val="111111"/>
          <w:sz w:val="20"/>
          <w:szCs w:val="20"/>
        </w:rPr>
        <w:t>Advances</w:t>
      </w:r>
      <w:proofErr w:type="spellEnd"/>
      <w:r>
        <w:rPr>
          <w:color w:val="111111"/>
          <w:sz w:val="20"/>
          <w:szCs w:val="20"/>
        </w:rPr>
        <w:t xml:space="preserve"> in </w:t>
      </w:r>
      <w:proofErr w:type="spellStart"/>
      <w:r>
        <w:rPr>
          <w:color w:val="111111"/>
          <w:sz w:val="20"/>
          <w:szCs w:val="20"/>
        </w:rPr>
        <w:t>international</w:t>
      </w:r>
      <w:proofErr w:type="spellEnd"/>
      <w:r>
        <w:rPr>
          <w:color w:val="111111"/>
          <w:sz w:val="20"/>
          <w:szCs w:val="20"/>
        </w:rPr>
        <w:t xml:space="preserve"> marketing. International </w:t>
      </w:r>
      <w:proofErr w:type="spellStart"/>
      <w:r>
        <w:rPr>
          <w:color w:val="111111"/>
          <w:sz w:val="20"/>
          <w:szCs w:val="20"/>
        </w:rPr>
        <w:t>Journal</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Research</w:t>
      </w:r>
      <w:proofErr w:type="spellEnd"/>
      <w:r>
        <w:rPr>
          <w:color w:val="111111"/>
          <w:sz w:val="20"/>
          <w:szCs w:val="20"/>
        </w:rPr>
        <w:t xml:space="preserve"> in Marketing, 9(4), 291-318. https://doi.org/10.1016/0167-8116(92)90003-4</w:t>
      </w:r>
    </w:p>
    <w:p w14:paraId="37CC90F9" w14:textId="77777777" w:rsidR="0066201C" w:rsidRDefault="0066201C" w:rsidP="0066201C">
      <w:pPr>
        <w:spacing w:before="60" w:after="60" w:line="300" w:lineRule="auto"/>
        <w:ind w:left="720" w:hanging="720"/>
        <w:jc w:val="both"/>
      </w:pPr>
      <w:r>
        <w:rPr>
          <w:color w:val="111111"/>
          <w:sz w:val="20"/>
          <w:szCs w:val="20"/>
        </w:rPr>
        <w:t xml:space="preserve">Hwang, C. L., &amp; Yoon, K. (1981). </w:t>
      </w:r>
      <w:proofErr w:type="spellStart"/>
      <w:r>
        <w:rPr>
          <w:color w:val="111111"/>
          <w:sz w:val="20"/>
          <w:szCs w:val="20"/>
        </w:rPr>
        <w:t>Multiple</w:t>
      </w:r>
      <w:proofErr w:type="spellEnd"/>
      <w:r>
        <w:rPr>
          <w:color w:val="111111"/>
          <w:sz w:val="20"/>
          <w:szCs w:val="20"/>
        </w:rPr>
        <w:t xml:space="preserve"> </w:t>
      </w:r>
      <w:proofErr w:type="spellStart"/>
      <w:r>
        <w:rPr>
          <w:color w:val="111111"/>
          <w:sz w:val="20"/>
          <w:szCs w:val="20"/>
        </w:rPr>
        <w:t>attribute</w:t>
      </w:r>
      <w:proofErr w:type="spellEnd"/>
      <w:r>
        <w:rPr>
          <w:color w:val="111111"/>
          <w:sz w:val="20"/>
          <w:szCs w:val="20"/>
        </w:rPr>
        <w:t xml:space="preserve"> </w:t>
      </w:r>
      <w:proofErr w:type="spellStart"/>
      <w:r>
        <w:rPr>
          <w:color w:val="111111"/>
          <w:sz w:val="20"/>
          <w:szCs w:val="20"/>
        </w:rPr>
        <w:t>decision</w:t>
      </w:r>
      <w:proofErr w:type="spellEnd"/>
      <w:r>
        <w:rPr>
          <w:color w:val="111111"/>
          <w:sz w:val="20"/>
          <w:szCs w:val="20"/>
        </w:rPr>
        <w:t xml:space="preserve"> </w:t>
      </w:r>
      <w:proofErr w:type="spellStart"/>
      <w:r>
        <w:rPr>
          <w:color w:val="111111"/>
          <w:sz w:val="20"/>
          <w:szCs w:val="20"/>
        </w:rPr>
        <w:t>making</w:t>
      </w:r>
      <w:proofErr w:type="spellEnd"/>
      <w:r>
        <w:rPr>
          <w:color w:val="111111"/>
          <w:sz w:val="20"/>
          <w:szCs w:val="20"/>
        </w:rPr>
        <w:t xml:space="preserve">: </w:t>
      </w:r>
      <w:proofErr w:type="spellStart"/>
      <w:r>
        <w:rPr>
          <w:color w:val="111111"/>
          <w:sz w:val="20"/>
          <w:szCs w:val="20"/>
        </w:rPr>
        <w:t>Methods</w:t>
      </w:r>
      <w:proofErr w:type="spellEnd"/>
      <w:r>
        <w:rPr>
          <w:color w:val="111111"/>
          <w:sz w:val="20"/>
          <w:szCs w:val="20"/>
        </w:rPr>
        <w:t xml:space="preserve"> and </w:t>
      </w:r>
      <w:proofErr w:type="spellStart"/>
      <w:r>
        <w:rPr>
          <w:color w:val="111111"/>
          <w:sz w:val="20"/>
          <w:szCs w:val="20"/>
        </w:rPr>
        <w:t>applications</w:t>
      </w:r>
      <w:proofErr w:type="spellEnd"/>
      <w:r>
        <w:rPr>
          <w:color w:val="111111"/>
          <w:sz w:val="20"/>
          <w:szCs w:val="20"/>
        </w:rPr>
        <w:t xml:space="preserve"> — A </w:t>
      </w:r>
      <w:proofErr w:type="spellStart"/>
      <w:r>
        <w:rPr>
          <w:color w:val="111111"/>
          <w:sz w:val="20"/>
          <w:szCs w:val="20"/>
        </w:rPr>
        <w:t>state</w:t>
      </w:r>
      <w:proofErr w:type="spellEnd"/>
      <w:r>
        <w:rPr>
          <w:color w:val="111111"/>
          <w:sz w:val="20"/>
          <w:szCs w:val="20"/>
        </w:rPr>
        <w:t>-</w:t>
      </w:r>
      <w:proofErr w:type="spellStart"/>
      <w:r>
        <w:rPr>
          <w:color w:val="111111"/>
          <w:sz w:val="20"/>
          <w:szCs w:val="20"/>
        </w:rPr>
        <w:t>of</w:t>
      </w:r>
      <w:proofErr w:type="spellEnd"/>
      <w:r>
        <w:rPr>
          <w:color w:val="111111"/>
          <w:sz w:val="20"/>
          <w:szCs w:val="20"/>
        </w:rPr>
        <w:t>-</w:t>
      </w:r>
      <w:proofErr w:type="spellStart"/>
      <w:r>
        <w:rPr>
          <w:color w:val="111111"/>
          <w:sz w:val="20"/>
          <w:szCs w:val="20"/>
        </w:rPr>
        <w:t>the</w:t>
      </w:r>
      <w:proofErr w:type="spellEnd"/>
      <w:r>
        <w:rPr>
          <w:color w:val="111111"/>
          <w:sz w:val="20"/>
          <w:szCs w:val="20"/>
        </w:rPr>
        <w:t xml:space="preserve">-art </w:t>
      </w:r>
      <w:proofErr w:type="spellStart"/>
      <w:r>
        <w:rPr>
          <w:color w:val="111111"/>
          <w:sz w:val="20"/>
          <w:szCs w:val="20"/>
        </w:rPr>
        <w:t>survey</w:t>
      </w:r>
      <w:proofErr w:type="spellEnd"/>
      <w:r>
        <w:rPr>
          <w:color w:val="111111"/>
          <w:sz w:val="20"/>
          <w:szCs w:val="20"/>
        </w:rPr>
        <w:t>. Springer-</w:t>
      </w:r>
      <w:proofErr w:type="spellStart"/>
      <w:r>
        <w:rPr>
          <w:color w:val="111111"/>
          <w:sz w:val="20"/>
          <w:szCs w:val="20"/>
        </w:rPr>
        <w:t>Verlag</w:t>
      </w:r>
      <w:proofErr w:type="spellEnd"/>
      <w:r>
        <w:rPr>
          <w:color w:val="111111"/>
          <w:sz w:val="20"/>
          <w:szCs w:val="20"/>
        </w:rPr>
        <w:t>. https://doi.org/10.1007/978-3-642-48318-9</w:t>
      </w:r>
    </w:p>
    <w:p w14:paraId="3DE27055" w14:textId="77777777" w:rsidR="0066201C" w:rsidRDefault="0066201C" w:rsidP="0066201C">
      <w:pPr>
        <w:spacing w:before="60" w:after="60" w:line="300" w:lineRule="auto"/>
        <w:ind w:left="720" w:hanging="720"/>
        <w:jc w:val="both"/>
      </w:pPr>
      <w:r>
        <w:rPr>
          <w:color w:val="111111"/>
          <w:sz w:val="20"/>
          <w:szCs w:val="20"/>
        </w:rPr>
        <w:t xml:space="preserve">Opricovic, S., &amp; Tzeng, G.-H. (2004). </w:t>
      </w:r>
      <w:proofErr w:type="spellStart"/>
      <w:r>
        <w:rPr>
          <w:color w:val="111111"/>
          <w:sz w:val="20"/>
          <w:szCs w:val="20"/>
        </w:rPr>
        <w:t>Compromise</w:t>
      </w:r>
      <w:proofErr w:type="spellEnd"/>
      <w:r>
        <w:rPr>
          <w:color w:val="111111"/>
          <w:sz w:val="20"/>
          <w:szCs w:val="20"/>
        </w:rPr>
        <w:t xml:space="preserve"> </w:t>
      </w:r>
      <w:proofErr w:type="spellStart"/>
      <w:r>
        <w:rPr>
          <w:color w:val="111111"/>
          <w:sz w:val="20"/>
          <w:szCs w:val="20"/>
        </w:rPr>
        <w:t>solution</w:t>
      </w:r>
      <w:proofErr w:type="spellEnd"/>
      <w:r>
        <w:rPr>
          <w:color w:val="111111"/>
          <w:sz w:val="20"/>
          <w:szCs w:val="20"/>
        </w:rPr>
        <w:t xml:space="preserve"> </w:t>
      </w:r>
      <w:proofErr w:type="spellStart"/>
      <w:r>
        <w:rPr>
          <w:color w:val="111111"/>
          <w:sz w:val="20"/>
          <w:szCs w:val="20"/>
        </w:rPr>
        <w:t>by</w:t>
      </w:r>
      <w:proofErr w:type="spellEnd"/>
      <w:r>
        <w:rPr>
          <w:color w:val="111111"/>
          <w:sz w:val="20"/>
          <w:szCs w:val="20"/>
        </w:rPr>
        <w:t xml:space="preserve"> MCDM </w:t>
      </w:r>
      <w:proofErr w:type="spellStart"/>
      <w:r>
        <w:rPr>
          <w:color w:val="111111"/>
          <w:sz w:val="20"/>
          <w:szCs w:val="20"/>
        </w:rPr>
        <w:t>methods</w:t>
      </w:r>
      <w:proofErr w:type="spellEnd"/>
      <w:r>
        <w:rPr>
          <w:color w:val="111111"/>
          <w:sz w:val="20"/>
          <w:szCs w:val="20"/>
        </w:rPr>
        <w:t xml:space="preserve">: A comparative </w:t>
      </w:r>
      <w:proofErr w:type="spellStart"/>
      <w:r>
        <w:rPr>
          <w:color w:val="111111"/>
          <w:sz w:val="20"/>
          <w:szCs w:val="20"/>
        </w:rPr>
        <w:t>analysis</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VIKOR and TOPSIS. </w:t>
      </w:r>
      <w:proofErr w:type="spellStart"/>
      <w:r>
        <w:rPr>
          <w:color w:val="111111"/>
          <w:sz w:val="20"/>
          <w:szCs w:val="20"/>
        </w:rPr>
        <w:t>European</w:t>
      </w:r>
      <w:proofErr w:type="spellEnd"/>
      <w:r>
        <w:rPr>
          <w:color w:val="111111"/>
          <w:sz w:val="20"/>
          <w:szCs w:val="20"/>
        </w:rPr>
        <w:t xml:space="preserve"> </w:t>
      </w:r>
      <w:proofErr w:type="spellStart"/>
      <w:r>
        <w:rPr>
          <w:color w:val="111111"/>
          <w:sz w:val="20"/>
          <w:szCs w:val="20"/>
        </w:rPr>
        <w:t>Journal</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Operational</w:t>
      </w:r>
      <w:proofErr w:type="spellEnd"/>
      <w:r>
        <w:rPr>
          <w:color w:val="111111"/>
          <w:sz w:val="20"/>
          <w:szCs w:val="20"/>
        </w:rPr>
        <w:t xml:space="preserve"> </w:t>
      </w:r>
      <w:proofErr w:type="spellStart"/>
      <w:r>
        <w:rPr>
          <w:color w:val="111111"/>
          <w:sz w:val="20"/>
          <w:szCs w:val="20"/>
        </w:rPr>
        <w:t>Research</w:t>
      </w:r>
      <w:proofErr w:type="spellEnd"/>
      <w:r>
        <w:rPr>
          <w:color w:val="111111"/>
          <w:sz w:val="20"/>
          <w:szCs w:val="20"/>
        </w:rPr>
        <w:t>, 156(2), 445-455. https://doi.org/10.1016/S0377-2217(03)00020-1</w:t>
      </w:r>
    </w:p>
    <w:p w14:paraId="32FC387C" w14:textId="77777777" w:rsidR="0066201C" w:rsidRDefault="0066201C" w:rsidP="0066201C">
      <w:pPr>
        <w:spacing w:before="60" w:after="60" w:line="300" w:lineRule="auto"/>
        <w:ind w:left="720" w:hanging="720"/>
        <w:jc w:val="both"/>
      </w:pPr>
      <w:r>
        <w:rPr>
          <w:color w:val="111111"/>
          <w:sz w:val="20"/>
          <w:szCs w:val="20"/>
        </w:rPr>
        <w:t>Rezaei, J. (2015). Best-</w:t>
      </w:r>
      <w:proofErr w:type="spellStart"/>
      <w:r>
        <w:rPr>
          <w:color w:val="111111"/>
          <w:sz w:val="20"/>
          <w:szCs w:val="20"/>
        </w:rPr>
        <w:t>worst</w:t>
      </w:r>
      <w:proofErr w:type="spellEnd"/>
      <w:r>
        <w:rPr>
          <w:color w:val="111111"/>
          <w:sz w:val="20"/>
          <w:szCs w:val="20"/>
        </w:rPr>
        <w:t xml:space="preserve"> </w:t>
      </w:r>
      <w:proofErr w:type="spellStart"/>
      <w:r>
        <w:rPr>
          <w:color w:val="111111"/>
          <w:sz w:val="20"/>
          <w:szCs w:val="20"/>
        </w:rPr>
        <w:t>multi-criteria</w:t>
      </w:r>
      <w:proofErr w:type="spellEnd"/>
      <w:r>
        <w:rPr>
          <w:color w:val="111111"/>
          <w:sz w:val="20"/>
          <w:szCs w:val="20"/>
        </w:rPr>
        <w:t xml:space="preserve"> </w:t>
      </w:r>
      <w:proofErr w:type="spellStart"/>
      <w:r>
        <w:rPr>
          <w:color w:val="111111"/>
          <w:sz w:val="20"/>
          <w:szCs w:val="20"/>
        </w:rPr>
        <w:t>decision-making</w:t>
      </w:r>
      <w:proofErr w:type="spellEnd"/>
      <w:r>
        <w:rPr>
          <w:color w:val="111111"/>
          <w:sz w:val="20"/>
          <w:szCs w:val="20"/>
        </w:rPr>
        <w:t xml:space="preserve"> </w:t>
      </w:r>
      <w:proofErr w:type="spellStart"/>
      <w:r>
        <w:rPr>
          <w:color w:val="111111"/>
          <w:sz w:val="20"/>
          <w:szCs w:val="20"/>
        </w:rPr>
        <w:t>method</w:t>
      </w:r>
      <w:proofErr w:type="spellEnd"/>
      <w:r>
        <w:rPr>
          <w:color w:val="111111"/>
          <w:sz w:val="20"/>
          <w:szCs w:val="20"/>
        </w:rPr>
        <w:t>. Omega, 53, 49-57. https://doi.org/10.1016/j.omega.2014.11.009</w:t>
      </w:r>
    </w:p>
    <w:p w14:paraId="110FAB17" w14:textId="77777777" w:rsidR="0066201C" w:rsidRDefault="0066201C" w:rsidP="0066201C">
      <w:pPr>
        <w:spacing w:after="100"/>
      </w:pPr>
    </w:p>
    <w:p w14:paraId="2123541E" w14:textId="77777777" w:rsidR="0066201C" w:rsidRDefault="0066201C" w:rsidP="0066201C">
      <w:pPr>
        <w:pStyle w:val="Ttulo2"/>
        <w:pBdr>
          <w:bottom w:val="single" w:sz="4" w:space="4" w:color="E8B931"/>
        </w:pBdr>
      </w:pPr>
      <w:bookmarkStart w:id="112" w:name="_Toc232659661"/>
      <w:r>
        <w:t>III — Internacionalización bancaria y de servicios financieros</w:t>
      </w:r>
      <w:bookmarkEnd w:id="112"/>
    </w:p>
    <w:p w14:paraId="635ED6AB" w14:textId="77777777" w:rsidR="0066201C" w:rsidRDefault="0066201C" w:rsidP="0066201C">
      <w:pPr>
        <w:spacing w:after="100"/>
      </w:pPr>
    </w:p>
    <w:p w14:paraId="485E3ACF" w14:textId="77777777" w:rsidR="0066201C" w:rsidRDefault="0066201C" w:rsidP="0066201C">
      <w:pPr>
        <w:spacing w:before="60" w:after="60" w:line="300" w:lineRule="auto"/>
        <w:ind w:left="720" w:hanging="720"/>
        <w:jc w:val="both"/>
      </w:pPr>
      <w:r>
        <w:rPr>
          <w:color w:val="111111"/>
          <w:sz w:val="20"/>
          <w:szCs w:val="20"/>
        </w:rPr>
        <w:t xml:space="preserve">Bank </w:t>
      </w:r>
      <w:proofErr w:type="spellStart"/>
      <w:r>
        <w:rPr>
          <w:color w:val="111111"/>
          <w:sz w:val="20"/>
          <w:szCs w:val="20"/>
        </w:rPr>
        <w:t>for</w:t>
      </w:r>
      <w:proofErr w:type="spellEnd"/>
      <w:r>
        <w:rPr>
          <w:color w:val="111111"/>
          <w:sz w:val="20"/>
          <w:szCs w:val="20"/>
        </w:rPr>
        <w:t xml:space="preserve"> International </w:t>
      </w:r>
      <w:proofErr w:type="spellStart"/>
      <w:r>
        <w:rPr>
          <w:color w:val="111111"/>
          <w:sz w:val="20"/>
          <w:szCs w:val="20"/>
        </w:rPr>
        <w:t>Settlements</w:t>
      </w:r>
      <w:proofErr w:type="spellEnd"/>
      <w:r>
        <w:rPr>
          <w:color w:val="111111"/>
          <w:sz w:val="20"/>
          <w:szCs w:val="20"/>
        </w:rPr>
        <w:t xml:space="preserve">. (2021). </w:t>
      </w:r>
      <w:proofErr w:type="spellStart"/>
      <w:r>
        <w:rPr>
          <w:color w:val="111111"/>
          <w:sz w:val="20"/>
          <w:szCs w:val="20"/>
        </w:rPr>
        <w:t>Annual</w:t>
      </w:r>
      <w:proofErr w:type="spellEnd"/>
      <w:r>
        <w:rPr>
          <w:color w:val="111111"/>
          <w:sz w:val="20"/>
          <w:szCs w:val="20"/>
        </w:rPr>
        <w:t xml:space="preserve"> </w:t>
      </w:r>
      <w:proofErr w:type="spellStart"/>
      <w:r>
        <w:rPr>
          <w:color w:val="111111"/>
          <w:sz w:val="20"/>
          <w:szCs w:val="20"/>
        </w:rPr>
        <w:t>economic</w:t>
      </w:r>
      <w:proofErr w:type="spellEnd"/>
      <w:r>
        <w:rPr>
          <w:color w:val="111111"/>
          <w:sz w:val="20"/>
          <w:szCs w:val="20"/>
        </w:rPr>
        <w:t xml:space="preserve"> </w:t>
      </w:r>
      <w:proofErr w:type="spellStart"/>
      <w:r>
        <w:rPr>
          <w:color w:val="111111"/>
          <w:sz w:val="20"/>
          <w:szCs w:val="20"/>
        </w:rPr>
        <w:t>report</w:t>
      </w:r>
      <w:proofErr w:type="spellEnd"/>
      <w:r>
        <w:rPr>
          <w:color w:val="111111"/>
          <w:sz w:val="20"/>
          <w:szCs w:val="20"/>
        </w:rPr>
        <w:t>. BIS. https://www.bis.org/publ/arpdf/ar2021e.htm</w:t>
      </w:r>
    </w:p>
    <w:p w14:paraId="6202E51F" w14:textId="77777777" w:rsidR="0066201C" w:rsidRDefault="0066201C" w:rsidP="0066201C">
      <w:pPr>
        <w:spacing w:before="60" w:after="60" w:line="300" w:lineRule="auto"/>
        <w:ind w:left="720" w:hanging="720"/>
        <w:jc w:val="both"/>
      </w:pPr>
      <w:r>
        <w:rPr>
          <w:color w:val="111111"/>
          <w:sz w:val="20"/>
          <w:szCs w:val="20"/>
        </w:rPr>
        <w:t xml:space="preserve">Claessens, S., &amp; Van Horen, N. (2014). Foreign </w:t>
      </w:r>
      <w:proofErr w:type="spellStart"/>
      <w:r>
        <w:rPr>
          <w:color w:val="111111"/>
          <w:sz w:val="20"/>
          <w:szCs w:val="20"/>
        </w:rPr>
        <w:t>banks</w:t>
      </w:r>
      <w:proofErr w:type="spellEnd"/>
      <w:r>
        <w:rPr>
          <w:color w:val="111111"/>
          <w:sz w:val="20"/>
          <w:szCs w:val="20"/>
        </w:rPr>
        <w:t xml:space="preserve">: </w:t>
      </w:r>
      <w:proofErr w:type="spellStart"/>
      <w:r>
        <w:rPr>
          <w:color w:val="111111"/>
          <w:sz w:val="20"/>
          <w:szCs w:val="20"/>
        </w:rPr>
        <w:t>Trends</w:t>
      </w:r>
      <w:proofErr w:type="spellEnd"/>
      <w:r>
        <w:rPr>
          <w:color w:val="111111"/>
          <w:sz w:val="20"/>
          <w:szCs w:val="20"/>
        </w:rPr>
        <w:t xml:space="preserve"> and </w:t>
      </w:r>
      <w:proofErr w:type="spellStart"/>
      <w:r>
        <w:rPr>
          <w:color w:val="111111"/>
          <w:sz w:val="20"/>
          <w:szCs w:val="20"/>
        </w:rPr>
        <w:t>impact</w:t>
      </w:r>
      <w:proofErr w:type="spellEnd"/>
      <w:r>
        <w:rPr>
          <w:color w:val="111111"/>
          <w:sz w:val="20"/>
          <w:szCs w:val="20"/>
        </w:rPr>
        <w:t xml:space="preserve">. </w:t>
      </w:r>
      <w:proofErr w:type="spellStart"/>
      <w:r>
        <w:rPr>
          <w:color w:val="111111"/>
          <w:sz w:val="20"/>
          <w:szCs w:val="20"/>
        </w:rPr>
        <w:t>Journal</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Money, Credit and </w:t>
      </w:r>
      <w:proofErr w:type="spellStart"/>
      <w:r>
        <w:rPr>
          <w:color w:val="111111"/>
          <w:sz w:val="20"/>
          <w:szCs w:val="20"/>
        </w:rPr>
        <w:t>Banking</w:t>
      </w:r>
      <w:proofErr w:type="spellEnd"/>
      <w:r>
        <w:rPr>
          <w:color w:val="111111"/>
          <w:sz w:val="20"/>
          <w:szCs w:val="20"/>
        </w:rPr>
        <w:t>, 46(S1), 295-326. https://doi.org/10.1111/jmcb.12reset [verificar URL exacta en Wiley]</w:t>
      </w:r>
    </w:p>
    <w:p w14:paraId="241CD2DF" w14:textId="77777777" w:rsidR="0066201C" w:rsidRDefault="0066201C" w:rsidP="0066201C">
      <w:pPr>
        <w:spacing w:after="100"/>
      </w:pPr>
    </w:p>
    <w:p w14:paraId="00D26B1D" w14:textId="77777777" w:rsidR="0066201C" w:rsidRDefault="0066201C" w:rsidP="0066201C">
      <w:pPr>
        <w:pStyle w:val="Ttulo2"/>
        <w:pBdr>
          <w:bottom w:val="single" w:sz="4" w:space="4" w:color="E8B931"/>
        </w:pBdr>
      </w:pPr>
      <w:bookmarkStart w:id="113" w:name="_Toc232659662"/>
      <w:r>
        <w:t>IV — Organismos multilaterales: informes y bases de datos</w:t>
      </w:r>
      <w:bookmarkEnd w:id="113"/>
    </w:p>
    <w:p w14:paraId="2363F08F" w14:textId="77777777" w:rsidR="0066201C" w:rsidRDefault="0066201C" w:rsidP="0066201C">
      <w:pPr>
        <w:spacing w:after="100"/>
      </w:pPr>
    </w:p>
    <w:p w14:paraId="4C105A31" w14:textId="77777777" w:rsidR="0066201C" w:rsidRDefault="0066201C" w:rsidP="0066201C">
      <w:pPr>
        <w:spacing w:before="60" w:after="60" w:line="300" w:lineRule="auto"/>
        <w:ind w:left="720" w:hanging="720"/>
        <w:jc w:val="both"/>
      </w:pPr>
      <w:r>
        <w:rPr>
          <w:color w:val="111111"/>
          <w:sz w:val="20"/>
          <w:szCs w:val="20"/>
        </w:rPr>
        <w:t>Banco Interamericano de Desarrollo. (2023). Fintech en América Latina y el Caribe: Consolidación en un contexto global desafiante. BID. https://publications.iadb.org</w:t>
      </w:r>
    </w:p>
    <w:p w14:paraId="2A60F0A4" w14:textId="77777777" w:rsidR="0066201C" w:rsidRDefault="0066201C" w:rsidP="0066201C">
      <w:pPr>
        <w:spacing w:before="60" w:after="60" w:line="300" w:lineRule="auto"/>
        <w:ind w:left="720" w:hanging="720"/>
        <w:jc w:val="both"/>
      </w:pPr>
      <w:r>
        <w:rPr>
          <w:color w:val="111111"/>
          <w:sz w:val="20"/>
          <w:szCs w:val="20"/>
        </w:rPr>
        <w:lastRenderedPageBreak/>
        <w:t>CAF — Banco de Desarrollo de América Latina. (2023). Fintech en América Latina y el Caribe: Un ecosistema consolidado para la recuperación. CAF. https://www.caf.com</w:t>
      </w:r>
    </w:p>
    <w:p w14:paraId="63FC95D9" w14:textId="77777777" w:rsidR="0066201C" w:rsidRDefault="0066201C" w:rsidP="0066201C">
      <w:pPr>
        <w:spacing w:before="60" w:after="60" w:line="300" w:lineRule="auto"/>
        <w:ind w:left="720" w:hanging="720"/>
        <w:jc w:val="both"/>
      </w:pPr>
      <w:r>
        <w:rPr>
          <w:color w:val="111111"/>
          <w:sz w:val="20"/>
          <w:szCs w:val="20"/>
        </w:rPr>
        <w:t xml:space="preserve">Fondo Monetario Internacional. (varios años). Global </w:t>
      </w:r>
      <w:proofErr w:type="spellStart"/>
      <w:r>
        <w:rPr>
          <w:color w:val="111111"/>
          <w:sz w:val="20"/>
          <w:szCs w:val="20"/>
        </w:rPr>
        <w:t>Financial</w:t>
      </w:r>
      <w:proofErr w:type="spellEnd"/>
      <w:r>
        <w:rPr>
          <w:color w:val="111111"/>
          <w:sz w:val="20"/>
          <w:szCs w:val="20"/>
        </w:rPr>
        <w:t xml:space="preserve"> </w:t>
      </w:r>
      <w:proofErr w:type="spellStart"/>
      <w:r>
        <w:rPr>
          <w:color w:val="111111"/>
          <w:sz w:val="20"/>
          <w:szCs w:val="20"/>
        </w:rPr>
        <w:t>Stability</w:t>
      </w:r>
      <w:proofErr w:type="spellEnd"/>
      <w:r>
        <w:rPr>
          <w:color w:val="111111"/>
          <w:sz w:val="20"/>
          <w:szCs w:val="20"/>
        </w:rPr>
        <w:t xml:space="preserve"> </w:t>
      </w:r>
      <w:proofErr w:type="spellStart"/>
      <w:r>
        <w:rPr>
          <w:color w:val="111111"/>
          <w:sz w:val="20"/>
          <w:szCs w:val="20"/>
        </w:rPr>
        <w:t>Report</w:t>
      </w:r>
      <w:proofErr w:type="spellEnd"/>
      <w:r>
        <w:rPr>
          <w:color w:val="111111"/>
          <w:sz w:val="20"/>
          <w:szCs w:val="20"/>
        </w:rPr>
        <w:t>. FMI. https://www.imf.org/en/Publications/GFSR</w:t>
      </w:r>
    </w:p>
    <w:p w14:paraId="6C0D909A" w14:textId="77777777" w:rsidR="0066201C" w:rsidRDefault="0066201C" w:rsidP="0066201C">
      <w:pPr>
        <w:spacing w:before="60" w:after="60" w:line="300" w:lineRule="auto"/>
        <w:ind w:left="720" w:hanging="720"/>
        <w:jc w:val="both"/>
      </w:pPr>
      <w:r>
        <w:rPr>
          <w:color w:val="111111"/>
          <w:sz w:val="20"/>
          <w:szCs w:val="20"/>
        </w:rPr>
        <w:t xml:space="preserve">Fondo Monetario Internacional. (varios años). World </w:t>
      </w:r>
      <w:proofErr w:type="spellStart"/>
      <w:r>
        <w:rPr>
          <w:color w:val="111111"/>
          <w:sz w:val="20"/>
          <w:szCs w:val="20"/>
        </w:rPr>
        <w:t>Economic</w:t>
      </w:r>
      <w:proofErr w:type="spellEnd"/>
      <w:r>
        <w:rPr>
          <w:color w:val="111111"/>
          <w:sz w:val="20"/>
          <w:szCs w:val="20"/>
        </w:rPr>
        <w:t xml:space="preserve"> Outlook. FMI. https://www.imf.org/en/Publications/WEO</w:t>
      </w:r>
    </w:p>
    <w:p w14:paraId="5F715DED" w14:textId="77777777" w:rsidR="0066201C" w:rsidRDefault="0066201C" w:rsidP="0066201C">
      <w:pPr>
        <w:spacing w:before="60" w:after="60" w:line="300" w:lineRule="auto"/>
        <w:ind w:left="720" w:hanging="720"/>
        <w:jc w:val="both"/>
      </w:pPr>
      <w:r>
        <w:rPr>
          <w:color w:val="111111"/>
          <w:sz w:val="20"/>
          <w:szCs w:val="20"/>
        </w:rPr>
        <w:t xml:space="preserve">World Bank. (varios años). </w:t>
      </w:r>
      <w:proofErr w:type="spellStart"/>
      <w:r>
        <w:rPr>
          <w:color w:val="111111"/>
          <w:sz w:val="20"/>
          <w:szCs w:val="20"/>
        </w:rPr>
        <w:t>Financial</w:t>
      </w:r>
      <w:proofErr w:type="spellEnd"/>
      <w:r>
        <w:rPr>
          <w:color w:val="111111"/>
          <w:sz w:val="20"/>
          <w:szCs w:val="20"/>
        </w:rPr>
        <w:t xml:space="preserve"> Sector </w:t>
      </w:r>
      <w:proofErr w:type="spellStart"/>
      <w:r>
        <w:rPr>
          <w:color w:val="111111"/>
          <w:sz w:val="20"/>
          <w:szCs w:val="20"/>
        </w:rPr>
        <w:t>Assessment</w:t>
      </w:r>
      <w:proofErr w:type="spellEnd"/>
      <w:r>
        <w:rPr>
          <w:color w:val="111111"/>
          <w:sz w:val="20"/>
          <w:szCs w:val="20"/>
        </w:rPr>
        <w:t xml:space="preserve"> </w:t>
      </w:r>
      <w:proofErr w:type="spellStart"/>
      <w:r>
        <w:rPr>
          <w:color w:val="111111"/>
          <w:sz w:val="20"/>
          <w:szCs w:val="20"/>
        </w:rPr>
        <w:t>Program</w:t>
      </w:r>
      <w:proofErr w:type="spellEnd"/>
      <w:r>
        <w:rPr>
          <w:color w:val="111111"/>
          <w:sz w:val="20"/>
          <w:szCs w:val="20"/>
        </w:rPr>
        <w:t xml:space="preserve"> (FSAP). World Bank. https://www.worldbank.org/en/programs/financial-sector-assessment-program</w:t>
      </w:r>
    </w:p>
    <w:p w14:paraId="1B2D4237" w14:textId="77777777" w:rsidR="0066201C" w:rsidRDefault="0066201C" w:rsidP="0066201C">
      <w:pPr>
        <w:spacing w:before="60" w:after="60" w:line="300" w:lineRule="auto"/>
        <w:ind w:left="720" w:hanging="720"/>
        <w:jc w:val="both"/>
      </w:pPr>
      <w:r>
        <w:rPr>
          <w:color w:val="111111"/>
          <w:sz w:val="20"/>
          <w:szCs w:val="20"/>
        </w:rPr>
        <w:t xml:space="preserve">World Bank. (varios años). Global </w:t>
      </w:r>
      <w:proofErr w:type="spellStart"/>
      <w:r>
        <w:rPr>
          <w:color w:val="111111"/>
          <w:sz w:val="20"/>
          <w:szCs w:val="20"/>
        </w:rPr>
        <w:t>Financial</w:t>
      </w:r>
      <w:proofErr w:type="spellEnd"/>
      <w:r>
        <w:rPr>
          <w:color w:val="111111"/>
          <w:sz w:val="20"/>
          <w:szCs w:val="20"/>
        </w:rPr>
        <w:t xml:space="preserve"> </w:t>
      </w:r>
      <w:proofErr w:type="spellStart"/>
      <w:r>
        <w:rPr>
          <w:color w:val="111111"/>
          <w:sz w:val="20"/>
          <w:szCs w:val="20"/>
        </w:rPr>
        <w:t>Development</w:t>
      </w:r>
      <w:proofErr w:type="spellEnd"/>
      <w:r>
        <w:rPr>
          <w:color w:val="111111"/>
          <w:sz w:val="20"/>
          <w:szCs w:val="20"/>
        </w:rPr>
        <w:t xml:space="preserve"> </w:t>
      </w:r>
      <w:proofErr w:type="spellStart"/>
      <w:r>
        <w:rPr>
          <w:color w:val="111111"/>
          <w:sz w:val="20"/>
          <w:szCs w:val="20"/>
        </w:rPr>
        <w:t>Database</w:t>
      </w:r>
      <w:proofErr w:type="spellEnd"/>
      <w:r>
        <w:rPr>
          <w:color w:val="111111"/>
          <w:sz w:val="20"/>
          <w:szCs w:val="20"/>
        </w:rPr>
        <w:t xml:space="preserve"> (GFDD). World Bank / </w:t>
      </w:r>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=32. https://www.worldbank.org/en/publication/gfdr/data</w:t>
      </w:r>
    </w:p>
    <w:p w14:paraId="3251E7C9" w14:textId="77777777" w:rsidR="0066201C" w:rsidRDefault="0066201C" w:rsidP="0066201C">
      <w:pPr>
        <w:spacing w:before="60" w:after="60" w:line="300" w:lineRule="auto"/>
        <w:ind w:left="720" w:hanging="720"/>
        <w:jc w:val="both"/>
      </w:pPr>
      <w:r>
        <w:rPr>
          <w:color w:val="111111"/>
          <w:sz w:val="20"/>
          <w:szCs w:val="20"/>
        </w:rPr>
        <w:t xml:space="preserve">World Bank. (varios años). World </w:t>
      </w:r>
      <w:proofErr w:type="spellStart"/>
      <w:r>
        <w:rPr>
          <w:color w:val="111111"/>
          <w:sz w:val="20"/>
          <w:szCs w:val="20"/>
        </w:rPr>
        <w:t>Development</w:t>
      </w:r>
      <w:proofErr w:type="spellEnd"/>
      <w:r>
        <w:rPr>
          <w:color w:val="111111"/>
          <w:sz w:val="20"/>
          <w:szCs w:val="20"/>
        </w:rPr>
        <w:t xml:space="preserve"> </w:t>
      </w:r>
      <w:proofErr w:type="spellStart"/>
      <w:r>
        <w:rPr>
          <w:color w:val="111111"/>
          <w:sz w:val="20"/>
          <w:szCs w:val="20"/>
        </w:rPr>
        <w:t>Indicators</w:t>
      </w:r>
      <w:proofErr w:type="spellEnd"/>
      <w:r>
        <w:rPr>
          <w:color w:val="111111"/>
          <w:sz w:val="20"/>
          <w:szCs w:val="20"/>
        </w:rPr>
        <w:t xml:space="preserve"> (WDI). World Bank / </w:t>
      </w:r>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=2. https://databank.worldbank.org/source/world-development-indicators</w:t>
      </w:r>
    </w:p>
    <w:p w14:paraId="0B35DF84" w14:textId="77777777" w:rsidR="0066201C" w:rsidRDefault="0066201C" w:rsidP="0066201C">
      <w:pPr>
        <w:spacing w:before="60" w:after="60" w:line="300" w:lineRule="auto"/>
        <w:ind w:left="720" w:hanging="720"/>
        <w:jc w:val="both"/>
      </w:pPr>
      <w:r>
        <w:rPr>
          <w:color w:val="111111"/>
          <w:sz w:val="20"/>
          <w:szCs w:val="20"/>
        </w:rPr>
        <w:t xml:space="preserve">World Bank. (varios años). </w:t>
      </w:r>
      <w:proofErr w:type="spellStart"/>
      <w:r>
        <w:rPr>
          <w:color w:val="111111"/>
          <w:sz w:val="20"/>
          <w:szCs w:val="20"/>
        </w:rPr>
        <w:t>Worldwide</w:t>
      </w:r>
      <w:proofErr w:type="spellEnd"/>
      <w:r>
        <w:rPr>
          <w:color w:val="111111"/>
          <w:sz w:val="20"/>
          <w:szCs w:val="20"/>
        </w:rPr>
        <w:t xml:space="preserve"> </w:t>
      </w:r>
      <w:proofErr w:type="spellStart"/>
      <w:r>
        <w:rPr>
          <w:color w:val="111111"/>
          <w:sz w:val="20"/>
          <w:szCs w:val="20"/>
        </w:rPr>
        <w:t>Governance</w:t>
      </w:r>
      <w:proofErr w:type="spellEnd"/>
      <w:r>
        <w:rPr>
          <w:color w:val="111111"/>
          <w:sz w:val="20"/>
          <w:szCs w:val="20"/>
        </w:rPr>
        <w:t xml:space="preserve"> </w:t>
      </w:r>
      <w:proofErr w:type="spellStart"/>
      <w:r>
        <w:rPr>
          <w:color w:val="111111"/>
          <w:sz w:val="20"/>
          <w:szCs w:val="20"/>
        </w:rPr>
        <w:t>Indicators</w:t>
      </w:r>
      <w:proofErr w:type="spellEnd"/>
      <w:r>
        <w:rPr>
          <w:color w:val="111111"/>
          <w:sz w:val="20"/>
          <w:szCs w:val="20"/>
        </w:rPr>
        <w:t xml:space="preserve"> (WGI). World Bank / </w:t>
      </w:r>
      <w:proofErr w:type="spellStart"/>
      <w:r>
        <w:rPr>
          <w:color w:val="111111"/>
          <w:sz w:val="20"/>
          <w:szCs w:val="20"/>
        </w:rPr>
        <w:t>wbgapi</w:t>
      </w:r>
      <w:proofErr w:type="spellEnd"/>
      <w:r>
        <w:rPr>
          <w:color w:val="111111"/>
          <w:sz w:val="20"/>
          <w:szCs w:val="20"/>
        </w:rPr>
        <w:t xml:space="preserve"> </w:t>
      </w:r>
      <w:proofErr w:type="spellStart"/>
      <w:r>
        <w:rPr>
          <w:color w:val="111111"/>
          <w:sz w:val="20"/>
          <w:szCs w:val="20"/>
        </w:rPr>
        <w:t>db</w:t>
      </w:r>
      <w:proofErr w:type="spellEnd"/>
      <w:r>
        <w:rPr>
          <w:color w:val="111111"/>
          <w:sz w:val="20"/>
          <w:szCs w:val="20"/>
        </w:rPr>
        <w:t>=3. https://www.worldbank.org/en/publication/worldwide-governance-indicators</w:t>
      </w:r>
    </w:p>
    <w:p w14:paraId="2CCC8819" w14:textId="77777777" w:rsidR="0066201C" w:rsidRDefault="0066201C" w:rsidP="0066201C">
      <w:pPr>
        <w:spacing w:before="60" w:after="60" w:line="300" w:lineRule="auto"/>
        <w:ind w:left="720" w:hanging="720"/>
        <w:jc w:val="both"/>
      </w:pPr>
      <w:r>
        <w:rPr>
          <w:color w:val="111111"/>
          <w:sz w:val="20"/>
          <w:szCs w:val="20"/>
        </w:rPr>
        <w:t xml:space="preserve">World Bank. (varios años). </w:t>
      </w:r>
      <w:proofErr w:type="spellStart"/>
      <w:r>
        <w:rPr>
          <w:color w:val="111111"/>
          <w:sz w:val="20"/>
          <w:szCs w:val="20"/>
        </w:rPr>
        <w:t>Remittance</w:t>
      </w:r>
      <w:proofErr w:type="spellEnd"/>
      <w:r>
        <w:rPr>
          <w:color w:val="111111"/>
          <w:sz w:val="20"/>
          <w:szCs w:val="20"/>
        </w:rPr>
        <w:t xml:space="preserve"> </w:t>
      </w:r>
      <w:proofErr w:type="spellStart"/>
      <w:r>
        <w:rPr>
          <w:color w:val="111111"/>
          <w:sz w:val="20"/>
          <w:szCs w:val="20"/>
        </w:rPr>
        <w:t>Prices</w:t>
      </w:r>
      <w:proofErr w:type="spellEnd"/>
      <w:r>
        <w:rPr>
          <w:color w:val="111111"/>
          <w:sz w:val="20"/>
          <w:szCs w:val="20"/>
        </w:rPr>
        <w:t xml:space="preserve"> </w:t>
      </w:r>
      <w:proofErr w:type="spellStart"/>
      <w:r>
        <w:rPr>
          <w:color w:val="111111"/>
          <w:sz w:val="20"/>
          <w:szCs w:val="20"/>
        </w:rPr>
        <w:t>Worldwide</w:t>
      </w:r>
      <w:proofErr w:type="spellEnd"/>
      <w:r>
        <w:rPr>
          <w:color w:val="111111"/>
          <w:sz w:val="20"/>
          <w:szCs w:val="20"/>
        </w:rPr>
        <w:t>. World Bank. https://remittanceprices.worldbank.org</w:t>
      </w:r>
    </w:p>
    <w:p w14:paraId="3D8DE2F3" w14:textId="77777777" w:rsidR="0066201C" w:rsidRDefault="0066201C" w:rsidP="0066201C">
      <w:pPr>
        <w:spacing w:before="60" w:after="60" w:line="300" w:lineRule="auto"/>
        <w:ind w:left="720" w:hanging="720"/>
        <w:jc w:val="both"/>
      </w:pPr>
      <w:r>
        <w:rPr>
          <w:color w:val="111111"/>
          <w:sz w:val="20"/>
          <w:szCs w:val="20"/>
        </w:rPr>
        <w:t xml:space="preserve">World Bank. (2021). Global </w:t>
      </w:r>
      <w:proofErr w:type="spellStart"/>
      <w:r>
        <w:rPr>
          <w:color w:val="111111"/>
          <w:sz w:val="20"/>
          <w:szCs w:val="20"/>
        </w:rPr>
        <w:t>Findex</w:t>
      </w:r>
      <w:proofErr w:type="spellEnd"/>
      <w:r>
        <w:rPr>
          <w:color w:val="111111"/>
          <w:sz w:val="20"/>
          <w:szCs w:val="20"/>
        </w:rPr>
        <w:t xml:space="preserve"> </w:t>
      </w:r>
      <w:proofErr w:type="spellStart"/>
      <w:r>
        <w:rPr>
          <w:color w:val="111111"/>
          <w:sz w:val="20"/>
          <w:szCs w:val="20"/>
        </w:rPr>
        <w:t>Database</w:t>
      </w:r>
      <w:proofErr w:type="spellEnd"/>
      <w:r>
        <w:rPr>
          <w:color w:val="111111"/>
          <w:sz w:val="20"/>
          <w:szCs w:val="20"/>
        </w:rPr>
        <w:t>. World Bank. https://globalfindex.worldbank.org</w:t>
      </w:r>
    </w:p>
    <w:p w14:paraId="07486324" w14:textId="77777777" w:rsidR="0066201C" w:rsidRDefault="0066201C" w:rsidP="0066201C">
      <w:pPr>
        <w:spacing w:after="100"/>
      </w:pPr>
    </w:p>
    <w:p w14:paraId="7F100DE7" w14:textId="77777777" w:rsidR="0066201C" w:rsidRDefault="0066201C" w:rsidP="0066201C">
      <w:pPr>
        <w:pStyle w:val="Ttulo2"/>
        <w:pBdr>
          <w:bottom w:val="single" w:sz="4" w:space="4" w:color="E8B931"/>
        </w:pBdr>
      </w:pPr>
      <w:bookmarkStart w:id="114" w:name="_Toc232659663"/>
      <w:r>
        <w:t>V — Publicaciones de consultoras e industria financiera</w:t>
      </w:r>
      <w:bookmarkEnd w:id="114"/>
    </w:p>
    <w:p w14:paraId="25F24F1B" w14:textId="77777777" w:rsidR="0066201C" w:rsidRDefault="0066201C" w:rsidP="0066201C">
      <w:pPr>
        <w:spacing w:after="100"/>
      </w:pPr>
    </w:p>
    <w:p w14:paraId="5BD17FC5" w14:textId="77777777" w:rsidR="0066201C" w:rsidRDefault="0066201C" w:rsidP="0066201C">
      <w:pPr>
        <w:spacing w:before="60" w:after="60" w:line="300" w:lineRule="auto"/>
        <w:ind w:left="720" w:hanging="720"/>
        <w:jc w:val="both"/>
      </w:pPr>
      <w:r>
        <w:rPr>
          <w:color w:val="111111"/>
          <w:sz w:val="20"/>
          <w:szCs w:val="20"/>
        </w:rPr>
        <w:t xml:space="preserve">BCG — Boston </w:t>
      </w:r>
      <w:proofErr w:type="spellStart"/>
      <w:r>
        <w:rPr>
          <w:color w:val="111111"/>
          <w:sz w:val="20"/>
          <w:szCs w:val="20"/>
        </w:rPr>
        <w:t>Consulting</w:t>
      </w:r>
      <w:proofErr w:type="spellEnd"/>
      <w:r>
        <w:rPr>
          <w:color w:val="111111"/>
          <w:sz w:val="20"/>
          <w:szCs w:val="20"/>
        </w:rPr>
        <w:t xml:space="preserve"> Group. (2024). </w:t>
      </w:r>
      <w:proofErr w:type="spellStart"/>
      <w:r>
        <w:rPr>
          <w:color w:val="111111"/>
          <w:sz w:val="20"/>
          <w:szCs w:val="20"/>
        </w:rPr>
        <w:t>Retail</w:t>
      </w:r>
      <w:proofErr w:type="spellEnd"/>
      <w:r>
        <w:rPr>
          <w:color w:val="111111"/>
          <w:sz w:val="20"/>
          <w:szCs w:val="20"/>
        </w:rPr>
        <w:t xml:space="preserve"> </w:t>
      </w:r>
      <w:proofErr w:type="spellStart"/>
      <w:r>
        <w:rPr>
          <w:color w:val="111111"/>
          <w:sz w:val="20"/>
          <w:szCs w:val="20"/>
        </w:rPr>
        <w:t>banking</w:t>
      </w:r>
      <w:proofErr w:type="spellEnd"/>
      <w:r>
        <w:rPr>
          <w:color w:val="111111"/>
          <w:sz w:val="20"/>
          <w:szCs w:val="20"/>
        </w:rPr>
        <w:t xml:space="preserve"> radar. BCG. https://www.bcg.com/publications/banking</w:t>
      </w:r>
    </w:p>
    <w:p w14:paraId="0F1F94EB" w14:textId="77777777" w:rsidR="0066201C" w:rsidRDefault="0066201C" w:rsidP="0066201C">
      <w:pPr>
        <w:spacing w:before="60" w:after="60" w:line="300" w:lineRule="auto"/>
        <w:ind w:left="720" w:hanging="720"/>
        <w:jc w:val="both"/>
      </w:pPr>
      <w:r>
        <w:rPr>
          <w:color w:val="111111"/>
          <w:sz w:val="20"/>
          <w:szCs w:val="20"/>
        </w:rPr>
        <w:t xml:space="preserve">Deloitte. (varios años). </w:t>
      </w:r>
      <w:proofErr w:type="spellStart"/>
      <w:r>
        <w:rPr>
          <w:color w:val="111111"/>
          <w:sz w:val="20"/>
          <w:szCs w:val="20"/>
        </w:rPr>
        <w:t>Financial</w:t>
      </w:r>
      <w:proofErr w:type="spellEnd"/>
      <w:r>
        <w:rPr>
          <w:color w:val="111111"/>
          <w:sz w:val="20"/>
          <w:szCs w:val="20"/>
        </w:rPr>
        <w:t xml:space="preserve"> </w:t>
      </w:r>
      <w:proofErr w:type="spellStart"/>
      <w:r>
        <w:rPr>
          <w:color w:val="111111"/>
          <w:sz w:val="20"/>
          <w:szCs w:val="20"/>
        </w:rPr>
        <w:t>services</w:t>
      </w:r>
      <w:proofErr w:type="spellEnd"/>
      <w:r>
        <w:rPr>
          <w:color w:val="111111"/>
          <w:sz w:val="20"/>
          <w:szCs w:val="20"/>
        </w:rPr>
        <w:t xml:space="preserve"> </w:t>
      </w:r>
      <w:proofErr w:type="spellStart"/>
      <w:r>
        <w:rPr>
          <w:color w:val="111111"/>
          <w:sz w:val="20"/>
          <w:szCs w:val="20"/>
        </w:rPr>
        <w:t>industry</w:t>
      </w:r>
      <w:proofErr w:type="spellEnd"/>
      <w:r>
        <w:rPr>
          <w:color w:val="111111"/>
          <w:sz w:val="20"/>
          <w:szCs w:val="20"/>
        </w:rPr>
        <w:t xml:space="preserve"> </w:t>
      </w:r>
      <w:proofErr w:type="spellStart"/>
      <w:r>
        <w:rPr>
          <w:color w:val="111111"/>
          <w:sz w:val="20"/>
          <w:szCs w:val="20"/>
        </w:rPr>
        <w:t>outlook</w:t>
      </w:r>
      <w:proofErr w:type="spellEnd"/>
      <w:r>
        <w:rPr>
          <w:color w:val="111111"/>
          <w:sz w:val="20"/>
          <w:szCs w:val="20"/>
        </w:rPr>
        <w:t>. Deloitte. https://www2.deloitte.com/us/en/pages/financial-services/articles/financial-services-industry-outlooks.html</w:t>
      </w:r>
    </w:p>
    <w:p w14:paraId="49A0A182" w14:textId="77777777" w:rsidR="0066201C" w:rsidRDefault="0066201C" w:rsidP="0066201C">
      <w:pPr>
        <w:spacing w:before="60" w:after="60" w:line="300" w:lineRule="auto"/>
        <w:ind w:left="720" w:hanging="720"/>
        <w:jc w:val="both"/>
      </w:pPr>
      <w:r>
        <w:rPr>
          <w:color w:val="111111"/>
          <w:sz w:val="20"/>
          <w:szCs w:val="20"/>
        </w:rPr>
        <w:t>FELABAN — Federación Latinoamericana de Bancos. (varios años). Informes del sector bancario latinoamericano. FELABAN. https://www.felaban.net</w:t>
      </w:r>
    </w:p>
    <w:p w14:paraId="3260E386" w14:textId="77777777" w:rsidR="0066201C" w:rsidRDefault="0066201C" w:rsidP="0066201C">
      <w:pPr>
        <w:spacing w:before="60" w:after="60" w:line="300" w:lineRule="auto"/>
        <w:ind w:left="720" w:hanging="720"/>
        <w:jc w:val="both"/>
      </w:pPr>
      <w:r>
        <w:rPr>
          <w:color w:val="111111"/>
          <w:sz w:val="20"/>
          <w:szCs w:val="20"/>
        </w:rPr>
        <w:t xml:space="preserve">KPMG. (varios años). </w:t>
      </w:r>
      <w:proofErr w:type="spellStart"/>
      <w:r>
        <w:rPr>
          <w:color w:val="111111"/>
          <w:sz w:val="20"/>
          <w:szCs w:val="20"/>
        </w:rPr>
        <w:t>Banking</w:t>
      </w:r>
      <w:proofErr w:type="spellEnd"/>
      <w:r>
        <w:rPr>
          <w:color w:val="111111"/>
          <w:sz w:val="20"/>
          <w:szCs w:val="20"/>
        </w:rPr>
        <w:t xml:space="preserve"> </w:t>
      </w:r>
      <w:proofErr w:type="spellStart"/>
      <w:r>
        <w:rPr>
          <w:color w:val="111111"/>
          <w:sz w:val="20"/>
          <w:szCs w:val="20"/>
        </w:rPr>
        <w:t>survey</w:t>
      </w:r>
      <w:proofErr w:type="spellEnd"/>
      <w:r>
        <w:rPr>
          <w:color w:val="111111"/>
          <w:sz w:val="20"/>
          <w:szCs w:val="20"/>
        </w:rPr>
        <w:t xml:space="preserve"> </w:t>
      </w:r>
      <w:proofErr w:type="spellStart"/>
      <w:r>
        <w:rPr>
          <w:color w:val="111111"/>
          <w:sz w:val="20"/>
          <w:szCs w:val="20"/>
        </w:rPr>
        <w:t>for</w:t>
      </w:r>
      <w:proofErr w:type="spellEnd"/>
      <w:r>
        <w:rPr>
          <w:color w:val="111111"/>
          <w:sz w:val="20"/>
          <w:szCs w:val="20"/>
        </w:rPr>
        <w:t xml:space="preserve"> </w:t>
      </w:r>
      <w:proofErr w:type="spellStart"/>
      <w:r>
        <w:rPr>
          <w:color w:val="111111"/>
          <w:sz w:val="20"/>
          <w:szCs w:val="20"/>
        </w:rPr>
        <w:t>Latin</w:t>
      </w:r>
      <w:proofErr w:type="spellEnd"/>
      <w:r>
        <w:rPr>
          <w:color w:val="111111"/>
          <w:sz w:val="20"/>
          <w:szCs w:val="20"/>
        </w:rPr>
        <w:t xml:space="preserve"> America. KPMG. https://home.kpmg/us/en/home/industries/financial-services/banking-and-capital-markets.html [verificar URL actual]</w:t>
      </w:r>
    </w:p>
    <w:p w14:paraId="4A0569B7" w14:textId="77777777" w:rsidR="0066201C" w:rsidRDefault="0066201C" w:rsidP="0066201C">
      <w:pPr>
        <w:spacing w:before="60" w:after="60" w:line="300" w:lineRule="auto"/>
        <w:ind w:left="720" w:hanging="720"/>
        <w:jc w:val="both"/>
      </w:pPr>
      <w:r>
        <w:rPr>
          <w:color w:val="111111"/>
          <w:sz w:val="20"/>
          <w:szCs w:val="20"/>
        </w:rPr>
        <w:t xml:space="preserve">McKinsey &amp; Company. (2023). Global </w:t>
      </w:r>
      <w:proofErr w:type="spellStart"/>
      <w:r>
        <w:rPr>
          <w:color w:val="111111"/>
          <w:sz w:val="20"/>
          <w:szCs w:val="20"/>
        </w:rPr>
        <w:t>banking</w:t>
      </w:r>
      <w:proofErr w:type="spellEnd"/>
      <w:r>
        <w:rPr>
          <w:color w:val="111111"/>
          <w:sz w:val="20"/>
          <w:szCs w:val="20"/>
        </w:rPr>
        <w:t xml:space="preserve"> </w:t>
      </w:r>
      <w:proofErr w:type="spellStart"/>
      <w:r>
        <w:rPr>
          <w:color w:val="111111"/>
          <w:sz w:val="20"/>
          <w:szCs w:val="20"/>
        </w:rPr>
        <w:t>annual</w:t>
      </w:r>
      <w:proofErr w:type="spellEnd"/>
      <w:r>
        <w:rPr>
          <w:color w:val="111111"/>
          <w:sz w:val="20"/>
          <w:szCs w:val="20"/>
        </w:rPr>
        <w:t xml:space="preserve"> </w:t>
      </w:r>
      <w:proofErr w:type="spellStart"/>
      <w:r>
        <w:rPr>
          <w:color w:val="111111"/>
          <w:sz w:val="20"/>
          <w:szCs w:val="20"/>
        </w:rPr>
        <w:t>review</w:t>
      </w:r>
      <w:proofErr w:type="spellEnd"/>
      <w:r>
        <w:rPr>
          <w:color w:val="111111"/>
          <w:sz w:val="20"/>
          <w:szCs w:val="20"/>
        </w:rPr>
        <w:t xml:space="preserve">. McKinsey </w:t>
      </w:r>
      <w:proofErr w:type="spellStart"/>
      <w:r>
        <w:rPr>
          <w:color w:val="111111"/>
          <w:sz w:val="20"/>
          <w:szCs w:val="20"/>
        </w:rPr>
        <w:t>Financial</w:t>
      </w:r>
      <w:proofErr w:type="spellEnd"/>
      <w:r>
        <w:rPr>
          <w:color w:val="111111"/>
          <w:sz w:val="20"/>
          <w:szCs w:val="20"/>
        </w:rPr>
        <w:t xml:space="preserve"> </w:t>
      </w:r>
      <w:proofErr w:type="spellStart"/>
      <w:r>
        <w:rPr>
          <w:color w:val="111111"/>
          <w:sz w:val="20"/>
          <w:szCs w:val="20"/>
        </w:rPr>
        <w:t>Services</w:t>
      </w:r>
      <w:proofErr w:type="spellEnd"/>
      <w:r>
        <w:rPr>
          <w:color w:val="111111"/>
          <w:sz w:val="20"/>
          <w:szCs w:val="20"/>
        </w:rPr>
        <w:t xml:space="preserve"> </w:t>
      </w:r>
      <w:proofErr w:type="spellStart"/>
      <w:r>
        <w:rPr>
          <w:color w:val="111111"/>
          <w:sz w:val="20"/>
          <w:szCs w:val="20"/>
        </w:rPr>
        <w:t>Practice</w:t>
      </w:r>
      <w:proofErr w:type="spellEnd"/>
      <w:r>
        <w:rPr>
          <w:color w:val="111111"/>
          <w:sz w:val="20"/>
          <w:szCs w:val="20"/>
        </w:rPr>
        <w:t>. https://www.mckinsey.com/industries/financial-services/our-insights/global-banking-annual-review</w:t>
      </w:r>
    </w:p>
    <w:p w14:paraId="4CB569BF" w14:textId="77777777" w:rsidR="0066201C" w:rsidRDefault="0066201C" w:rsidP="0066201C">
      <w:pPr>
        <w:spacing w:after="100"/>
      </w:pPr>
    </w:p>
    <w:p w14:paraId="66A69D2D" w14:textId="77777777" w:rsidR="0066201C" w:rsidRDefault="0066201C" w:rsidP="0066201C">
      <w:pPr>
        <w:pStyle w:val="Ttulo2"/>
        <w:pBdr>
          <w:bottom w:val="single" w:sz="4" w:space="4" w:color="E8B931"/>
        </w:pBdr>
      </w:pPr>
      <w:bookmarkStart w:id="115" w:name="_Toc232659664"/>
      <w:r>
        <w:t>VI — Ciencias del comportamiento y sesgos en decisión estratégica</w:t>
      </w:r>
      <w:bookmarkEnd w:id="115"/>
    </w:p>
    <w:p w14:paraId="20E8AA8E" w14:textId="77777777" w:rsidR="0066201C" w:rsidRDefault="0066201C" w:rsidP="0066201C">
      <w:pPr>
        <w:spacing w:after="100"/>
      </w:pPr>
    </w:p>
    <w:p w14:paraId="18E3CFF2" w14:textId="77777777" w:rsidR="0066201C" w:rsidRDefault="0066201C" w:rsidP="0066201C">
      <w:pPr>
        <w:spacing w:before="60" w:after="60" w:line="300" w:lineRule="auto"/>
        <w:ind w:left="720" w:hanging="720"/>
        <w:jc w:val="both"/>
      </w:pPr>
      <w:r>
        <w:rPr>
          <w:color w:val="111111"/>
          <w:sz w:val="20"/>
          <w:szCs w:val="20"/>
        </w:rPr>
        <w:t xml:space="preserve">Ariely, D. (2008). </w:t>
      </w:r>
      <w:proofErr w:type="spellStart"/>
      <w:r>
        <w:rPr>
          <w:color w:val="111111"/>
          <w:sz w:val="20"/>
          <w:szCs w:val="20"/>
        </w:rPr>
        <w:t>Predictably</w:t>
      </w:r>
      <w:proofErr w:type="spellEnd"/>
      <w:r>
        <w:rPr>
          <w:color w:val="111111"/>
          <w:sz w:val="20"/>
          <w:szCs w:val="20"/>
        </w:rPr>
        <w:t xml:space="preserve"> </w:t>
      </w:r>
      <w:proofErr w:type="spellStart"/>
      <w:r>
        <w:rPr>
          <w:color w:val="111111"/>
          <w:sz w:val="20"/>
          <w:szCs w:val="20"/>
        </w:rPr>
        <w:t>irrational</w:t>
      </w:r>
      <w:proofErr w:type="spellEnd"/>
      <w:r>
        <w:rPr>
          <w:color w:val="111111"/>
          <w:sz w:val="20"/>
          <w:szCs w:val="20"/>
        </w:rPr>
        <w:t xml:space="preserve">: The </w:t>
      </w:r>
      <w:proofErr w:type="spellStart"/>
      <w:r>
        <w:rPr>
          <w:color w:val="111111"/>
          <w:sz w:val="20"/>
          <w:szCs w:val="20"/>
        </w:rPr>
        <w:t>hidden</w:t>
      </w:r>
      <w:proofErr w:type="spellEnd"/>
      <w:r>
        <w:rPr>
          <w:color w:val="111111"/>
          <w:sz w:val="20"/>
          <w:szCs w:val="20"/>
        </w:rPr>
        <w:t xml:space="preserve"> </w:t>
      </w:r>
      <w:proofErr w:type="spellStart"/>
      <w:r>
        <w:rPr>
          <w:color w:val="111111"/>
          <w:sz w:val="20"/>
          <w:szCs w:val="20"/>
        </w:rPr>
        <w:t>forces</w:t>
      </w:r>
      <w:proofErr w:type="spellEnd"/>
      <w:r>
        <w:rPr>
          <w:color w:val="111111"/>
          <w:sz w:val="20"/>
          <w:szCs w:val="20"/>
        </w:rPr>
        <w:t xml:space="preserve"> </w:t>
      </w:r>
      <w:proofErr w:type="spellStart"/>
      <w:r>
        <w:rPr>
          <w:color w:val="111111"/>
          <w:sz w:val="20"/>
          <w:szCs w:val="20"/>
        </w:rPr>
        <w:t>that</w:t>
      </w:r>
      <w:proofErr w:type="spellEnd"/>
      <w:r>
        <w:rPr>
          <w:color w:val="111111"/>
          <w:sz w:val="20"/>
          <w:szCs w:val="20"/>
        </w:rPr>
        <w:t xml:space="preserve"> </w:t>
      </w:r>
      <w:proofErr w:type="spellStart"/>
      <w:r>
        <w:rPr>
          <w:color w:val="111111"/>
          <w:sz w:val="20"/>
          <w:szCs w:val="20"/>
        </w:rPr>
        <w:t>shape</w:t>
      </w:r>
      <w:proofErr w:type="spellEnd"/>
      <w:r>
        <w:rPr>
          <w:color w:val="111111"/>
          <w:sz w:val="20"/>
          <w:szCs w:val="20"/>
        </w:rPr>
        <w:t xml:space="preserve"> </w:t>
      </w:r>
      <w:proofErr w:type="spellStart"/>
      <w:r>
        <w:rPr>
          <w:color w:val="111111"/>
          <w:sz w:val="20"/>
          <w:szCs w:val="20"/>
        </w:rPr>
        <w:t>our</w:t>
      </w:r>
      <w:proofErr w:type="spellEnd"/>
      <w:r>
        <w:rPr>
          <w:color w:val="111111"/>
          <w:sz w:val="20"/>
          <w:szCs w:val="20"/>
        </w:rPr>
        <w:t xml:space="preserve"> </w:t>
      </w:r>
      <w:proofErr w:type="spellStart"/>
      <w:r>
        <w:rPr>
          <w:color w:val="111111"/>
          <w:sz w:val="20"/>
          <w:szCs w:val="20"/>
        </w:rPr>
        <w:t>decisions</w:t>
      </w:r>
      <w:proofErr w:type="spellEnd"/>
      <w:r>
        <w:rPr>
          <w:color w:val="111111"/>
          <w:sz w:val="20"/>
          <w:szCs w:val="20"/>
        </w:rPr>
        <w:t xml:space="preserve">. </w:t>
      </w:r>
      <w:proofErr w:type="spellStart"/>
      <w:r>
        <w:rPr>
          <w:color w:val="111111"/>
          <w:sz w:val="20"/>
          <w:szCs w:val="20"/>
        </w:rPr>
        <w:t>HarperCollins</w:t>
      </w:r>
      <w:proofErr w:type="spellEnd"/>
      <w:r>
        <w:rPr>
          <w:color w:val="111111"/>
          <w:sz w:val="20"/>
          <w:szCs w:val="20"/>
        </w:rPr>
        <w:t>.</w:t>
      </w:r>
    </w:p>
    <w:p w14:paraId="76AD3FE4" w14:textId="77777777" w:rsidR="0066201C" w:rsidRDefault="0066201C" w:rsidP="0066201C">
      <w:pPr>
        <w:spacing w:before="60" w:after="60" w:line="300" w:lineRule="auto"/>
        <w:ind w:left="720" w:hanging="720"/>
        <w:jc w:val="both"/>
      </w:pPr>
      <w:r>
        <w:rPr>
          <w:color w:val="111111"/>
          <w:sz w:val="20"/>
          <w:szCs w:val="20"/>
        </w:rPr>
        <w:t xml:space="preserve">Kahneman, D. (2011). </w:t>
      </w:r>
      <w:proofErr w:type="spellStart"/>
      <w:r>
        <w:rPr>
          <w:color w:val="111111"/>
          <w:sz w:val="20"/>
          <w:szCs w:val="20"/>
        </w:rPr>
        <w:t>Thinking</w:t>
      </w:r>
      <w:proofErr w:type="spellEnd"/>
      <w:r>
        <w:rPr>
          <w:color w:val="111111"/>
          <w:sz w:val="20"/>
          <w:szCs w:val="20"/>
        </w:rPr>
        <w:t xml:space="preserve">, </w:t>
      </w:r>
      <w:proofErr w:type="spellStart"/>
      <w:r>
        <w:rPr>
          <w:color w:val="111111"/>
          <w:sz w:val="20"/>
          <w:szCs w:val="20"/>
        </w:rPr>
        <w:t>fast</w:t>
      </w:r>
      <w:proofErr w:type="spellEnd"/>
      <w:r>
        <w:rPr>
          <w:color w:val="111111"/>
          <w:sz w:val="20"/>
          <w:szCs w:val="20"/>
        </w:rPr>
        <w:t xml:space="preserve"> and </w:t>
      </w:r>
      <w:proofErr w:type="spellStart"/>
      <w:r>
        <w:rPr>
          <w:color w:val="111111"/>
          <w:sz w:val="20"/>
          <w:szCs w:val="20"/>
        </w:rPr>
        <w:t>slow</w:t>
      </w:r>
      <w:proofErr w:type="spellEnd"/>
      <w:r>
        <w:rPr>
          <w:color w:val="111111"/>
          <w:sz w:val="20"/>
          <w:szCs w:val="20"/>
        </w:rPr>
        <w:t>. Farrar, Straus and Giroux.</w:t>
      </w:r>
    </w:p>
    <w:p w14:paraId="6F790AE2" w14:textId="77777777" w:rsidR="0066201C" w:rsidRDefault="0066201C" w:rsidP="0066201C">
      <w:pPr>
        <w:spacing w:after="100"/>
      </w:pPr>
    </w:p>
    <w:p w14:paraId="11A36016" w14:textId="77777777" w:rsidR="0066201C" w:rsidRDefault="0066201C" w:rsidP="0066201C">
      <w:pPr>
        <w:pStyle w:val="Ttulo2"/>
        <w:pBdr>
          <w:bottom w:val="single" w:sz="4" w:space="4" w:color="E8B931"/>
        </w:pBdr>
      </w:pPr>
      <w:bookmarkStart w:id="116" w:name="_Toc232659665"/>
      <w:r>
        <w:t>VII — Fuentes de datos no-</w:t>
      </w:r>
      <w:proofErr w:type="spellStart"/>
      <w:r>
        <w:t>wbgapi</w:t>
      </w:r>
      <w:proofErr w:type="spellEnd"/>
      <w:r>
        <w:t xml:space="preserve"> utilizadas en RADAR </w:t>
      </w:r>
      <w:proofErr w:type="spellStart"/>
      <w:r>
        <w:t>Cibest</w:t>
      </w:r>
      <w:bookmarkEnd w:id="116"/>
      <w:proofErr w:type="spellEnd"/>
    </w:p>
    <w:p w14:paraId="43A9F9B1" w14:textId="77777777" w:rsidR="0066201C" w:rsidRDefault="0066201C" w:rsidP="0066201C">
      <w:pPr>
        <w:spacing w:after="100"/>
      </w:pPr>
    </w:p>
    <w:p w14:paraId="6ADCE300" w14:textId="77777777" w:rsidR="0066201C" w:rsidRDefault="0066201C" w:rsidP="0066201C">
      <w:pPr>
        <w:spacing w:before="60" w:after="60" w:line="300" w:lineRule="auto"/>
        <w:ind w:left="720" w:hanging="720"/>
        <w:jc w:val="both"/>
      </w:pPr>
      <w:r>
        <w:rPr>
          <w:color w:val="111111"/>
          <w:sz w:val="20"/>
          <w:szCs w:val="20"/>
        </w:rPr>
        <w:t xml:space="preserve">CEPII — Centre </w:t>
      </w:r>
      <w:proofErr w:type="spellStart"/>
      <w:r>
        <w:rPr>
          <w:color w:val="111111"/>
          <w:sz w:val="20"/>
          <w:szCs w:val="20"/>
        </w:rPr>
        <w:t>d'Études</w:t>
      </w:r>
      <w:proofErr w:type="spellEnd"/>
      <w:r>
        <w:rPr>
          <w:color w:val="111111"/>
          <w:sz w:val="20"/>
          <w:szCs w:val="20"/>
        </w:rPr>
        <w:t xml:space="preserve"> Prospectives et </w:t>
      </w:r>
      <w:proofErr w:type="spellStart"/>
      <w:r>
        <w:rPr>
          <w:color w:val="111111"/>
          <w:sz w:val="20"/>
          <w:szCs w:val="20"/>
        </w:rPr>
        <w:t>d'Informations</w:t>
      </w:r>
      <w:proofErr w:type="spellEnd"/>
      <w:r>
        <w:rPr>
          <w:color w:val="111111"/>
          <w:sz w:val="20"/>
          <w:szCs w:val="20"/>
        </w:rPr>
        <w:t xml:space="preserve"> </w:t>
      </w:r>
      <w:proofErr w:type="spellStart"/>
      <w:r>
        <w:rPr>
          <w:color w:val="111111"/>
          <w:sz w:val="20"/>
          <w:szCs w:val="20"/>
        </w:rPr>
        <w:t>Internationales</w:t>
      </w:r>
      <w:proofErr w:type="spellEnd"/>
      <w:r>
        <w:rPr>
          <w:color w:val="111111"/>
          <w:sz w:val="20"/>
          <w:szCs w:val="20"/>
        </w:rPr>
        <w:t xml:space="preserve">. (2011). </w:t>
      </w:r>
      <w:proofErr w:type="spellStart"/>
      <w:r>
        <w:rPr>
          <w:color w:val="111111"/>
          <w:sz w:val="20"/>
          <w:szCs w:val="20"/>
        </w:rPr>
        <w:t>GeoDist</w:t>
      </w:r>
      <w:proofErr w:type="spellEnd"/>
      <w:r>
        <w:rPr>
          <w:color w:val="111111"/>
          <w:sz w:val="20"/>
          <w:szCs w:val="20"/>
        </w:rPr>
        <w:t xml:space="preserve"> </w:t>
      </w:r>
      <w:proofErr w:type="spellStart"/>
      <w:r>
        <w:rPr>
          <w:color w:val="111111"/>
          <w:sz w:val="20"/>
          <w:szCs w:val="20"/>
        </w:rPr>
        <w:t>database</w:t>
      </w:r>
      <w:proofErr w:type="spellEnd"/>
      <w:r>
        <w:rPr>
          <w:color w:val="111111"/>
          <w:sz w:val="20"/>
          <w:szCs w:val="20"/>
        </w:rPr>
        <w:t>. CEPII. http://www.cepii.fr/CEPII/en/bdd_modele/bdd_modele_item.asp?id=6</w:t>
      </w:r>
    </w:p>
    <w:p w14:paraId="36FD5FD3" w14:textId="77777777" w:rsidR="0066201C" w:rsidRDefault="0066201C" w:rsidP="0066201C">
      <w:pPr>
        <w:spacing w:before="60" w:after="60" w:line="300" w:lineRule="auto"/>
        <w:ind w:left="720" w:hanging="720"/>
        <w:jc w:val="both"/>
      </w:pPr>
      <w:r>
        <w:rPr>
          <w:color w:val="111111"/>
          <w:sz w:val="20"/>
          <w:szCs w:val="20"/>
        </w:rPr>
        <w:t>DANE — Departamento Administrativo Nacional de Estadística / Migración Colombia. (varios años). Salidas de colombianos al exterior por país de destino. Migración Colombia. https://www.migracioncolombia.gov.co</w:t>
      </w:r>
    </w:p>
    <w:p w14:paraId="3151FFFD" w14:textId="77777777" w:rsidR="0066201C" w:rsidRDefault="0066201C" w:rsidP="0066201C">
      <w:pPr>
        <w:spacing w:before="60" w:after="60" w:line="300" w:lineRule="auto"/>
        <w:ind w:left="720" w:hanging="720"/>
        <w:jc w:val="both"/>
      </w:pPr>
      <w:r>
        <w:rPr>
          <w:color w:val="111111"/>
          <w:sz w:val="20"/>
          <w:szCs w:val="20"/>
        </w:rPr>
        <w:t xml:space="preserve">Damodaran, A. (actualización anual). Country </w:t>
      </w:r>
      <w:proofErr w:type="spellStart"/>
      <w:r>
        <w:rPr>
          <w:color w:val="111111"/>
          <w:sz w:val="20"/>
          <w:szCs w:val="20"/>
        </w:rPr>
        <w:t>risk</w:t>
      </w:r>
      <w:proofErr w:type="spellEnd"/>
      <w:r>
        <w:rPr>
          <w:color w:val="111111"/>
          <w:sz w:val="20"/>
          <w:szCs w:val="20"/>
        </w:rPr>
        <w:t xml:space="preserve"> premium and </w:t>
      </w:r>
      <w:proofErr w:type="spellStart"/>
      <w:r>
        <w:rPr>
          <w:color w:val="111111"/>
          <w:sz w:val="20"/>
          <w:szCs w:val="20"/>
        </w:rPr>
        <w:t>equity</w:t>
      </w:r>
      <w:proofErr w:type="spellEnd"/>
      <w:r>
        <w:rPr>
          <w:color w:val="111111"/>
          <w:sz w:val="20"/>
          <w:szCs w:val="20"/>
        </w:rPr>
        <w:t xml:space="preserve"> </w:t>
      </w:r>
      <w:proofErr w:type="spellStart"/>
      <w:r>
        <w:rPr>
          <w:color w:val="111111"/>
          <w:sz w:val="20"/>
          <w:szCs w:val="20"/>
        </w:rPr>
        <w:t>risk</w:t>
      </w:r>
      <w:proofErr w:type="spellEnd"/>
      <w:r>
        <w:rPr>
          <w:color w:val="111111"/>
          <w:sz w:val="20"/>
          <w:szCs w:val="20"/>
        </w:rPr>
        <w:t xml:space="preserve"> premium </w:t>
      </w:r>
      <w:proofErr w:type="spellStart"/>
      <w:r>
        <w:rPr>
          <w:color w:val="111111"/>
          <w:sz w:val="20"/>
          <w:szCs w:val="20"/>
        </w:rPr>
        <w:t>by</w:t>
      </w:r>
      <w:proofErr w:type="spellEnd"/>
      <w:r>
        <w:rPr>
          <w:color w:val="111111"/>
          <w:sz w:val="20"/>
          <w:szCs w:val="20"/>
        </w:rPr>
        <w:t xml:space="preserve"> country. NYU Stern School </w:t>
      </w:r>
      <w:proofErr w:type="spellStart"/>
      <w:r>
        <w:rPr>
          <w:color w:val="111111"/>
          <w:sz w:val="20"/>
          <w:szCs w:val="20"/>
        </w:rPr>
        <w:t>of</w:t>
      </w:r>
      <w:proofErr w:type="spellEnd"/>
      <w:r>
        <w:rPr>
          <w:color w:val="111111"/>
          <w:sz w:val="20"/>
          <w:szCs w:val="20"/>
        </w:rPr>
        <w:t xml:space="preserve"> Business. https://pages.stern.nyu.edu/~adamodar/</w:t>
      </w:r>
    </w:p>
    <w:p w14:paraId="31D65AB0" w14:textId="77777777" w:rsidR="0066201C" w:rsidRDefault="0066201C" w:rsidP="0066201C">
      <w:pPr>
        <w:spacing w:before="60" w:after="60" w:line="300" w:lineRule="auto"/>
        <w:ind w:left="720" w:hanging="720"/>
        <w:jc w:val="both"/>
      </w:pPr>
      <w:r>
        <w:rPr>
          <w:color w:val="111111"/>
          <w:sz w:val="20"/>
          <w:szCs w:val="20"/>
        </w:rPr>
        <w:t xml:space="preserve">Heritage </w:t>
      </w:r>
      <w:proofErr w:type="spellStart"/>
      <w:r>
        <w:rPr>
          <w:color w:val="111111"/>
          <w:sz w:val="20"/>
          <w:szCs w:val="20"/>
        </w:rPr>
        <w:t>Foundation</w:t>
      </w:r>
      <w:proofErr w:type="spellEnd"/>
      <w:r>
        <w:rPr>
          <w:color w:val="111111"/>
          <w:sz w:val="20"/>
          <w:szCs w:val="20"/>
        </w:rPr>
        <w:t xml:space="preserve">. (2025). </w:t>
      </w:r>
      <w:proofErr w:type="spellStart"/>
      <w:r>
        <w:rPr>
          <w:color w:val="111111"/>
          <w:sz w:val="20"/>
          <w:szCs w:val="20"/>
        </w:rPr>
        <w:t>Index</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Economic</w:t>
      </w:r>
      <w:proofErr w:type="spellEnd"/>
      <w:r>
        <w:rPr>
          <w:color w:val="111111"/>
          <w:sz w:val="20"/>
          <w:szCs w:val="20"/>
        </w:rPr>
        <w:t xml:space="preserve"> Freedom. Heritage </w:t>
      </w:r>
      <w:proofErr w:type="spellStart"/>
      <w:r>
        <w:rPr>
          <w:color w:val="111111"/>
          <w:sz w:val="20"/>
          <w:szCs w:val="20"/>
        </w:rPr>
        <w:t>Foundation</w:t>
      </w:r>
      <w:proofErr w:type="spellEnd"/>
      <w:r>
        <w:rPr>
          <w:color w:val="111111"/>
          <w:sz w:val="20"/>
          <w:szCs w:val="20"/>
        </w:rPr>
        <w:t>. https://www.heritage.org/index/</w:t>
      </w:r>
    </w:p>
    <w:p w14:paraId="0761DA3F" w14:textId="77777777" w:rsidR="0066201C" w:rsidRDefault="0066201C" w:rsidP="0066201C">
      <w:pPr>
        <w:spacing w:before="60" w:after="60" w:line="300" w:lineRule="auto"/>
        <w:ind w:left="720" w:hanging="720"/>
        <w:jc w:val="both"/>
      </w:pPr>
      <w:r>
        <w:rPr>
          <w:color w:val="111111"/>
          <w:sz w:val="20"/>
          <w:szCs w:val="20"/>
        </w:rPr>
        <w:t xml:space="preserve">Hofstede </w:t>
      </w:r>
      <w:proofErr w:type="spellStart"/>
      <w:r>
        <w:rPr>
          <w:color w:val="111111"/>
          <w:sz w:val="20"/>
          <w:szCs w:val="20"/>
        </w:rPr>
        <w:t>Insights</w:t>
      </w:r>
      <w:proofErr w:type="spellEnd"/>
      <w:r>
        <w:rPr>
          <w:color w:val="111111"/>
          <w:sz w:val="20"/>
          <w:szCs w:val="20"/>
        </w:rPr>
        <w:t xml:space="preserve">. (s.f.). Country </w:t>
      </w:r>
      <w:proofErr w:type="spellStart"/>
      <w:r>
        <w:rPr>
          <w:color w:val="111111"/>
          <w:sz w:val="20"/>
          <w:szCs w:val="20"/>
        </w:rPr>
        <w:t>comparison</w:t>
      </w:r>
      <w:proofErr w:type="spellEnd"/>
      <w:r>
        <w:rPr>
          <w:color w:val="111111"/>
          <w:sz w:val="20"/>
          <w:szCs w:val="20"/>
        </w:rPr>
        <w:t xml:space="preserve"> </w:t>
      </w:r>
      <w:proofErr w:type="spellStart"/>
      <w:r>
        <w:rPr>
          <w:color w:val="111111"/>
          <w:sz w:val="20"/>
          <w:szCs w:val="20"/>
        </w:rPr>
        <w:t>tool</w:t>
      </w:r>
      <w:proofErr w:type="spellEnd"/>
      <w:r>
        <w:rPr>
          <w:color w:val="111111"/>
          <w:sz w:val="20"/>
          <w:szCs w:val="20"/>
        </w:rPr>
        <w:t xml:space="preserve"> — Six </w:t>
      </w:r>
      <w:proofErr w:type="spellStart"/>
      <w:r>
        <w:rPr>
          <w:color w:val="111111"/>
          <w:sz w:val="20"/>
          <w:szCs w:val="20"/>
        </w:rPr>
        <w:t>dimensions</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national</w:t>
      </w:r>
      <w:proofErr w:type="spellEnd"/>
      <w:r>
        <w:rPr>
          <w:color w:val="111111"/>
          <w:sz w:val="20"/>
          <w:szCs w:val="20"/>
        </w:rPr>
        <w:t xml:space="preserve"> culture. Hofstede </w:t>
      </w:r>
      <w:proofErr w:type="spellStart"/>
      <w:r>
        <w:rPr>
          <w:color w:val="111111"/>
          <w:sz w:val="20"/>
          <w:szCs w:val="20"/>
        </w:rPr>
        <w:t>Insights</w:t>
      </w:r>
      <w:proofErr w:type="spellEnd"/>
      <w:r>
        <w:rPr>
          <w:color w:val="111111"/>
          <w:sz w:val="20"/>
          <w:szCs w:val="20"/>
        </w:rPr>
        <w:t>. https://www.hofstede-insights.com/product/compare-countries/</w:t>
      </w:r>
    </w:p>
    <w:p w14:paraId="4FFE613A" w14:textId="77777777" w:rsidR="0066201C" w:rsidRDefault="0066201C" w:rsidP="0066201C">
      <w:pPr>
        <w:spacing w:before="60" w:after="60" w:line="300" w:lineRule="auto"/>
        <w:ind w:left="720" w:hanging="720"/>
        <w:jc w:val="both"/>
      </w:pPr>
      <w:r>
        <w:rPr>
          <w:color w:val="111111"/>
          <w:sz w:val="20"/>
          <w:szCs w:val="20"/>
        </w:rPr>
        <w:t xml:space="preserve">OFAC — Office </w:t>
      </w:r>
      <w:proofErr w:type="spellStart"/>
      <w:r>
        <w:rPr>
          <w:color w:val="111111"/>
          <w:sz w:val="20"/>
          <w:szCs w:val="20"/>
        </w:rPr>
        <w:t>of</w:t>
      </w:r>
      <w:proofErr w:type="spellEnd"/>
      <w:r>
        <w:rPr>
          <w:color w:val="111111"/>
          <w:sz w:val="20"/>
          <w:szCs w:val="20"/>
        </w:rPr>
        <w:t xml:space="preserve"> Foreign </w:t>
      </w:r>
      <w:proofErr w:type="spellStart"/>
      <w:r>
        <w:rPr>
          <w:color w:val="111111"/>
          <w:sz w:val="20"/>
          <w:szCs w:val="20"/>
        </w:rPr>
        <w:t>Assets</w:t>
      </w:r>
      <w:proofErr w:type="spellEnd"/>
      <w:r>
        <w:rPr>
          <w:color w:val="111111"/>
          <w:sz w:val="20"/>
          <w:szCs w:val="20"/>
        </w:rPr>
        <w:t xml:space="preserve"> Control. (actualización continua). </w:t>
      </w:r>
      <w:proofErr w:type="spellStart"/>
      <w:r>
        <w:rPr>
          <w:color w:val="111111"/>
          <w:sz w:val="20"/>
          <w:szCs w:val="20"/>
        </w:rPr>
        <w:t>Sanctions</w:t>
      </w:r>
      <w:proofErr w:type="spellEnd"/>
      <w:r>
        <w:rPr>
          <w:color w:val="111111"/>
          <w:sz w:val="20"/>
          <w:szCs w:val="20"/>
        </w:rPr>
        <w:t xml:space="preserve"> </w:t>
      </w:r>
      <w:proofErr w:type="spellStart"/>
      <w:r>
        <w:rPr>
          <w:color w:val="111111"/>
          <w:sz w:val="20"/>
          <w:szCs w:val="20"/>
        </w:rPr>
        <w:t>list</w:t>
      </w:r>
      <w:proofErr w:type="spellEnd"/>
      <w:r>
        <w:rPr>
          <w:color w:val="111111"/>
          <w:sz w:val="20"/>
          <w:szCs w:val="20"/>
        </w:rPr>
        <w:t xml:space="preserve"> </w:t>
      </w:r>
      <w:proofErr w:type="spellStart"/>
      <w:r>
        <w:rPr>
          <w:color w:val="111111"/>
          <w:sz w:val="20"/>
          <w:szCs w:val="20"/>
        </w:rPr>
        <w:t>search</w:t>
      </w:r>
      <w:proofErr w:type="spellEnd"/>
      <w:r>
        <w:rPr>
          <w:color w:val="111111"/>
          <w:sz w:val="20"/>
          <w:szCs w:val="20"/>
        </w:rPr>
        <w:t xml:space="preserve">. U.S. </w:t>
      </w:r>
      <w:proofErr w:type="spellStart"/>
      <w:r>
        <w:rPr>
          <w:color w:val="111111"/>
          <w:sz w:val="20"/>
          <w:szCs w:val="20"/>
        </w:rPr>
        <w:t>Department</w:t>
      </w:r>
      <w:proofErr w:type="spellEnd"/>
      <w:r>
        <w:rPr>
          <w:color w:val="111111"/>
          <w:sz w:val="20"/>
          <w:szCs w:val="20"/>
        </w:rPr>
        <w:t xml:space="preserve"> </w:t>
      </w:r>
      <w:proofErr w:type="spellStart"/>
      <w:r>
        <w:rPr>
          <w:color w:val="111111"/>
          <w:sz w:val="20"/>
          <w:szCs w:val="20"/>
        </w:rPr>
        <w:t>of</w:t>
      </w:r>
      <w:proofErr w:type="spellEnd"/>
      <w:r>
        <w:rPr>
          <w:color w:val="111111"/>
          <w:sz w:val="20"/>
          <w:szCs w:val="20"/>
        </w:rPr>
        <w:t xml:space="preserve"> </w:t>
      </w:r>
      <w:proofErr w:type="spellStart"/>
      <w:r>
        <w:rPr>
          <w:color w:val="111111"/>
          <w:sz w:val="20"/>
          <w:szCs w:val="20"/>
        </w:rPr>
        <w:t>the</w:t>
      </w:r>
      <w:proofErr w:type="spellEnd"/>
      <w:r>
        <w:rPr>
          <w:color w:val="111111"/>
          <w:sz w:val="20"/>
          <w:szCs w:val="20"/>
        </w:rPr>
        <w:t xml:space="preserve"> </w:t>
      </w:r>
      <w:proofErr w:type="spellStart"/>
      <w:r>
        <w:rPr>
          <w:color w:val="111111"/>
          <w:sz w:val="20"/>
          <w:szCs w:val="20"/>
        </w:rPr>
        <w:t>Treasury</w:t>
      </w:r>
      <w:proofErr w:type="spellEnd"/>
      <w:r>
        <w:rPr>
          <w:color w:val="111111"/>
          <w:sz w:val="20"/>
          <w:szCs w:val="20"/>
        </w:rPr>
        <w:t>. https://ofac.treasury.gov/</w:t>
      </w:r>
    </w:p>
    <w:p w14:paraId="6CE4CCB4" w14:textId="77777777" w:rsidR="0066201C" w:rsidRDefault="0066201C" w:rsidP="0066201C">
      <w:pPr>
        <w:spacing w:before="60" w:after="60" w:line="300" w:lineRule="auto"/>
        <w:ind w:left="720" w:hanging="720"/>
        <w:jc w:val="both"/>
      </w:pPr>
      <w:r>
        <w:rPr>
          <w:color w:val="111111"/>
          <w:sz w:val="20"/>
          <w:szCs w:val="20"/>
        </w:rPr>
        <w:t xml:space="preserve">PwC. (actualización anual). </w:t>
      </w:r>
      <w:proofErr w:type="spellStart"/>
      <w:r>
        <w:rPr>
          <w:color w:val="111111"/>
          <w:sz w:val="20"/>
          <w:szCs w:val="20"/>
        </w:rPr>
        <w:t>Worldwide</w:t>
      </w:r>
      <w:proofErr w:type="spellEnd"/>
      <w:r>
        <w:rPr>
          <w:color w:val="111111"/>
          <w:sz w:val="20"/>
          <w:szCs w:val="20"/>
        </w:rPr>
        <w:t xml:space="preserve"> </w:t>
      </w:r>
      <w:proofErr w:type="spellStart"/>
      <w:r>
        <w:rPr>
          <w:color w:val="111111"/>
          <w:sz w:val="20"/>
          <w:szCs w:val="20"/>
        </w:rPr>
        <w:t>tax</w:t>
      </w:r>
      <w:proofErr w:type="spellEnd"/>
      <w:r>
        <w:rPr>
          <w:color w:val="111111"/>
          <w:sz w:val="20"/>
          <w:szCs w:val="20"/>
        </w:rPr>
        <w:t xml:space="preserve"> </w:t>
      </w:r>
      <w:proofErr w:type="spellStart"/>
      <w:r>
        <w:rPr>
          <w:color w:val="111111"/>
          <w:sz w:val="20"/>
          <w:szCs w:val="20"/>
        </w:rPr>
        <w:t>summaries</w:t>
      </w:r>
      <w:proofErr w:type="spellEnd"/>
      <w:r>
        <w:rPr>
          <w:color w:val="111111"/>
          <w:sz w:val="20"/>
          <w:szCs w:val="20"/>
        </w:rPr>
        <w:t xml:space="preserve"> — </w:t>
      </w:r>
      <w:proofErr w:type="spellStart"/>
      <w:r>
        <w:rPr>
          <w:color w:val="111111"/>
          <w:sz w:val="20"/>
          <w:szCs w:val="20"/>
        </w:rPr>
        <w:t>Corporate</w:t>
      </w:r>
      <w:proofErr w:type="spellEnd"/>
      <w:r>
        <w:rPr>
          <w:color w:val="111111"/>
          <w:sz w:val="20"/>
          <w:szCs w:val="20"/>
        </w:rPr>
        <w:t xml:space="preserve"> </w:t>
      </w:r>
      <w:proofErr w:type="spellStart"/>
      <w:r>
        <w:rPr>
          <w:color w:val="111111"/>
          <w:sz w:val="20"/>
          <w:szCs w:val="20"/>
        </w:rPr>
        <w:t>taxes</w:t>
      </w:r>
      <w:proofErr w:type="spellEnd"/>
      <w:r>
        <w:rPr>
          <w:color w:val="111111"/>
          <w:sz w:val="20"/>
          <w:szCs w:val="20"/>
        </w:rPr>
        <w:t xml:space="preserve"> </w:t>
      </w:r>
      <w:proofErr w:type="spellStart"/>
      <w:r>
        <w:rPr>
          <w:color w:val="111111"/>
          <w:sz w:val="20"/>
          <w:szCs w:val="20"/>
        </w:rPr>
        <w:t>by</w:t>
      </w:r>
      <w:proofErr w:type="spellEnd"/>
      <w:r>
        <w:rPr>
          <w:color w:val="111111"/>
          <w:sz w:val="20"/>
          <w:szCs w:val="20"/>
        </w:rPr>
        <w:t xml:space="preserve"> country. PricewaterhouseCoopers. https://taxsummaries.pwc.com</w:t>
      </w:r>
    </w:p>
    <w:p w14:paraId="208DFF0B" w14:textId="77777777" w:rsidR="0066201C" w:rsidRDefault="0066201C" w:rsidP="0066201C">
      <w:pPr>
        <w:spacing w:after="200"/>
      </w:pPr>
    </w:p>
    <w:p w14:paraId="027E00F9" w14:textId="77777777" w:rsidR="0066201C" w:rsidRDefault="0066201C" w:rsidP="0066201C">
      <w:pPr>
        <w:pBdr>
          <w:top w:val="single" w:sz="8" w:space="4" w:color="E8B931"/>
        </w:pBdr>
        <w:spacing w:before="400" w:after="160"/>
      </w:pPr>
    </w:p>
    <w:p w14:paraId="36F7F7DF" w14:textId="2FBDA612" w:rsidR="0066201C" w:rsidRDefault="0066201C" w:rsidP="0066201C">
      <w:pPr>
        <w:spacing w:after="80"/>
        <w:jc w:val="center"/>
      </w:pPr>
      <w:r>
        <w:rPr>
          <w:b/>
          <w:bCs/>
          <w:caps/>
          <w:color w:val="0D1B2A"/>
          <w:sz w:val="20"/>
          <w:szCs w:val="20"/>
        </w:rPr>
        <w:t xml:space="preserve">RADAR CIBEST — </w:t>
      </w:r>
      <w:r w:rsidR="00AA01B4">
        <w:rPr>
          <w:b/>
          <w:bCs/>
          <w:caps/>
          <w:color w:val="0D1B2A"/>
          <w:sz w:val="20"/>
          <w:szCs w:val="20"/>
        </w:rPr>
        <w:t>DOCUMENTO</w:t>
      </w:r>
      <w:r>
        <w:rPr>
          <w:b/>
          <w:bCs/>
          <w:caps/>
          <w:color w:val="0D1B2A"/>
          <w:sz w:val="20"/>
          <w:szCs w:val="20"/>
        </w:rPr>
        <w:t xml:space="preserve"> COMPLETO</w:t>
      </w:r>
    </w:p>
    <w:p w14:paraId="61ECEE51" w14:textId="77777777" w:rsidR="0066201C" w:rsidRDefault="0066201C" w:rsidP="0066201C">
      <w:pPr>
        <w:spacing w:after="80"/>
        <w:jc w:val="center"/>
      </w:pPr>
      <w:r>
        <w:rPr>
          <w:i/>
          <w:iCs/>
          <w:color w:val="1B4D6E"/>
          <w:sz w:val="20"/>
          <w:szCs w:val="20"/>
        </w:rPr>
        <w:t xml:space="preserve">Marco Metodológico para la Selección Internacional de Mercados de Grupo </w:t>
      </w:r>
      <w:proofErr w:type="spellStart"/>
      <w:r>
        <w:rPr>
          <w:i/>
          <w:iCs/>
          <w:color w:val="1B4D6E"/>
          <w:sz w:val="20"/>
          <w:szCs w:val="20"/>
        </w:rPr>
        <w:t>Cibest</w:t>
      </w:r>
      <w:proofErr w:type="spellEnd"/>
    </w:p>
    <w:p w14:paraId="597F9522" w14:textId="77777777" w:rsidR="0066201C" w:rsidRDefault="0066201C" w:rsidP="0066201C">
      <w:pPr>
        <w:spacing w:after="80"/>
        <w:jc w:val="center"/>
      </w:pPr>
      <w:r>
        <w:rPr>
          <w:color w:val="666666"/>
          <w:sz w:val="18"/>
          <w:szCs w:val="18"/>
        </w:rPr>
        <w:t xml:space="preserve">Versión 1.0 | </w:t>
      </w:r>
      <w:proofErr w:type="gramStart"/>
      <w:r>
        <w:rPr>
          <w:color w:val="666666"/>
          <w:sz w:val="18"/>
          <w:szCs w:val="18"/>
        </w:rPr>
        <w:t>Marzo</w:t>
      </w:r>
      <w:proofErr w:type="gramEnd"/>
      <w:r>
        <w:rPr>
          <w:color w:val="666666"/>
          <w:sz w:val="18"/>
          <w:szCs w:val="18"/>
        </w:rPr>
        <w:t xml:space="preserve"> 2026 | Grupo </w:t>
      </w:r>
      <w:proofErr w:type="spellStart"/>
      <w:r>
        <w:rPr>
          <w:color w:val="666666"/>
          <w:sz w:val="18"/>
          <w:szCs w:val="18"/>
        </w:rPr>
        <w:t>Cibest</w:t>
      </w:r>
      <w:proofErr w:type="spellEnd"/>
      <w:r>
        <w:rPr>
          <w:color w:val="666666"/>
          <w:sz w:val="18"/>
          <w:szCs w:val="18"/>
        </w:rPr>
        <w:t xml:space="preserve"> — Dirección de Estrategia Corporativa</w:t>
      </w:r>
    </w:p>
    <w:p w14:paraId="0E890EEC" w14:textId="77777777" w:rsidR="0066201C" w:rsidRDefault="0066201C" w:rsidP="0066201C">
      <w:pPr>
        <w:spacing w:after="80"/>
        <w:jc w:val="center"/>
      </w:pPr>
      <w:r>
        <w:rPr>
          <w:color w:val="666666"/>
          <w:sz w:val="18"/>
          <w:szCs w:val="18"/>
        </w:rPr>
        <w:t>Autor: Jhon Adarve</w:t>
      </w:r>
    </w:p>
    <w:p w14:paraId="3B0E37D8" w14:textId="77777777" w:rsidR="0066201C" w:rsidRDefault="0066201C" w:rsidP="0066201C">
      <w:pPr>
        <w:spacing w:after="240"/>
        <w:jc w:val="center"/>
      </w:pPr>
      <w:r>
        <w:rPr>
          <w:b/>
          <w:bCs/>
          <w:caps/>
          <w:color w:val="8B1A1A"/>
          <w:sz w:val="18"/>
          <w:szCs w:val="18"/>
        </w:rPr>
        <w:t>CONFIDENCIAL — USO INTERNO RESTRINGIDO</w:t>
      </w:r>
    </w:p>
    <w:p w14:paraId="63D3BBA1" w14:textId="77777777" w:rsidR="00182F4A" w:rsidRDefault="00182F4A">
      <w:pPr>
        <w:spacing w:after="240"/>
        <w:jc w:val="center"/>
      </w:pPr>
    </w:p>
    <w:sectPr w:rsidR="00182F4A">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D46C" w14:textId="77777777" w:rsidR="006F2A03" w:rsidRDefault="006F2A03">
      <w:r>
        <w:separator/>
      </w:r>
    </w:p>
  </w:endnote>
  <w:endnote w:type="continuationSeparator" w:id="0">
    <w:p w14:paraId="37685603" w14:textId="77777777" w:rsidR="006F2A03" w:rsidRDefault="006F2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D9C48" w14:textId="77777777" w:rsidR="004845BC" w:rsidRDefault="00000000">
    <w:pPr>
      <w:pBdr>
        <w:top w:val="single" w:sz="4" w:space="4" w:color="E8B931"/>
      </w:pBdr>
      <w:spacing w:before="80"/>
    </w:pPr>
    <w:r>
      <w:rPr>
        <w:color w:val="666666"/>
        <w:sz w:val="16"/>
        <w:szCs w:val="16"/>
      </w:rPr>
      <w:t xml:space="preserve">Grupo </w:t>
    </w:r>
    <w:proofErr w:type="spellStart"/>
    <w:r>
      <w:rPr>
        <w:color w:val="666666"/>
        <w:sz w:val="16"/>
        <w:szCs w:val="16"/>
      </w:rPr>
      <w:t>Cibest</w:t>
    </w:r>
    <w:proofErr w:type="spellEnd"/>
    <w:r>
      <w:rPr>
        <w:color w:val="666666"/>
        <w:sz w:val="16"/>
        <w:szCs w:val="16"/>
      </w:rPr>
      <w:t xml:space="preserve"> — Dirección de Estrategia Corporativa    |    Uso Interno Restringido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D4D66" w14:textId="77777777" w:rsidR="006F2A03" w:rsidRDefault="006F2A03">
      <w:r>
        <w:separator/>
      </w:r>
    </w:p>
  </w:footnote>
  <w:footnote w:type="continuationSeparator" w:id="0">
    <w:p w14:paraId="21D505A3" w14:textId="77777777" w:rsidR="006F2A03" w:rsidRDefault="006F2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D9C47" w14:textId="77777777" w:rsidR="004845BC" w:rsidRDefault="00000000">
    <w:pPr>
      <w:pBdr>
        <w:bottom w:val="single" w:sz="4" w:space="4" w:color="E8B931"/>
      </w:pBdr>
      <w:spacing w:after="80"/>
    </w:pPr>
    <w:r>
      <w:rPr>
        <w:color w:val="666666"/>
        <w:sz w:val="16"/>
        <w:szCs w:val="16"/>
      </w:rPr>
      <w:t xml:space="preserve">CONFIDENCIAL — RADAR </w:t>
    </w:r>
    <w:proofErr w:type="spellStart"/>
    <w:r>
      <w:rPr>
        <w:color w:val="666666"/>
        <w:sz w:val="16"/>
        <w:szCs w:val="16"/>
      </w:rPr>
      <w:t>Cibest</w:t>
    </w:r>
    <w:proofErr w:type="spellEnd"/>
    <w:r>
      <w:rPr>
        <w:color w:val="666666"/>
        <w:sz w:val="16"/>
        <w:szCs w:val="16"/>
      </w:rPr>
      <w:t xml:space="preserve"> | Marco Metodológico SIM</w:t>
    </w:r>
    <w:r>
      <w:rPr>
        <w:color w:val="999999"/>
        <w:sz w:val="16"/>
        <w:szCs w:val="16"/>
      </w:rPr>
      <w:t xml:space="preserve">    |    Versión 1.0 — </w:t>
    </w:r>
    <w:proofErr w:type="gramStart"/>
    <w:r>
      <w:rPr>
        <w:color w:val="999999"/>
        <w:sz w:val="16"/>
        <w:szCs w:val="16"/>
      </w:rPr>
      <w:t>Marzo</w:t>
    </w:r>
    <w:proofErr w:type="gramEnd"/>
    <w:r>
      <w:rPr>
        <w:color w:val="999999"/>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B87"/>
    <w:multiLevelType w:val="hybridMultilevel"/>
    <w:tmpl w:val="E23E187E"/>
    <w:lvl w:ilvl="0" w:tplc="1CB0CB98">
      <w:start w:val="1"/>
      <w:numFmt w:val="bullet"/>
      <w:lvlText w:val="●"/>
      <w:lvlJc w:val="left"/>
      <w:pPr>
        <w:ind w:left="720" w:hanging="360"/>
      </w:pPr>
    </w:lvl>
    <w:lvl w:ilvl="1" w:tplc="3BD0087A">
      <w:start w:val="1"/>
      <w:numFmt w:val="bullet"/>
      <w:lvlText w:val="○"/>
      <w:lvlJc w:val="left"/>
      <w:pPr>
        <w:ind w:left="1440" w:hanging="360"/>
      </w:pPr>
    </w:lvl>
    <w:lvl w:ilvl="2" w:tplc="A6D6F7E6">
      <w:start w:val="1"/>
      <w:numFmt w:val="bullet"/>
      <w:lvlText w:val="■"/>
      <w:lvlJc w:val="left"/>
      <w:pPr>
        <w:ind w:left="2160" w:hanging="360"/>
      </w:pPr>
    </w:lvl>
    <w:lvl w:ilvl="3" w:tplc="CE58C104">
      <w:start w:val="1"/>
      <w:numFmt w:val="bullet"/>
      <w:lvlText w:val="●"/>
      <w:lvlJc w:val="left"/>
      <w:pPr>
        <w:ind w:left="2880" w:hanging="360"/>
      </w:pPr>
    </w:lvl>
    <w:lvl w:ilvl="4" w:tplc="64CC4DBE">
      <w:start w:val="1"/>
      <w:numFmt w:val="bullet"/>
      <w:lvlText w:val="○"/>
      <w:lvlJc w:val="left"/>
      <w:pPr>
        <w:ind w:left="3600" w:hanging="360"/>
      </w:pPr>
    </w:lvl>
    <w:lvl w:ilvl="5" w:tplc="C16A8110">
      <w:start w:val="1"/>
      <w:numFmt w:val="bullet"/>
      <w:lvlText w:val="■"/>
      <w:lvlJc w:val="left"/>
      <w:pPr>
        <w:ind w:left="4320" w:hanging="360"/>
      </w:pPr>
    </w:lvl>
    <w:lvl w:ilvl="6" w:tplc="D8500F34">
      <w:start w:val="1"/>
      <w:numFmt w:val="bullet"/>
      <w:lvlText w:val="●"/>
      <w:lvlJc w:val="left"/>
      <w:pPr>
        <w:ind w:left="5040" w:hanging="360"/>
      </w:pPr>
    </w:lvl>
    <w:lvl w:ilvl="7" w:tplc="8F809AAC">
      <w:start w:val="1"/>
      <w:numFmt w:val="bullet"/>
      <w:lvlText w:val="●"/>
      <w:lvlJc w:val="left"/>
      <w:pPr>
        <w:ind w:left="5760" w:hanging="360"/>
      </w:pPr>
    </w:lvl>
    <w:lvl w:ilvl="8" w:tplc="1E805D06">
      <w:start w:val="1"/>
      <w:numFmt w:val="bullet"/>
      <w:lvlText w:val="●"/>
      <w:lvlJc w:val="left"/>
      <w:pPr>
        <w:ind w:left="6480" w:hanging="360"/>
      </w:pPr>
    </w:lvl>
  </w:abstractNum>
  <w:abstractNum w:abstractNumId="1" w15:restartNumberingAfterBreak="0">
    <w:nsid w:val="38DD2F96"/>
    <w:multiLevelType w:val="hybridMultilevel"/>
    <w:tmpl w:val="737E46E8"/>
    <w:lvl w:ilvl="0" w:tplc="A1166752">
      <w:start w:val="1"/>
      <w:numFmt w:val="bullet"/>
      <w:lvlText w:val="•"/>
      <w:lvlJc w:val="left"/>
      <w:pPr>
        <w:ind w:left="720" w:hanging="360"/>
      </w:pPr>
    </w:lvl>
    <w:lvl w:ilvl="1" w:tplc="10CE0232">
      <w:numFmt w:val="decimal"/>
      <w:lvlText w:val=""/>
      <w:lvlJc w:val="left"/>
    </w:lvl>
    <w:lvl w:ilvl="2" w:tplc="B718964E">
      <w:numFmt w:val="decimal"/>
      <w:lvlText w:val=""/>
      <w:lvlJc w:val="left"/>
    </w:lvl>
    <w:lvl w:ilvl="3" w:tplc="BDBAFA7E">
      <w:numFmt w:val="decimal"/>
      <w:lvlText w:val=""/>
      <w:lvlJc w:val="left"/>
    </w:lvl>
    <w:lvl w:ilvl="4" w:tplc="5C4E9312">
      <w:numFmt w:val="decimal"/>
      <w:lvlText w:val=""/>
      <w:lvlJc w:val="left"/>
    </w:lvl>
    <w:lvl w:ilvl="5" w:tplc="932EEFD6">
      <w:numFmt w:val="decimal"/>
      <w:lvlText w:val=""/>
      <w:lvlJc w:val="left"/>
    </w:lvl>
    <w:lvl w:ilvl="6" w:tplc="6A1C2E5E">
      <w:numFmt w:val="decimal"/>
      <w:lvlText w:val=""/>
      <w:lvlJc w:val="left"/>
    </w:lvl>
    <w:lvl w:ilvl="7" w:tplc="4F8AEB8A">
      <w:numFmt w:val="decimal"/>
      <w:lvlText w:val=""/>
      <w:lvlJc w:val="left"/>
    </w:lvl>
    <w:lvl w:ilvl="8" w:tplc="954AD1D2">
      <w:numFmt w:val="decimal"/>
      <w:lvlText w:val=""/>
      <w:lvlJc w:val="left"/>
    </w:lvl>
  </w:abstractNum>
  <w:num w:numId="1" w16cid:durableId="1458988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5BC"/>
    <w:rsid w:val="00020041"/>
    <w:rsid w:val="00032FDB"/>
    <w:rsid w:val="00041B94"/>
    <w:rsid w:val="000427E1"/>
    <w:rsid w:val="00094518"/>
    <w:rsid w:val="000A25FF"/>
    <w:rsid w:val="000B3576"/>
    <w:rsid w:val="000D1F55"/>
    <w:rsid w:val="000E7EBD"/>
    <w:rsid w:val="00113D29"/>
    <w:rsid w:val="001603F4"/>
    <w:rsid w:val="00182F4A"/>
    <w:rsid w:val="00223AF1"/>
    <w:rsid w:val="00225906"/>
    <w:rsid w:val="0025576B"/>
    <w:rsid w:val="002621DB"/>
    <w:rsid w:val="00267C86"/>
    <w:rsid w:val="002B22FE"/>
    <w:rsid w:val="002D005C"/>
    <w:rsid w:val="002D4D2A"/>
    <w:rsid w:val="003103B8"/>
    <w:rsid w:val="003675B5"/>
    <w:rsid w:val="003B311C"/>
    <w:rsid w:val="003B38AC"/>
    <w:rsid w:val="003B3A90"/>
    <w:rsid w:val="003C0B01"/>
    <w:rsid w:val="003E15F0"/>
    <w:rsid w:val="003F4E5F"/>
    <w:rsid w:val="00411438"/>
    <w:rsid w:val="004506DE"/>
    <w:rsid w:val="00470EA2"/>
    <w:rsid w:val="004845BC"/>
    <w:rsid w:val="004D21FF"/>
    <w:rsid w:val="004D35DF"/>
    <w:rsid w:val="00514D69"/>
    <w:rsid w:val="005232F9"/>
    <w:rsid w:val="00525979"/>
    <w:rsid w:val="005351D2"/>
    <w:rsid w:val="005A5F1B"/>
    <w:rsid w:val="005B64FB"/>
    <w:rsid w:val="005D2B87"/>
    <w:rsid w:val="006314FC"/>
    <w:rsid w:val="00637FC8"/>
    <w:rsid w:val="006429DB"/>
    <w:rsid w:val="00657256"/>
    <w:rsid w:val="0066201C"/>
    <w:rsid w:val="00687BD5"/>
    <w:rsid w:val="006D2E86"/>
    <w:rsid w:val="006F2A03"/>
    <w:rsid w:val="006F3A97"/>
    <w:rsid w:val="00705653"/>
    <w:rsid w:val="0073280D"/>
    <w:rsid w:val="00775957"/>
    <w:rsid w:val="007911DB"/>
    <w:rsid w:val="007D52DC"/>
    <w:rsid w:val="007D6E68"/>
    <w:rsid w:val="007D7F04"/>
    <w:rsid w:val="007E218D"/>
    <w:rsid w:val="007F517A"/>
    <w:rsid w:val="00800E51"/>
    <w:rsid w:val="00803983"/>
    <w:rsid w:val="00813F3A"/>
    <w:rsid w:val="008324EE"/>
    <w:rsid w:val="00832DCB"/>
    <w:rsid w:val="00877644"/>
    <w:rsid w:val="008A45EE"/>
    <w:rsid w:val="00907918"/>
    <w:rsid w:val="009155B9"/>
    <w:rsid w:val="00933177"/>
    <w:rsid w:val="00941994"/>
    <w:rsid w:val="00984A5F"/>
    <w:rsid w:val="0099033A"/>
    <w:rsid w:val="009A41FE"/>
    <w:rsid w:val="009A4D5D"/>
    <w:rsid w:val="009A5ABD"/>
    <w:rsid w:val="009B0854"/>
    <w:rsid w:val="00A06246"/>
    <w:rsid w:val="00A1742D"/>
    <w:rsid w:val="00A31222"/>
    <w:rsid w:val="00A43267"/>
    <w:rsid w:val="00A45D5D"/>
    <w:rsid w:val="00AA01B4"/>
    <w:rsid w:val="00AA1447"/>
    <w:rsid w:val="00AD7224"/>
    <w:rsid w:val="00AE5B8B"/>
    <w:rsid w:val="00AF1175"/>
    <w:rsid w:val="00B30EA8"/>
    <w:rsid w:val="00B403AF"/>
    <w:rsid w:val="00B56D01"/>
    <w:rsid w:val="00BB22CB"/>
    <w:rsid w:val="00BB2A4B"/>
    <w:rsid w:val="00BD787C"/>
    <w:rsid w:val="00BF3CEF"/>
    <w:rsid w:val="00C0242A"/>
    <w:rsid w:val="00C13F7B"/>
    <w:rsid w:val="00C14849"/>
    <w:rsid w:val="00C25E93"/>
    <w:rsid w:val="00C66284"/>
    <w:rsid w:val="00C83D10"/>
    <w:rsid w:val="00CA23E6"/>
    <w:rsid w:val="00CB0239"/>
    <w:rsid w:val="00CD3F01"/>
    <w:rsid w:val="00CE1B1C"/>
    <w:rsid w:val="00CF156F"/>
    <w:rsid w:val="00D56991"/>
    <w:rsid w:val="00D66265"/>
    <w:rsid w:val="00D93F4F"/>
    <w:rsid w:val="00D96F6E"/>
    <w:rsid w:val="00DB3950"/>
    <w:rsid w:val="00DC4236"/>
    <w:rsid w:val="00DD2775"/>
    <w:rsid w:val="00DE4AD5"/>
    <w:rsid w:val="00E06322"/>
    <w:rsid w:val="00E06EBE"/>
    <w:rsid w:val="00E16C81"/>
    <w:rsid w:val="00E271CB"/>
    <w:rsid w:val="00E32627"/>
    <w:rsid w:val="00E4066C"/>
    <w:rsid w:val="00EA432C"/>
    <w:rsid w:val="00EE0557"/>
    <w:rsid w:val="00F17A45"/>
    <w:rsid w:val="00F21A42"/>
    <w:rsid w:val="00F24FB2"/>
    <w:rsid w:val="00F420F0"/>
    <w:rsid w:val="00F517DD"/>
    <w:rsid w:val="00F54DC9"/>
    <w:rsid w:val="00F91EC7"/>
    <w:rsid w:val="00F92D60"/>
    <w:rsid w:val="00FC3843"/>
    <w:rsid w:val="00FD25A9"/>
    <w:rsid w:val="6EEB845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D9B7A"/>
  <w15:docId w15:val="{F0260521-0EC6-450B-805B-AB5B8D30A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80"/>
      <w:outlineLvl w:val="0"/>
    </w:pPr>
    <w:rPr>
      <w:b/>
      <w:bCs/>
      <w:caps/>
      <w:color w:val="FFFFFF"/>
      <w:sz w:val="32"/>
      <w:szCs w:val="32"/>
    </w:rPr>
  </w:style>
  <w:style w:type="paragraph" w:styleId="Ttulo2">
    <w:name w:val="heading 2"/>
    <w:uiPriority w:val="9"/>
    <w:unhideWhenUsed/>
    <w:qFormat/>
    <w:pPr>
      <w:spacing w:before="360" w:after="160"/>
      <w:outlineLvl w:val="1"/>
    </w:pPr>
    <w:rPr>
      <w:b/>
      <w:bCs/>
      <w:color w:val="0D1B2A"/>
      <w:sz w:val="26"/>
      <w:szCs w:val="26"/>
    </w:rPr>
  </w:style>
  <w:style w:type="paragraph" w:styleId="Ttulo3">
    <w:name w:val="heading 3"/>
    <w:uiPriority w:val="9"/>
    <w:unhideWhenUsed/>
    <w:qFormat/>
    <w:pPr>
      <w:spacing w:before="280" w:after="120"/>
      <w:outlineLvl w:val="2"/>
    </w:pPr>
    <w:rPr>
      <w:b/>
      <w:bCs/>
      <w:color w:val="1B4D6E"/>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D56991"/>
    <w:pPr>
      <w:keepNext/>
      <w:keepLines/>
      <w:spacing w:before="240" w:after="0" w:line="259" w:lineRule="auto"/>
      <w:outlineLvl w:val="9"/>
    </w:pPr>
    <w:rPr>
      <w:rFonts w:asciiTheme="majorHAnsi" w:eastAsiaTheme="majorEastAsia" w:hAnsiTheme="majorHAnsi" w:cstheme="majorBidi"/>
      <w:b w:val="0"/>
      <w:bCs w:val="0"/>
      <w:caps w:val="0"/>
      <w:color w:val="0F4761" w:themeColor="accent1" w:themeShade="BF"/>
    </w:rPr>
  </w:style>
  <w:style w:type="paragraph" w:styleId="TDC1">
    <w:name w:val="toc 1"/>
    <w:basedOn w:val="Normal"/>
    <w:next w:val="Normal"/>
    <w:autoRedefine/>
    <w:uiPriority w:val="39"/>
    <w:unhideWhenUsed/>
    <w:rsid w:val="00D56991"/>
    <w:pPr>
      <w:spacing w:after="100"/>
    </w:pPr>
  </w:style>
  <w:style w:type="paragraph" w:styleId="TDC2">
    <w:name w:val="toc 2"/>
    <w:basedOn w:val="Normal"/>
    <w:next w:val="Normal"/>
    <w:autoRedefine/>
    <w:uiPriority w:val="39"/>
    <w:unhideWhenUsed/>
    <w:rsid w:val="00D56991"/>
    <w:pPr>
      <w:spacing w:after="100"/>
      <w:ind w:left="220"/>
    </w:pPr>
  </w:style>
  <w:style w:type="paragraph" w:styleId="TDC3">
    <w:name w:val="toc 3"/>
    <w:basedOn w:val="Normal"/>
    <w:next w:val="Normal"/>
    <w:autoRedefine/>
    <w:uiPriority w:val="39"/>
    <w:unhideWhenUsed/>
    <w:rsid w:val="00D56991"/>
    <w:pPr>
      <w:spacing w:after="100"/>
      <w:ind w:left="440"/>
    </w:pPr>
  </w:style>
  <w:style w:type="paragraph" w:styleId="TDC4">
    <w:name w:val="toc 4"/>
    <w:basedOn w:val="Normal"/>
    <w:next w:val="Normal"/>
    <w:autoRedefine/>
    <w:uiPriority w:val="39"/>
    <w:unhideWhenUsed/>
    <w:rsid w:val="00D5699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D5699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D5699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D5699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D5699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D5699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7911DB"/>
    <w:rPr>
      <w:color w:val="605E5C"/>
      <w:shd w:val="clear" w:color="auto" w:fill="E1DFDD"/>
    </w:rPr>
  </w:style>
  <w:style w:type="paragraph" w:styleId="Encabezado">
    <w:name w:val="header"/>
    <w:basedOn w:val="Normal"/>
    <w:link w:val="EncabezadoCar"/>
    <w:uiPriority w:val="99"/>
    <w:semiHidden/>
    <w:unhideWhenUsed/>
    <w:rsid w:val="00C14849"/>
    <w:pPr>
      <w:tabs>
        <w:tab w:val="center" w:pos="4419"/>
        <w:tab w:val="right" w:pos="8838"/>
      </w:tabs>
    </w:pPr>
  </w:style>
  <w:style w:type="character" w:customStyle="1" w:styleId="EncabezadoCar">
    <w:name w:val="Encabezado Car"/>
    <w:basedOn w:val="Fuentedeprrafopredeter"/>
    <w:link w:val="Encabezado"/>
    <w:uiPriority w:val="99"/>
    <w:semiHidden/>
    <w:rsid w:val="00C14849"/>
  </w:style>
  <w:style w:type="paragraph" w:styleId="Piedepgina">
    <w:name w:val="footer"/>
    <w:basedOn w:val="Normal"/>
    <w:link w:val="PiedepginaCar"/>
    <w:uiPriority w:val="99"/>
    <w:semiHidden/>
    <w:unhideWhenUsed/>
    <w:rsid w:val="00C14849"/>
    <w:pPr>
      <w:tabs>
        <w:tab w:val="center" w:pos="4419"/>
        <w:tab w:val="right" w:pos="8838"/>
      </w:tabs>
    </w:pPr>
  </w:style>
  <w:style w:type="character" w:customStyle="1" w:styleId="PiedepginaCar">
    <w:name w:val="Pie de página Car"/>
    <w:basedOn w:val="Fuentedeprrafopredeter"/>
    <w:link w:val="Piedepgina"/>
    <w:uiPriority w:val="99"/>
    <w:semiHidden/>
    <w:rsid w:val="00C148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akermckenzie.com/en/insight/publication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db84cf5-7b90-4975-ac59-48605b7615d6">
      <Terms xmlns="http://schemas.microsoft.com/office/infopath/2007/PartnerControls"/>
    </lcf76f155ced4ddcb4097134ff3c332f>
    <TaxCatchAll xmlns="aa7fe662-c9a2-42a2-b02e-3f1e743424c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AEA3508F8CBE148AE825618BC9A7D29" ma:contentTypeVersion="21" ma:contentTypeDescription="Crear nuevo documento." ma:contentTypeScope="" ma:versionID="dd349b4b0c5643cc5dc9918fe10d1b97">
  <xsd:schema xmlns:xsd="http://www.w3.org/2001/XMLSchema" xmlns:xs="http://www.w3.org/2001/XMLSchema" xmlns:p="http://schemas.microsoft.com/office/2006/metadata/properties" xmlns:ns1="http://schemas.microsoft.com/sharepoint/v3" xmlns:ns2="bdb84cf5-7b90-4975-ac59-48605b7615d6" xmlns:ns3="aa7fe662-c9a2-42a2-b02e-3f1e743424c8" targetNamespace="http://schemas.microsoft.com/office/2006/metadata/properties" ma:root="true" ma:fieldsID="5f829bcbeca986f3e22d5b0fba060e3d" ns1:_="" ns2:_="" ns3:_="">
    <xsd:import namespace="http://schemas.microsoft.com/sharepoint/v3"/>
    <xsd:import namespace="bdb84cf5-7b90-4975-ac59-48605b7615d6"/>
    <xsd:import namespace="aa7fe662-c9a2-42a2-b02e-3f1e743424c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b84cf5-7b90-4975-ac59-48605b7615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53a41489-9efd-4705-82fc-442e31f9b69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7fe662-c9a2-42a2-b02e-3f1e743424c8" elementFormDefault="qualified">
    <xsd:import namespace="http://schemas.microsoft.com/office/2006/documentManagement/types"/>
    <xsd:import namespace="http://schemas.microsoft.com/office/infopath/2007/PartnerControls"/>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b448d00f-e657-4ae6-a884-6481fdc4c969}" ma:internalName="TaxCatchAll" ma:showField="CatchAllData" ma:web="aa7fe662-c9a2-42a2-b02e-3f1e743424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4FEFA-ED25-4C4C-A215-7C8C6AB9DB88}">
  <ds:schemaRefs>
    <ds:schemaRef ds:uri="http://schemas.microsoft.com/office/2006/metadata/properties"/>
    <ds:schemaRef ds:uri="http://schemas.microsoft.com/office/infopath/2007/PartnerControls"/>
    <ds:schemaRef ds:uri="http://schemas.microsoft.com/sharepoint/v3"/>
    <ds:schemaRef ds:uri="bdb84cf5-7b90-4975-ac59-48605b7615d6"/>
    <ds:schemaRef ds:uri="aa7fe662-c9a2-42a2-b02e-3f1e743424c8"/>
  </ds:schemaRefs>
</ds:datastoreItem>
</file>

<file path=customXml/itemProps2.xml><?xml version="1.0" encoding="utf-8"?>
<ds:datastoreItem xmlns:ds="http://schemas.openxmlformats.org/officeDocument/2006/customXml" ds:itemID="{CD696576-F034-4335-8623-8612850D24C8}">
  <ds:schemaRefs>
    <ds:schemaRef ds:uri="http://schemas.microsoft.com/sharepoint/v3/contenttype/forms"/>
  </ds:schemaRefs>
</ds:datastoreItem>
</file>

<file path=customXml/itemProps3.xml><?xml version="1.0" encoding="utf-8"?>
<ds:datastoreItem xmlns:ds="http://schemas.openxmlformats.org/officeDocument/2006/customXml" ds:itemID="{73467BC2-A638-4926-8B6D-66AB884812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b84cf5-7b90-4975-ac59-48605b7615d6"/>
    <ds:schemaRef ds:uri="aa7fe662-c9a2-42a2-b02e-3f1e743424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C7AEE9-7ECD-4B79-A046-57C909F55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1308</TotalTime>
  <Pages>96</Pages>
  <Words>37594</Words>
  <Characters>206773</Characters>
  <Application>Microsoft Office Word</Application>
  <DocSecurity>0</DocSecurity>
  <Lines>1723</Lines>
  <Paragraphs>487</Paragraphs>
  <ScaleCrop>false</ScaleCrop>
  <Company/>
  <LinksUpToDate>false</LinksUpToDate>
  <CharactersWithSpaces>243880</CharactersWithSpaces>
  <SharedDoc>false</SharedDoc>
  <HLinks>
    <vt:vector size="702" baseType="variant">
      <vt:variant>
        <vt:i4>1900595</vt:i4>
      </vt:variant>
      <vt:variant>
        <vt:i4>698</vt:i4>
      </vt:variant>
      <vt:variant>
        <vt:i4>0</vt:i4>
      </vt:variant>
      <vt:variant>
        <vt:i4>5</vt:i4>
      </vt:variant>
      <vt:variant>
        <vt:lpwstr/>
      </vt:variant>
      <vt:variant>
        <vt:lpwstr>_Toc232659665</vt:lpwstr>
      </vt:variant>
      <vt:variant>
        <vt:i4>1900595</vt:i4>
      </vt:variant>
      <vt:variant>
        <vt:i4>692</vt:i4>
      </vt:variant>
      <vt:variant>
        <vt:i4>0</vt:i4>
      </vt:variant>
      <vt:variant>
        <vt:i4>5</vt:i4>
      </vt:variant>
      <vt:variant>
        <vt:lpwstr/>
      </vt:variant>
      <vt:variant>
        <vt:lpwstr>_Toc232659664</vt:lpwstr>
      </vt:variant>
      <vt:variant>
        <vt:i4>1900595</vt:i4>
      </vt:variant>
      <vt:variant>
        <vt:i4>686</vt:i4>
      </vt:variant>
      <vt:variant>
        <vt:i4>0</vt:i4>
      </vt:variant>
      <vt:variant>
        <vt:i4>5</vt:i4>
      </vt:variant>
      <vt:variant>
        <vt:lpwstr/>
      </vt:variant>
      <vt:variant>
        <vt:lpwstr>_Toc232659663</vt:lpwstr>
      </vt:variant>
      <vt:variant>
        <vt:i4>1900595</vt:i4>
      </vt:variant>
      <vt:variant>
        <vt:i4>680</vt:i4>
      </vt:variant>
      <vt:variant>
        <vt:i4>0</vt:i4>
      </vt:variant>
      <vt:variant>
        <vt:i4>5</vt:i4>
      </vt:variant>
      <vt:variant>
        <vt:lpwstr/>
      </vt:variant>
      <vt:variant>
        <vt:lpwstr>_Toc232659662</vt:lpwstr>
      </vt:variant>
      <vt:variant>
        <vt:i4>1900595</vt:i4>
      </vt:variant>
      <vt:variant>
        <vt:i4>674</vt:i4>
      </vt:variant>
      <vt:variant>
        <vt:i4>0</vt:i4>
      </vt:variant>
      <vt:variant>
        <vt:i4>5</vt:i4>
      </vt:variant>
      <vt:variant>
        <vt:lpwstr/>
      </vt:variant>
      <vt:variant>
        <vt:lpwstr>_Toc232659661</vt:lpwstr>
      </vt:variant>
      <vt:variant>
        <vt:i4>1900595</vt:i4>
      </vt:variant>
      <vt:variant>
        <vt:i4>668</vt:i4>
      </vt:variant>
      <vt:variant>
        <vt:i4>0</vt:i4>
      </vt:variant>
      <vt:variant>
        <vt:i4>5</vt:i4>
      </vt:variant>
      <vt:variant>
        <vt:lpwstr/>
      </vt:variant>
      <vt:variant>
        <vt:lpwstr>_Toc232659660</vt:lpwstr>
      </vt:variant>
      <vt:variant>
        <vt:i4>1966131</vt:i4>
      </vt:variant>
      <vt:variant>
        <vt:i4>662</vt:i4>
      </vt:variant>
      <vt:variant>
        <vt:i4>0</vt:i4>
      </vt:variant>
      <vt:variant>
        <vt:i4>5</vt:i4>
      </vt:variant>
      <vt:variant>
        <vt:lpwstr/>
      </vt:variant>
      <vt:variant>
        <vt:lpwstr>_Toc232659659</vt:lpwstr>
      </vt:variant>
      <vt:variant>
        <vt:i4>1966131</vt:i4>
      </vt:variant>
      <vt:variant>
        <vt:i4>656</vt:i4>
      </vt:variant>
      <vt:variant>
        <vt:i4>0</vt:i4>
      </vt:variant>
      <vt:variant>
        <vt:i4>5</vt:i4>
      </vt:variant>
      <vt:variant>
        <vt:lpwstr/>
      </vt:variant>
      <vt:variant>
        <vt:lpwstr>_Toc232659658</vt:lpwstr>
      </vt:variant>
      <vt:variant>
        <vt:i4>1966131</vt:i4>
      </vt:variant>
      <vt:variant>
        <vt:i4>650</vt:i4>
      </vt:variant>
      <vt:variant>
        <vt:i4>0</vt:i4>
      </vt:variant>
      <vt:variant>
        <vt:i4>5</vt:i4>
      </vt:variant>
      <vt:variant>
        <vt:lpwstr/>
      </vt:variant>
      <vt:variant>
        <vt:lpwstr>_Toc232659657</vt:lpwstr>
      </vt:variant>
      <vt:variant>
        <vt:i4>1966131</vt:i4>
      </vt:variant>
      <vt:variant>
        <vt:i4>644</vt:i4>
      </vt:variant>
      <vt:variant>
        <vt:i4>0</vt:i4>
      </vt:variant>
      <vt:variant>
        <vt:i4>5</vt:i4>
      </vt:variant>
      <vt:variant>
        <vt:lpwstr/>
      </vt:variant>
      <vt:variant>
        <vt:lpwstr>_Toc232659656</vt:lpwstr>
      </vt:variant>
      <vt:variant>
        <vt:i4>1966131</vt:i4>
      </vt:variant>
      <vt:variant>
        <vt:i4>638</vt:i4>
      </vt:variant>
      <vt:variant>
        <vt:i4>0</vt:i4>
      </vt:variant>
      <vt:variant>
        <vt:i4>5</vt:i4>
      </vt:variant>
      <vt:variant>
        <vt:lpwstr/>
      </vt:variant>
      <vt:variant>
        <vt:lpwstr>_Toc232659655</vt:lpwstr>
      </vt:variant>
      <vt:variant>
        <vt:i4>1966131</vt:i4>
      </vt:variant>
      <vt:variant>
        <vt:i4>632</vt:i4>
      </vt:variant>
      <vt:variant>
        <vt:i4>0</vt:i4>
      </vt:variant>
      <vt:variant>
        <vt:i4>5</vt:i4>
      </vt:variant>
      <vt:variant>
        <vt:lpwstr/>
      </vt:variant>
      <vt:variant>
        <vt:lpwstr>_Toc232659654</vt:lpwstr>
      </vt:variant>
      <vt:variant>
        <vt:i4>1966131</vt:i4>
      </vt:variant>
      <vt:variant>
        <vt:i4>626</vt:i4>
      </vt:variant>
      <vt:variant>
        <vt:i4>0</vt:i4>
      </vt:variant>
      <vt:variant>
        <vt:i4>5</vt:i4>
      </vt:variant>
      <vt:variant>
        <vt:lpwstr/>
      </vt:variant>
      <vt:variant>
        <vt:lpwstr>_Toc232659653</vt:lpwstr>
      </vt:variant>
      <vt:variant>
        <vt:i4>1966131</vt:i4>
      </vt:variant>
      <vt:variant>
        <vt:i4>620</vt:i4>
      </vt:variant>
      <vt:variant>
        <vt:i4>0</vt:i4>
      </vt:variant>
      <vt:variant>
        <vt:i4>5</vt:i4>
      </vt:variant>
      <vt:variant>
        <vt:lpwstr/>
      </vt:variant>
      <vt:variant>
        <vt:lpwstr>_Toc232659652</vt:lpwstr>
      </vt:variant>
      <vt:variant>
        <vt:i4>1966131</vt:i4>
      </vt:variant>
      <vt:variant>
        <vt:i4>614</vt:i4>
      </vt:variant>
      <vt:variant>
        <vt:i4>0</vt:i4>
      </vt:variant>
      <vt:variant>
        <vt:i4>5</vt:i4>
      </vt:variant>
      <vt:variant>
        <vt:lpwstr/>
      </vt:variant>
      <vt:variant>
        <vt:lpwstr>_Toc232659651</vt:lpwstr>
      </vt:variant>
      <vt:variant>
        <vt:i4>1966131</vt:i4>
      </vt:variant>
      <vt:variant>
        <vt:i4>608</vt:i4>
      </vt:variant>
      <vt:variant>
        <vt:i4>0</vt:i4>
      </vt:variant>
      <vt:variant>
        <vt:i4>5</vt:i4>
      </vt:variant>
      <vt:variant>
        <vt:lpwstr/>
      </vt:variant>
      <vt:variant>
        <vt:lpwstr>_Toc232659650</vt:lpwstr>
      </vt:variant>
      <vt:variant>
        <vt:i4>2031667</vt:i4>
      </vt:variant>
      <vt:variant>
        <vt:i4>602</vt:i4>
      </vt:variant>
      <vt:variant>
        <vt:i4>0</vt:i4>
      </vt:variant>
      <vt:variant>
        <vt:i4>5</vt:i4>
      </vt:variant>
      <vt:variant>
        <vt:lpwstr/>
      </vt:variant>
      <vt:variant>
        <vt:lpwstr>_Toc232659649</vt:lpwstr>
      </vt:variant>
      <vt:variant>
        <vt:i4>2031667</vt:i4>
      </vt:variant>
      <vt:variant>
        <vt:i4>596</vt:i4>
      </vt:variant>
      <vt:variant>
        <vt:i4>0</vt:i4>
      </vt:variant>
      <vt:variant>
        <vt:i4>5</vt:i4>
      </vt:variant>
      <vt:variant>
        <vt:lpwstr/>
      </vt:variant>
      <vt:variant>
        <vt:lpwstr>_Toc232659648</vt:lpwstr>
      </vt:variant>
      <vt:variant>
        <vt:i4>2031667</vt:i4>
      </vt:variant>
      <vt:variant>
        <vt:i4>590</vt:i4>
      </vt:variant>
      <vt:variant>
        <vt:i4>0</vt:i4>
      </vt:variant>
      <vt:variant>
        <vt:i4>5</vt:i4>
      </vt:variant>
      <vt:variant>
        <vt:lpwstr/>
      </vt:variant>
      <vt:variant>
        <vt:lpwstr>_Toc232659647</vt:lpwstr>
      </vt:variant>
      <vt:variant>
        <vt:i4>2031667</vt:i4>
      </vt:variant>
      <vt:variant>
        <vt:i4>584</vt:i4>
      </vt:variant>
      <vt:variant>
        <vt:i4>0</vt:i4>
      </vt:variant>
      <vt:variant>
        <vt:i4>5</vt:i4>
      </vt:variant>
      <vt:variant>
        <vt:lpwstr/>
      </vt:variant>
      <vt:variant>
        <vt:lpwstr>_Toc232659646</vt:lpwstr>
      </vt:variant>
      <vt:variant>
        <vt:i4>2031667</vt:i4>
      </vt:variant>
      <vt:variant>
        <vt:i4>578</vt:i4>
      </vt:variant>
      <vt:variant>
        <vt:i4>0</vt:i4>
      </vt:variant>
      <vt:variant>
        <vt:i4>5</vt:i4>
      </vt:variant>
      <vt:variant>
        <vt:lpwstr/>
      </vt:variant>
      <vt:variant>
        <vt:lpwstr>_Toc232659645</vt:lpwstr>
      </vt:variant>
      <vt:variant>
        <vt:i4>2031667</vt:i4>
      </vt:variant>
      <vt:variant>
        <vt:i4>572</vt:i4>
      </vt:variant>
      <vt:variant>
        <vt:i4>0</vt:i4>
      </vt:variant>
      <vt:variant>
        <vt:i4>5</vt:i4>
      </vt:variant>
      <vt:variant>
        <vt:lpwstr/>
      </vt:variant>
      <vt:variant>
        <vt:lpwstr>_Toc232659644</vt:lpwstr>
      </vt:variant>
      <vt:variant>
        <vt:i4>2031667</vt:i4>
      </vt:variant>
      <vt:variant>
        <vt:i4>566</vt:i4>
      </vt:variant>
      <vt:variant>
        <vt:i4>0</vt:i4>
      </vt:variant>
      <vt:variant>
        <vt:i4>5</vt:i4>
      </vt:variant>
      <vt:variant>
        <vt:lpwstr/>
      </vt:variant>
      <vt:variant>
        <vt:lpwstr>_Toc232659643</vt:lpwstr>
      </vt:variant>
      <vt:variant>
        <vt:i4>2031667</vt:i4>
      </vt:variant>
      <vt:variant>
        <vt:i4>560</vt:i4>
      </vt:variant>
      <vt:variant>
        <vt:i4>0</vt:i4>
      </vt:variant>
      <vt:variant>
        <vt:i4>5</vt:i4>
      </vt:variant>
      <vt:variant>
        <vt:lpwstr/>
      </vt:variant>
      <vt:variant>
        <vt:lpwstr>_Toc232659642</vt:lpwstr>
      </vt:variant>
      <vt:variant>
        <vt:i4>2031667</vt:i4>
      </vt:variant>
      <vt:variant>
        <vt:i4>554</vt:i4>
      </vt:variant>
      <vt:variant>
        <vt:i4>0</vt:i4>
      </vt:variant>
      <vt:variant>
        <vt:i4>5</vt:i4>
      </vt:variant>
      <vt:variant>
        <vt:lpwstr/>
      </vt:variant>
      <vt:variant>
        <vt:lpwstr>_Toc232659641</vt:lpwstr>
      </vt:variant>
      <vt:variant>
        <vt:i4>2031667</vt:i4>
      </vt:variant>
      <vt:variant>
        <vt:i4>548</vt:i4>
      </vt:variant>
      <vt:variant>
        <vt:i4>0</vt:i4>
      </vt:variant>
      <vt:variant>
        <vt:i4>5</vt:i4>
      </vt:variant>
      <vt:variant>
        <vt:lpwstr/>
      </vt:variant>
      <vt:variant>
        <vt:lpwstr>_Toc232659640</vt:lpwstr>
      </vt:variant>
      <vt:variant>
        <vt:i4>1572915</vt:i4>
      </vt:variant>
      <vt:variant>
        <vt:i4>542</vt:i4>
      </vt:variant>
      <vt:variant>
        <vt:i4>0</vt:i4>
      </vt:variant>
      <vt:variant>
        <vt:i4>5</vt:i4>
      </vt:variant>
      <vt:variant>
        <vt:lpwstr/>
      </vt:variant>
      <vt:variant>
        <vt:lpwstr>_Toc232659639</vt:lpwstr>
      </vt:variant>
      <vt:variant>
        <vt:i4>1572915</vt:i4>
      </vt:variant>
      <vt:variant>
        <vt:i4>536</vt:i4>
      </vt:variant>
      <vt:variant>
        <vt:i4>0</vt:i4>
      </vt:variant>
      <vt:variant>
        <vt:i4>5</vt:i4>
      </vt:variant>
      <vt:variant>
        <vt:lpwstr/>
      </vt:variant>
      <vt:variant>
        <vt:lpwstr>_Toc232659638</vt:lpwstr>
      </vt:variant>
      <vt:variant>
        <vt:i4>1572915</vt:i4>
      </vt:variant>
      <vt:variant>
        <vt:i4>530</vt:i4>
      </vt:variant>
      <vt:variant>
        <vt:i4>0</vt:i4>
      </vt:variant>
      <vt:variant>
        <vt:i4>5</vt:i4>
      </vt:variant>
      <vt:variant>
        <vt:lpwstr/>
      </vt:variant>
      <vt:variant>
        <vt:lpwstr>_Toc232659637</vt:lpwstr>
      </vt:variant>
      <vt:variant>
        <vt:i4>1572915</vt:i4>
      </vt:variant>
      <vt:variant>
        <vt:i4>524</vt:i4>
      </vt:variant>
      <vt:variant>
        <vt:i4>0</vt:i4>
      </vt:variant>
      <vt:variant>
        <vt:i4>5</vt:i4>
      </vt:variant>
      <vt:variant>
        <vt:lpwstr/>
      </vt:variant>
      <vt:variant>
        <vt:lpwstr>_Toc232659636</vt:lpwstr>
      </vt:variant>
      <vt:variant>
        <vt:i4>1572915</vt:i4>
      </vt:variant>
      <vt:variant>
        <vt:i4>518</vt:i4>
      </vt:variant>
      <vt:variant>
        <vt:i4>0</vt:i4>
      </vt:variant>
      <vt:variant>
        <vt:i4>5</vt:i4>
      </vt:variant>
      <vt:variant>
        <vt:lpwstr/>
      </vt:variant>
      <vt:variant>
        <vt:lpwstr>_Toc232659635</vt:lpwstr>
      </vt:variant>
      <vt:variant>
        <vt:i4>1572915</vt:i4>
      </vt:variant>
      <vt:variant>
        <vt:i4>512</vt:i4>
      </vt:variant>
      <vt:variant>
        <vt:i4>0</vt:i4>
      </vt:variant>
      <vt:variant>
        <vt:i4>5</vt:i4>
      </vt:variant>
      <vt:variant>
        <vt:lpwstr/>
      </vt:variant>
      <vt:variant>
        <vt:lpwstr>_Toc232659634</vt:lpwstr>
      </vt:variant>
      <vt:variant>
        <vt:i4>1572915</vt:i4>
      </vt:variant>
      <vt:variant>
        <vt:i4>506</vt:i4>
      </vt:variant>
      <vt:variant>
        <vt:i4>0</vt:i4>
      </vt:variant>
      <vt:variant>
        <vt:i4>5</vt:i4>
      </vt:variant>
      <vt:variant>
        <vt:lpwstr/>
      </vt:variant>
      <vt:variant>
        <vt:lpwstr>_Toc232659633</vt:lpwstr>
      </vt:variant>
      <vt:variant>
        <vt:i4>1572915</vt:i4>
      </vt:variant>
      <vt:variant>
        <vt:i4>500</vt:i4>
      </vt:variant>
      <vt:variant>
        <vt:i4>0</vt:i4>
      </vt:variant>
      <vt:variant>
        <vt:i4>5</vt:i4>
      </vt:variant>
      <vt:variant>
        <vt:lpwstr/>
      </vt:variant>
      <vt:variant>
        <vt:lpwstr>_Toc232659632</vt:lpwstr>
      </vt:variant>
      <vt:variant>
        <vt:i4>1572915</vt:i4>
      </vt:variant>
      <vt:variant>
        <vt:i4>494</vt:i4>
      </vt:variant>
      <vt:variant>
        <vt:i4>0</vt:i4>
      </vt:variant>
      <vt:variant>
        <vt:i4>5</vt:i4>
      </vt:variant>
      <vt:variant>
        <vt:lpwstr/>
      </vt:variant>
      <vt:variant>
        <vt:lpwstr>_Toc232659631</vt:lpwstr>
      </vt:variant>
      <vt:variant>
        <vt:i4>1572915</vt:i4>
      </vt:variant>
      <vt:variant>
        <vt:i4>488</vt:i4>
      </vt:variant>
      <vt:variant>
        <vt:i4>0</vt:i4>
      </vt:variant>
      <vt:variant>
        <vt:i4>5</vt:i4>
      </vt:variant>
      <vt:variant>
        <vt:lpwstr/>
      </vt:variant>
      <vt:variant>
        <vt:lpwstr>_Toc232659630</vt:lpwstr>
      </vt:variant>
      <vt:variant>
        <vt:i4>1638451</vt:i4>
      </vt:variant>
      <vt:variant>
        <vt:i4>482</vt:i4>
      </vt:variant>
      <vt:variant>
        <vt:i4>0</vt:i4>
      </vt:variant>
      <vt:variant>
        <vt:i4>5</vt:i4>
      </vt:variant>
      <vt:variant>
        <vt:lpwstr/>
      </vt:variant>
      <vt:variant>
        <vt:lpwstr>_Toc232659629</vt:lpwstr>
      </vt:variant>
      <vt:variant>
        <vt:i4>1638451</vt:i4>
      </vt:variant>
      <vt:variant>
        <vt:i4>476</vt:i4>
      </vt:variant>
      <vt:variant>
        <vt:i4>0</vt:i4>
      </vt:variant>
      <vt:variant>
        <vt:i4>5</vt:i4>
      </vt:variant>
      <vt:variant>
        <vt:lpwstr/>
      </vt:variant>
      <vt:variant>
        <vt:lpwstr>_Toc232659628</vt:lpwstr>
      </vt:variant>
      <vt:variant>
        <vt:i4>1638451</vt:i4>
      </vt:variant>
      <vt:variant>
        <vt:i4>470</vt:i4>
      </vt:variant>
      <vt:variant>
        <vt:i4>0</vt:i4>
      </vt:variant>
      <vt:variant>
        <vt:i4>5</vt:i4>
      </vt:variant>
      <vt:variant>
        <vt:lpwstr/>
      </vt:variant>
      <vt:variant>
        <vt:lpwstr>_Toc232659627</vt:lpwstr>
      </vt:variant>
      <vt:variant>
        <vt:i4>1638451</vt:i4>
      </vt:variant>
      <vt:variant>
        <vt:i4>464</vt:i4>
      </vt:variant>
      <vt:variant>
        <vt:i4>0</vt:i4>
      </vt:variant>
      <vt:variant>
        <vt:i4>5</vt:i4>
      </vt:variant>
      <vt:variant>
        <vt:lpwstr/>
      </vt:variant>
      <vt:variant>
        <vt:lpwstr>_Toc232659626</vt:lpwstr>
      </vt:variant>
      <vt:variant>
        <vt:i4>1638451</vt:i4>
      </vt:variant>
      <vt:variant>
        <vt:i4>458</vt:i4>
      </vt:variant>
      <vt:variant>
        <vt:i4>0</vt:i4>
      </vt:variant>
      <vt:variant>
        <vt:i4>5</vt:i4>
      </vt:variant>
      <vt:variant>
        <vt:lpwstr/>
      </vt:variant>
      <vt:variant>
        <vt:lpwstr>_Toc232659625</vt:lpwstr>
      </vt:variant>
      <vt:variant>
        <vt:i4>1638451</vt:i4>
      </vt:variant>
      <vt:variant>
        <vt:i4>452</vt:i4>
      </vt:variant>
      <vt:variant>
        <vt:i4>0</vt:i4>
      </vt:variant>
      <vt:variant>
        <vt:i4>5</vt:i4>
      </vt:variant>
      <vt:variant>
        <vt:lpwstr/>
      </vt:variant>
      <vt:variant>
        <vt:lpwstr>_Toc232659624</vt:lpwstr>
      </vt:variant>
      <vt:variant>
        <vt:i4>1638451</vt:i4>
      </vt:variant>
      <vt:variant>
        <vt:i4>446</vt:i4>
      </vt:variant>
      <vt:variant>
        <vt:i4>0</vt:i4>
      </vt:variant>
      <vt:variant>
        <vt:i4>5</vt:i4>
      </vt:variant>
      <vt:variant>
        <vt:lpwstr/>
      </vt:variant>
      <vt:variant>
        <vt:lpwstr>_Toc232659623</vt:lpwstr>
      </vt:variant>
      <vt:variant>
        <vt:i4>1638451</vt:i4>
      </vt:variant>
      <vt:variant>
        <vt:i4>440</vt:i4>
      </vt:variant>
      <vt:variant>
        <vt:i4>0</vt:i4>
      </vt:variant>
      <vt:variant>
        <vt:i4>5</vt:i4>
      </vt:variant>
      <vt:variant>
        <vt:lpwstr/>
      </vt:variant>
      <vt:variant>
        <vt:lpwstr>_Toc232659622</vt:lpwstr>
      </vt:variant>
      <vt:variant>
        <vt:i4>1638451</vt:i4>
      </vt:variant>
      <vt:variant>
        <vt:i4>434</vt:i4>
      </vt:variant>
      <vt:variant>
        <vt:i4>0</vt:i4>
      </vt:variant>
      <vt:variant>
        <vt:i4>5</vt:i4>
      </vt:variant>
      <vt:variant>
        <vt:lpwstr/>
      </vt:variant>
      <vt:variant>
        <vt:lpwstr>_Toc232659621</vt:lpwstr>
      </vt:variant>
      <vt:variant>
        <vt:i4>1638451</vt:i4>
      </vt:variant>
      <vt:variant>
        <vt:i4>428</vt:i4>
      </vt:variant>
      <vt:variant>
        <vt:i4>0</vt:i4>
      </vt:variant>
      <vt:variant>
        <vt:i4>5</vt:i4>
      </vt:variant>
      <vt:variant>
        <vt:lpwstr/>
      </vt:variant>
      <vt:variant>
        <vt:lpwstr>_Toc232659620</vt:lpwstr>
      </vt:variant>
      <vt:variant>
        <vt:i4>1703987</vt:i4>
      </vt:variant>
      <vt:variant>
        <vt:i4>422</vt:i4>
      </vt:variant>
      <vt:variant>
        <vt:i4>0</vt:i4>
      </vt:variant>
      <vt:variant>
        <vt:i4>5</vt:i4>
      </vt:variant>
      <vt:variant>
        <vt:lpwstr/>
      </vt:variant>
      <vt:variant>
        <vt:lpwstr>_Toc232659619</vt:lpwstr>
      </vt:variant>
      <vt:variant>
        <vt:i4>1703987</vt:i4>
      </vt:variant>
      <vt:variant>
        <vt:i4>416</vt:i4>
      </vt:variant>
      <vt:variant>
        <vt:i4>0</vt:i4>
      </vt:variant>
      <vt:variant>
        <vt:i4>5</vt:i4>
      </vt:variant>
      <vt:variant>
        <vt:lpwstr/>
      </vt:variant>
      <vt:variant>
        <vt:lpwstr>_Toc232659618</vt:lpwstr>
      </vt:variant>
      <vt:variant>
        <vt:i4>1703987</vt:i4>
      </vt:variant>
      <vt:variant>
        <vt:i4>410</vt:i4>
      </vt:variant>
      <vt:variant>
        <vt:i4>0</vt:i4>
      </vt:variant>
      <vt:variant>
        <vt:i4>5</vt:i4>
      </vt:variant>
      <vt:variant>
        <vt:lpwstr/>
      </vt:variant>
      <vt:variant>
        <vt:lpwstr>_Toc232659617</vt:lpwstr>
      </vt:variant>
      <vt:variant>
        <vt:i4>1703987</vt:i4>
      </vt:variant>
      <vt:variant>
        <vt:i4>404</vt:i4>
      </vt:variant>
      <vt:variant>
        <vt:i4>0</vt:i4>
      </vt:variant>
      <vt:variant>
        <vt:i4>5</vt:i4>
      </vt:variant>
      <vt:variant>
        <vt:lpwstr/>
      </vt:variant>
      <vt:variant>
        <vt:lpwstr>_Toc232659616</vt:lpwstr>
      </vt:variant>
      <vt:variant>
        <vt:i4>1703987</vt:i4>
      </vt:variant>
      <vt:variant>
        <vt:i4>398</vt:i4>
      </vt:variant>
      <vt:variant>
        <vt:i4>0</vt:i4>
      </vt:variant>
      <vt:variant>
        <vt:i4>5</vt:i4>
      </vt:variant>
      <vt:variant>
        <vt:lpwstr/>
      </vt:variant>
      <vt:variant>
        <vt:lpwstr>_Toc232659615</vt:lpwstr>
      </vt:variant>
      <vt:variant>
        <vt:i4>1703987</vt:i4>
      </vt:variant>
      <vt:variant>
        <vt:i4>392</vt:i4>
      </vt:variant>
      <vt:variant>
        <vt:i4>0</vt:i4>
      </vt:variant>
      <vt:variant>
        <vt:i4>5</vt:i4>
      </vt:variant>
      <vt:variant>
        <vt:lpwstr/>
      </vt:variant>
      <vt:variant>
        <vt:lpwstr>_Toc232659614</vt:lpwstr>
      </vt:variant>
      <vt:variant>
        <vt:i4>1703987</vt:i4>
      </vt:variant>
      <vt:variant>
        <vt:i4>386</vt:i4>
      </vt:variant>
      <vt:variant>
        <vt:i4>0</vt:i4>
      </vt:variant>
      <vt:variant>
        <vt:i4>5</vt:i4>
      </vt:variant>
      <vt:variant>
        <vt:lpwstr/>
      </vt:variant>
      <vt:variant>
        <vt:lpwstr>_Toc232659613</vt:lpwstr>
      </vt:variant>
      <vt:variant>
        <vt:i4>1703987</vt:i4>
      </vt:variant>
      <vt:variant>
        <vt:i4>380</vt:i4>
      </vt:variant>
      <vt:variant>
        <vt:i4>0</vt:i4>
      </vt:variant>
      <vt:variant>
        <vt:i4>5</vt:i4>
      </vt:variant>
      <vt:variant>
        <vt:lpwstr/>
      </vt:variant>
      <vt:variant>
        <vt:lpwstr>_Toc232659612</vt:lpwstr>
      </vt:variant>
      <vt:variant>
        <vt:i4>1703987</vt:i4>
      </vt:variant>
      <vt:variant>
        <vt:i4>374</vt:i4>
      </vt:variant>
      <vt:variant>
        <vt:i4>0</vt:i4>
      </vt:variant>
      <vt:variant>
        <vt:i4>5</vt:i4>
      </vt:variant>
      <vt:variant>
        <vt:lpwstr/>
      </vt:variant>
      <vt:variant>
        <vt:lpwstr>_Toc232659611</vt:lpwstr>
      </vt:variant>
      <vt:variant>
        <vt:i4>1703987</vt:i4>
      </vt:variant>
      <vt:variant>
        <vt:i4>368</vt:i4>
      </vt:variant>
      <vt:variant>
        <vt:i4>0</vt:i4>
      </vt:variant>
      <vt:variant>
        <vt:i4>5</vt:i4>
      </vt:variant>
      <vt:variant>
        <vt:lpwstr/>
      </vt:variant>
      <vt:variant>
        <vt:lpwstr>_Toc232659610</vt:lpwstr>
      </vt:variant>
      <vt:variant>
        <vt:i4>1769523</vt:i4>
      </vt:variant>
      <vt:variant>
        <vt:i4>362</vt:i4>
      </vt:variant>
      <vt:variant>
        <vt:i4>0</vt:i4>
      </vt:variant>
      <vt:variant>
        <vt:i4>5</vt:i4>
      </vt:variant>
      <vt:variant>
        <vt:lpwstr/>
      </vt:variant>
      <vt:variant>
        <vt:lpwstr>_Toc232659609</vt:lpwstr>
      </vt:variant>
      <vt:variant>
        <vt:i4>1769523</vt:i4>
      </vt:variant>
      <vt:variant>
        <vt:i4>356</vt:i4>
      </vt:variant>
      <vt:variant>
        <vt:i4>0</vt:i4>
      </vt:variant>
      <vt:variant>
        <vt:i4>5</vt:i4>
      </vt:variant>
      <vt:variant>
        <vt:lpwstr/>
      </vt:variant>
      <vt:variant>
        <vt:lpwstr>_Toc232659608</vt:lpwstr>
      </vt:variant>
      <vt:variant>
        <vt:i4>1769523</vt:i4>
      </vt:variant>
      <vt:variant>
        <vt:i4>350</vt:i4>
      </vt:variant>
      <vt:variant>
        <vt:i4>0</vt:i4>
      </vt:variant>
      <vt:variant>
        <vt:i4>5</vt:i4>
      </vt:variant>
      <vt:variant>
        <vt:lpwstr/>
      </vt:variant>
      <vt:variant>
        <vt:lpwstr>_Toc232659607</vt:lpwstr>
      </vt:variant>
      <vt:variant>
        <vt:i4>1769523</vt:i4>
      </vt:variant>
      <vt:variant>
        <vt:i4>344</vt:i4>
      </vt:variant>
      <vt:variant>
        <vt:i4>0</vt:i4>
      </vt:variant>
      <vt:variant>
        <vt:i4>5</vt:i4>
      </vt:variant>
      <vt:variant>
        <vt:lpwstr/>
      </vt:variant>
      <vt:variant>
        <vt:lpwstr>_Toc232659606</vt:lpwstr>
      </vt:variant>
      <vt:variant>
        <vt:i4>1769523</vt:i4>
      </vt:variant>
      <vt:variant>
        <vt:i4>338</vt:i4>
      </vt:variant>
      <vt:variant>
        <vt:i4>0</vt:i4>
      </vt:variant>
      <vt:variant>
        <vt:i4>5</vt:i4>
      </vt:variant>
      <vt:variant>
        <vt:lpwstr/>
      </vt:variant>
      <vt:variant>
        <vt:lpwstr>_Toc232659605</vt:lpwstr>
      </vt:variant>
      <vt:variant>
        <vt:i4>1769523</vt:i4>
      </vt:variant>
      <vt:variant>
        <vt:i4>332</vt:i4>
      </vt:variant>
      <vt:variant>
        <vt:i4>0</vt:i4>
      </vt:variant>
      <vt:variant>
        <vt:i4>5</vt:i4>
      </vt:variant>
      <vt:variant>
        <vt:lpwstr/>
      </vt:variant>
      <vt:variant>
        <vt:lpwstr>_Toc232659604</vt:lpwstr>
      </vt:variant>
      <vt:variant>
        <vt:i4>1769523</vt:i4>
      </vt:variant>
      <vt:variant>
        <vt:i4>326</vt:i4>
      </vt:variant>
      <vt:variant>
        <vt:i4>0</vt:i4>
      </vt:variant>
      <vt:variant>
        <vt:i4>5</vt:i4>
      </vt:variant>
      <vt:variant>
        <vt:lpwstr/>
      </vt:variant>
      <vt:variant>
        <vt:lpwstr>_Toc232659603</vt:lpwstr>
      </vt:variant>
      <vt:variant>
        <vt:i4>1769523</vt:i4>
      </vt:variant>
      <vt:variant>
        <vt:i4>320</vt:i4>
      </vt:variant>
      <vt:variant>
        <vt:i4>0</vt:i4>
      </vt:variant>
      <vt:variant>
        <vt:i4>5</vt:i4>
      </vt:variant>
      <vt:variant>
        <vt:lpwstr/>
      </vt:variant>
      <vt:variant>
        <vt:lpwstr>_Toc232659602</vt:lpwstr>
      </vt:variant>
      <vt:variant>
        <vt:i4>1769523</vt:i4>
      </vt:variant>
      <vt:variant>
        <vt:i4>314</vt:i4>
      </vt:variant>
      <vt:variant>
        <vt:i4>0</vt:i4>
      </vt:variant>
      <vt:variant>
        <vt:i4>5</vt:i4>
      </vt:variant>
      <vt:variant>
        <vt:lpwstr/>
      </vt:variant>
      <vt:variant>
        <vt:lpwstr>_Toc232659601</vt:lpwstr>
      </vt:variant>
      <vt:variant>
        <vt:i4>1769523</vt:i4>
      </vt:variant>
      <vt:variant>
        <vt:i4>308</vt:i4>
      </vt:variant>
      <vt:variant>
        <vt:i4>0</vt:i4>
      </vt:variant>
      <vt:variant>
        <vt:i4>5</vt:i4>
      </vt:variant>
      <vt:variant>
        <vt:lpwstr/>
      </vt:variant>
      <vt:variant>
        <vt:lpwstr>_Toc232659600</vt:lpwstr>
      </vt:variant>
      <vt:variant>
        <vt:i4>1179696</vt:i4>
      </vt:variant>
      <vt:variant>
        <vt:i4>302</vt:i4>
      </vt:variant>
      <vt:variant>
        <vt:i4>0</vt:i4>
      </vt:variant>
      <vt:variant>
        <vt:i4>5</vt:i4>
      </vt:variant>
      <vt:variant>
        <vt:lpwstr/>
      </vt:variant>
      <vt:variant>
        <vt:lpwstr>_Toc232659599</vt:lpwstr>
      </vt:variant>
      <vt:variant>
        <vt:i4>1179696</vt:i4>
      </vt:variant>
      <vt:variant>
        <vt:i4>296</vt:i4>
      </vt:variant>
      <vt:variant>
        <vt:i4>0</vt:i4>
      </vt:variant>
      <vt:variant>
        <vt:i4>5</vt:i4>
      </vt:variant>
      <vt:variant>
        <vt:lpwstr/>
      </vt:variant>
      <vt:variant>
        <vt:lpwstr>_Toc232659598</vt:lpwstr>
      </vt:variant>
      <vt:variant>
        <vt:i4>1179696</vt:i4>
      </vt:variant>
      <vt:variant>
        <vt:i4>290</vt:i4>
      </vt:variant>
      <vt:variant>
        <vt:i4>0</vt:i4>
      </vt:variant>
      <vt:variant>
        <vt:i4>5</vt:i4>
      </vt:variant>
      <vt:variant>
        <vt:lpwstr/>
      </vt:variant>
      <vt:variant>
        <vt:lpwstr>_Toc232659597</vt:lpwstr>
      </vt:variant>
      <vt:variant>
        <vt:i4>1179696</vt:i4>
      </vt:variant>
      <vt:variant>
        <vt:i4>284</vt:i4>
      </vt:variant>
      <vt:variant>
        <vt:i4>0</vt:i4>
      </vt:variant>
      <vt:variant>
        <vt:i4>5</vt:i4>
      </vt:variant>
      <vt:variant>
        <vt:lpwstr/>
      </vt:variant>
      <vt:variant>
        <vt:lpwstr>_Toc232659596</vt:lpwstr>
      </vt:variant>
      <vt:variant>
        <vt:i4>1179696</vt:i4>
      </vt:variant>
      <vt:variant>
        <vt:i4>278</vt:i4>
      </vt:variant>
      <vt:variant>
        <vt:i4>0</vt:i4>
      </vt:variant>
      <vt:variant>
        <vt:i4>5</vt:i4>
      </vt:variant>
      <vt:variant>
        <vt:lpwstr/>
      </vt:variant>
      <vt:variant>
        <vt:lpwstr>_Toc232659595</vt:lpwstr>
      </vt:variant>
      <vt:variant>
        <vt:i4>1179696</vt:i4>
      </vt:variant>
      <vt:variant>
        <vt:i4>272</vt:i4>
      </vt:variant>
      <vt:variant>
        <vt:i4>0</vt:i4>
      </vt:variant>
      <vt:variant>
        <vt:i4>5</vt:i4>
      </vt:variant>
      <vt:variant>
        <vt:lpwstr/>
      </vt:variant>
      <vt:variant>
        <vt:lpwstr>_Toc232659594</vt:lpwstr>
      </vt:variant>
      <vt:variant>
        <vt:i4>1179696</vt:i4>
      </vt:variant>
      <vt:variant>
        <vt:i4>266</vt:i4>
      </vt:variant>
      <vt:variant>
        <vt:i4>0</vt:i4>
      </vt:variant>
      <vt:variant>
        <vt:i4>5</vt:i4>
      </vt:variant>
      <vt:variant>
        <vt:lpwstr/>
      </vt:variant>
      <vt:variant>
        <vt:lpwstr>_Toc232659593</vt:lpwstr>
      </vt:variant>
      <vt:variant>
        <vt:i4>1179696</vt:i4>
      </vt:variant>
      <vt:variant>
        <vt:i4>260</vt:i4>
      </vt:variant>
      <vt:variant>
        <vt:i4>0</vt:i4>
      </vt:variant>
      <vt:variant>
        <vt:i4>5</vt:i4>
      </vt:variant>
      <vt:variant>
        <vt:lpwstr/>
      </vt:variant>
      <vt:variant>
        <vt:lpwstr>_Toc232659592</vt:lpwstr>
      </vt:variant>
      <vt:variant>
        <vt:i4>1179696</vt:i4>
      </vt:variant>
      <vt:variant>
        <vt:i4>254</vt:i4>
      </vt:variant>
      <vt:variant>
        <vt:i4>0</vt:i4>
      </vt:variant>
      <vt:variant>
        <vt:i4>5</vt:i4>
      </vt:variant>
      <vt:variant>
        <vt:lpwstr/>
      </vt:variant>
      <vt:variant>
        <vt:lpwstr>_Toc232659591</vt:lpwstr>
      </vt:variant>
      <vt:variant>
        <vt:i4>1179696</vt:i4>
      </vt:variant>
      <vt:variant>
        <vt:i4>248</vt:i4>
      </vt:variant>
      <vt:variant>
        <vt:i4>0</vt:i4>
      </vt:variant>
      <vt:variant>
        <vt:i4>5</vt:i4>
      </vt:variant>
      <vt:variant>
        <vt:lpwstr/>
      </vt:variant>
      <vt:variant>
        <vt:lpwstr>_Toc232659590</vt:lpwstr>
      </vt:variant>
      <vt:variant>
        <vt:i4>1245232</vt:i4>
      </vt:variant>
      <vt:variant>
        <vt:i4>242</vt:i4>
      </vt:variant>
      <vt:variant>
        <vt:i4>0</vt:i4>
      </vt:variant>
      <vt:variant>
        <vt:i4>5</vt:i4>
      </vt:variant>
      <vt:variant>
        <vt:lpwstr/>
      </vt:variant>
      <vt:variant>
        <vt:lpwstr>_Toc232659589</vt:lpwstr>
      </vt:variant>
      <vt:variant>
        <vt:i4>1245232</vt:i4>
      </vt:variant>
      <vt:variant>
        <vt:i4>236</vt:i4>
      </vt:variant>
      <vt:variant>
        <vt:i4>0</vt:i4>
      </vt:variant>
      <vt:variant>
        <vt:i4>5</vt:i4>
      </vt:variant>
      <vt:variant>
        <vt:lpwstr/>
      </vt:variant>
      <vt:variant>
        <vt:lpwstr>_Toc232659588</vt:lpwstr>
      </vt:variant>
      <vt:variant>
        <vt:i4>1245232</vt:i4>
      </vt:variant>
      <vt:variant>
        <vt:i4>230</vt:i4>
      </vt:variant>
      <vt:variant>
        <vt:i4>0</vt:i4>
      </vt:variant>
      <vt:variant>
        <vt:i4>5</vt:i4>
      </vt:variant>
      <vt:variant>
        <vt:lpwstr/>
      </vt:variant>
      <vt:variant>
        <vt:lpwstr>_Toc232659587</vt:lpwstr>
      </vt:variant>
      <vt:variant>
        <vt:i4>1245232</vt:i4>
      </vt:variant>
      <vt:variant>
        <vt:i4>224</vt:i4>
      </vt:variant>
      <vt:variant>
        <vt:i4>0</vt:i4>
      </vt:variant>
      <vt:variant>
        <vt:i4>5</vt:i4>
      </vt:variant>
      <vt:variant>
        <vt:lpwstr/>
      </vt:variant>
      <vt:variant>
        <vt:lpwstr>_Toc232659586</vt:lpwstr>
      </vt:variant>
      <vt:variant>
        <vt:i4>1245232</vt:i4>
      </vt:variant>
      <vt:variant>
        <vt:i4>218</vt:i4>
      </vt:variant>
      <vt:variant>
        <vt:i4>0</vt:i4>
      </vt:variant>
      <vt:variant>
        <vt:i4>5</vt:i4>
      </vt:variant>
      <vt:variant>
        <vt:lpwstr/>
      </vt:variant>
      <vt:variant>
        <vt:lpwstr>_Toc232659585</vt:lpwstr>
      </vt:variant>
      <vt:variant>
        <vt:i4>1245232</vt:i4>
      </vt:variant>
      <vt:variant>
        <vt:i4>212</vt:i4>
      </vt:variant>
      <vt:variant>
        <vt:i4>0</vt:i4>
      </vt:variant>
      <vt:variant>
        <vt:i4>5</vt:i4>
      </vt:variant>
      <vt:variant>
        <vt:lpwstr/>
      </vt:variant>
      <vt:variant>
        <vt:lpwstr>_Toc232659584</vt:lpwstr>
      </vt:variant>
      <vt:variant>
        <vt:i4>1245232</vt:i4>
      </vt:variant>
      <vt:variant>
        <vt:i4>206</vt:i4>
      </vt:variant>
      <vt:variant>
        <vt:i4>0</vt:i4>
      </vt:variant>
      <vt:variant>
        <vt:i4>5</vt:i4>
      </vt:variant>
      <vt:variant>
        <vt:lpwstr/>
      </vt:variant>
      <vt:variant>
        <vt:lpwstr>_Toc232659583</vt:lpwstr>
      </vt:variant>
      <vt:variant>
        <vt:i4>1245232</vt:i4>
      </vt:variant>
      <vt:variant>
        <vt:i4>200</vt:i4>
      </vt:variant>
      <vt:variant>
        <vt:i4>0</vt:i4>
      </vt:variant>
      <vt:variant>
        <vt:i4>5</vt:i4>
      </vt:variant>
      <vt:variant>
        <vt:lpwstr/>
      </vt:variant>
      <vt:variant>
        <vt:lpwstr>_Toc232659582</vt:lpwstr>
      </vt:variant>
      <vt:variant>
        <vt:i4>1245232</vt:i4>
      </vt:variant>
      <vt:variant>
        <vt:i4>194</vt:i4>
      </vt:variant>
      <vt:variant>
        <vt:i4>0</vt:i4>
      </vt:variant>
      <vt:variant>
        <vt:i4>5</vt:i4>
      </vt:variant>
      <vt:variant>
        <vt:lpwstr/>
      </vt:variant>
      <vt:variant>
        <vt:lpwstr>_Toc232659581</vt:lpwstr>
      </vt:variant>
      <vt:variant>
        <vt:i4>1245232</vt:i4>
      </vt:variant>
      <vt:variant>
        <vt:i4>188</vt:i4>
      </vt:variant>
      <vt:variant>
        <vt:i4>0</vt:i4>
      </vt:variant>
      <vt:variant>
        <vt:i4>5</vt:i4>
      </vt:variant>
      <vt:variant>
        <vt:lpwstr/>
      </vt:variant>
      <vt:variant>
        <vt:lpwstr>_Toc232659580</vt:lpwstr>
      </vt:variant>
      <vt:variant>
        <vt:i4>1835056</vt:i4>
      </vt:variant>
      <vt:variant>
        <vt:i4>182</vt:i4>
      </vt:variant>
      <vt:variant>
        <vt:i4>0</vt:i4>
      </vt:variant>
      <vt:variant>
        <vt:i4>5</vt:i4>
      </vt:variant>
      <vt:variant>
        <vt:lpwstr/>
      </vt:variant>
      <vt:variant>
        <vt:lpwstr>_Toc232659579</vt:lpwstr>
      </vt:variant>
      <vt:variant>
        <vt:i4>1835056</vt:i4>
      </vt:variant>
      <vt:variant>
        <vt:i4>176</vt:i4>
      </vt:variant>
      <vt:variant>
        <vt:i4>0</vt:i4>
      </vt:variant>
      <vt:variant>
        <vt:i4>5</vt:i4>
      </vt:variant>
      <vt:variant>
        <vt:lpwstr/>
      </vt:variant>
      <vt:variant>
        <vt:lpwstr>_Toc232659578</vt:lpwstr>
      </vt:variant>
      <vt:variant>
        <vt:i4>1835056</vt:i4>
      </vt:variant>
      <vt:variant>
        <vt:i4>170</vt:i4>
      </vt:variant>
      <vt:variant>
        <vt:i4>0</vt:i4>
      </vt:variant>
      <vt:variant>
        <vt:i4>5</vt:i4>
      </vt:variant>
      <vt:variant>
        <vt:lpwstr/>
      </vt:variant>
      <vt:variant>
        <vt:lpwstr>_Toc232659577</vt:lpwstr>
      </vt:variant>
      <vt:variant>
        <vt:i4>1835056</vt:i4>
      </vt:variant>
      <vt:variant>
        <vt:i4>164</vt:i4>
      </vt:variant>
      <vt:variant>
        <vt:i4>0</vt:i4>
      </vt:variant>
      <vt:variant>
        <vt:i4>5</vt:i4>
      </vt:variant>
      <vt:variant>
        <vt:lpwstr/>
      </vt:variant>
      <vt:variant>
        <vt:lpwstr>_Toc232659576</vt:lpwstr>
      </vt:variant>
      <vt:variant>
        <vt:i4>1835056</vt:i4>
      </vt:variant>
      <vt:variant>
        <vt:i4>158</vt:i4>
      </vt:variant>
      <vt:variant>
        <vt:i4>0</vt:i4>
      </vt:variant>
      <vt:variant>
        <vt:i4>5</vt:i4>
      </vt:variant>
      <vt:variant>
        <vt:lpwstr/>
      </vt:variant>
      <vt:variant>
        <vt:lpwstr>_Toc232659575</vt:lpwstr>
      </vt:variant>
      <vt:variant>
        <vt:i4>1835056</vt:i4>
      </vt:variant>
      <vt:variant>
        <vt:i4>152</vt:i4>
      </vt:variant>
      <vt:variant>
        <vt:i4>0</vt:i4>
      </vt:variant>
      <vt:variant>
        <vt:i4>5</vt:i4>
      </vt:variant>
      <vt:variant>
        <vt:lpwstr/>
      </vt:variant>
      <vt:variant>
        <vt:lpwstr>_Toc232659574</vt:lpwstr>
      </vt:variant>
      <vt:variant>
        <vt:i4>1835056</vt:i4>
      </vt:variant>
      <vt:variant>
        <vt:i4>146</vt:i4>
      </vt:variant>
      <vt:variant>
        <vt:i4>0</vt:i4>
      </vt:variant>
      <vt:variant>
        <vt:i4>5</vt:i4>
      </vt:variant>
      <vt:variant>
        <vt:lpwstr/>
      </vt:variant>
      <vt:variant>
        <vt:lpwstr>_Toc232659573</vt:lpwstr>
      </vt:variant>
      <vt:variant>
        <vt:i4>1835056</vt:i4>
      </vt:variant>
      <vt:variant>
        <vt:i4>140</vt:i4>
      </vt:variant>
      <vt:variant>
        <vt:i4>0</vt:i4>
      </vt:variant>
      <vt:variant>
        <vt:i4>5</vt:i4>
      </vt:variant>
      <vt:variant>
        <vt:lpwstr/>
      </vt:variant>
      <vt:variant>
        <vt:lpwstr>_Toc232659572</vt:lpwstr>
      </vt:variant>
      <vt:variant>
        <vt:i4>1835056</vt:i4>
      </vt:variant>
      <vt:variant>
        <vt:i4>134</vt:i4>
      </vt:variant>
      <vt:variant>
        <vt:i4>0</vt:i4>
      </vt:variant>
      <vt:variant>
        <vt:i4>5</vt:i4>
      </vt:variant>
      <vt:variant>
        <vt:lpwstr/>
      </vt:variant>
      <vt:variant>
        <vt:lpwstr>_Toc232659571</vt:lpwstr>
      </vt:variant>
      <vt:variant>
        <vt:i4>1835056</vt:i4>
      </vt:variant>
      <vt:variant>
        <vt:i4>128</vt:i4>
      </vt:variant>
      <vt:variant>
        <vt:i4>0</vt:i4>
      </vt:variant>
      <vt:variant>
        <vt:i4>5</vt:i4>
      </vt:variant>
      <vt:variant>
        <vt:lpwstr/>
      </vt:variant>
      <vt:variant>
        <vt:lpwstr>_Toc232659570</vt:lpwstr>
      </vt:variant>
      <vt:variant>
        <vt:i4>1900592</vt:i4>
      </vt:variant>
      <vt:variant>
        <vt:i4>122</vt:i4>
      </vt:variant>
      <vt:variant>
        <vt:i4>0</vt:i4>
      </vt:variant>
      <vt:variant>
        <vt:i4>5</vt:i4>
      </vt:variant>
      <vt:variant>
        <vt:lpwstr/>
      </vt:variant>
      <vt:variant>
        <vt:lpwstr>_Toc232659569</vt:lpwstr>
      </vt:variant>
      <vt:variant>
        <vt:i4>1900592</vt:i4>
      </vt:variant>
      <vt:variant>
        <vt:i4>116</vt:i4>
      </vt:variant>
      <vt:variant>
        <vt:i4>0</vt:i4>
      </vt:variant>
      <vt:variant>
        <vt:i4>5</vt:i4>
      </vt:variant>
      <vt:variant>
        <vt:lpwstr/>
      </vt:variant>
      <vt:variant>
        <vt:lpwstr>_Toc232659568</vt:lpwstr>
      </vt:variant>
      <vt:variant>
        <vt:i4>1900592</vt:i4>
      </vt:variant>
      <vt:variant>
        <vt:i4>110</vt:i4>
      </vt:variant>
      <vt:variant>
        <vt:i4>0</vt:i4>
      </vt:variant>
      <vt:variant>
        <vt:i4>5</vt:i4>
      </vt:variant>
      <vt:variant>
        <vt:lpwstr/>
      </vt:variant>
      <vt:variant>
        <vt:lpwstr>_Toc232659567</vt:lpwstr>
      </vt:variant>
      <vt:variant>
        <vt:i4>1900592</vt:i4>
      </vt:variant>
      <vt:variant>
        <vt:i4>104</vt:i4>
      </vt:variant>
      <vt:variant>
        <vt:i4>0</vt:i4>
      </vt:variant>
      <vt:variant>
        <vt:i4>5</vt:i4>
      </vt:variant>
      <vt:variant>
        <vt:lpwstr/>
      </vt:variant>
      <vt:variant>
        <vt:lpwstr>_Toc232659566</vt:lpwstr>
      </vt:variant>
      <vt:variant>
        <vt:i4>1900592</vt:i4>
      </vt:variant>
      <vt:variant>
        <vt:i4>98</vt:i4>
      </vt:variant>
      <vt:variant>
        <vt:i4>0</vt:i4>
      </vt:variant>
      <vt:variant>
        <vt:i4>5</vt:i4>
      </vt:variant>
      <vt:variant>
        <vt:lpwstr/>
      </vt:variant>
      <vt:variant>
        <vt:lpwstr>_Toc232659565</vt:lpwstr>
      </vt:variant>
      <vt:variant>
        <vt:i4>1900592</vt:i4>
      </vt:variant>
      <vt:variant>
        <vt:i4>92</vt:i4>
      </vt:variant>
      <vt:variant>
        <vt:i4>0</vt:i4>
      </vt:variant>
      <vt:variant>
        <vt:i4>5</vt:i4>
      </vt:variant>
      <vt:variant>
        <vt:lpwstr/>
      </vt:variant>
      <vt:variant>
        <vt:lpwstr>_Toc232659564</vt:lpwstr>
      </vt:variant>
      <vt:variant>
        <vt:i4>1900592</vt:i4>
      </vt:variant>
      <vt:variant>
        <vt:i4>86</vt:i4>
      </vt:variant>
      <vt:variant>
        <vt:i4>0</vt:i4>
      </vt:variant>
      <vt:variant>
        <vt:i4>5</vt:i4>
      </vt:variant>
      <vt:variant>
        <vt:lpwstr/>
      </vt:variant>
      <vt:variant>
        <vt:lpwstr>_Toc232659563</vt:lpwstr>
      </vt:variant>
      <vt:variant>
        <vt:i4>1900592</vt:i4>
      </vt:variant>
      <vt:variant>
        <vt:i4>80</vt:i4>
      </vt:variant>
      <vt:variant>
        <vt:i4>0</vt:i4>
      </vt:variant>
      <vt:variant>
        <vt:i4>5</vt:i4>
      </vt:variant>
      <vt:variant>
        <vt:lpwstr/>
      </vt:variant>
      <vt:variant>
        <vt:lpwstr>_Toc232659562</vt:lpwstr>
      </vt:variant>
      <vt:variant>
        <vt:i4>1900592</vt:i4>
      </vt:variant>
      <vt:variant>
        <vt:i4>74</vt:i4>
      </vt:variant>
      <vt:variant>
        <vt:i4>0</vt:i4>
      </vt:variant>
      <vt:variant>
        <vt:i4>5</vt:i4>
      </vt:variant>
      <vt:variant>
        <vt:lpwstr/>
      </vt:variant>
      <vt:variant>
        <vt:lpwstr>_Toc232659561</vt:lpwstr>
      </vt:variant>
      <vt:variant>
        <vt:i4>1900592</vt:i4>
      </vt:variant>
      <vt:variant>
        <vt:i4>68</vt:i4>
      </vt:variant>
      <vt:variant>
        <vt:i4>0</vt:i4>
      </vt:variant>
      <vt:variant>
        <vt:i4>5</vt:i4>
      </vt:variant>
      <vt:variant>
        <vt:lpwstr/>
      </vt:variant>
      <vt:variant>
        <vt:lpwstr>_Toc232659560</vt:lpwstr>
      </vt:variant>
      <vt:variant>
        <vt:i4>1966128</vt:i4>
      </vt:variant>
      <vt:variant>
        <vt:i4>62</vt:i4>
      </vt:variant>
      <vt:variant>
        <vt:i4>0</vt:i4>
      </vt:variant>
      <vt:variant>
        <vt:i4>5</vt:i4>
      </vt:variant>
      <vt:variant>
        <vt:lpwstr/>
      </vt:variant>
      <vt:variant>
        <vt:lpwstr>_Toc232659559</vt:lpwstr>
      </vt:variant>
      <vt:variant>
        <vt:i4>1966128</vt:i4>
      </vt:variant>
      <vt:variant>
        <vt:i4>56</vt:i4>
      </vt:variant>
      <vt:variant>
        <vt:i4>0</vt:i4>
      </vt:variant>
      <vt:variant>
        <vt:i4>5</vt:i4>
      </vt:variant>
      <vt:variant>
        <vt:lpwstr/>
      </vt:variant>
      <vt:variant>
        <vt:lpwstr>_Toc232659558</vt:lpwstr>
      </vt:variant>
      <vt:variant>
        <vt:i4>1966128</vt:i4>
      </vt:variant>
      <vt:variant>
        <vt:i4>50</vt:i4>
      </vt:variant>
      <vt:variant>
        <vt:i4>0</vt:i4>
      </vt:variant>
      <vt:variant>
        <vt:i4>5</vt:i4>
      </vt:variant>
      <vt:variant>
        <vt:lpwstr/>
      </vt:variant>
      <vt:variant>
        <vt:lpwstr>_Toc232659557</vt:lpwstr>
      </vt:variant>
      <vt:variant>
        <vt:i4>1966128</vt:i4>
      </vt:variant>
      <vt:variant>
        <vt:i4>44</vt:i4>
      </vt:variant>
      <vt:variant>
        <vt:i4>0</vt:i4>
      </vt:variant>
      <vt:variant>
        <vt:i4>5</vt:i4>
      </vt:variant>
      <vt:variant>
        <vt:lpwstr/>
      </vt:variant>
      <vt:variant>
        <vt:lpwstr>_Toc232659556</vt:lpwstr>
      </vt:variant>
      <vt:variant>
        <vt:i4>1966128</vt:i4>
      </vt:variant>
      <vt:variant>
        <vt:i4>38</vt:i4>
      </vt:variant>
      <vt:variant>
        <vt:i4>0</vt:i4>
      </vt:variant>
      <vt:variant>
        <vt:i4>5</vt:i4>
      </vt:variant>
      <vt:variant>
        <vt:lpwstr/>
      </vt:variant>
      <vt:variant>
        <vt:lpwstr>_Toc232659555</vt:lpwstr>
      </vt:variant>
      <vt:variant>
        <vt:i4>1966128</vt:i4>
      </vt:variant>
      <vt:variant>
        <vt:i4>32</vt:i4>
      </vt:variant>
      <vt:variant>
        <vt:i4>0</vt:i4>
      </vt:variant>
      <vt:variant>
        <vt:i4>5</vt:i4>
      </vt:variant>
      <vt:variant>
        <vt:lpwstr/>
      </vt:variant>
      <vt:variant>
        <vt:lpwstr>_Toc232659554</vt:lpwstr>
      </vt:variant>
      <vt:variant>
        <vt:i4>1966128</vt:i4>
      </vt:variant>
      <vt:variant>
        <vt:i4>26</vt:i4>
      </vt:variant>
      <vt:variant>
        <vt:i4>0</vt:i4>
      </vt:variant>
      <vt:variant>
        <vt:i4>5</vt:i4>
      </vt:variant>
      <vt:variant>
        <vt:lpwstr/>
      </vt:variant>
      <vt:variant>
        <vt:lpwstr>_Toc232659553</vt:lpwstr>
      </vt:variant>
      <vt:variant>
        <vt:i4>1966128</vt:i4>
      </vt:variant>
      <vt:variant>
        <vt:i4>20</vt:i4>
      </vt:variant>
      <vt:variant>
        <vt:i4>0</vt:i4>
      </vt:variant>
      <vt:variant>
        <vt:i4>5</vt:i4>
      </vt:variant>
      <vt:variant>
        <vt:lpwstr/>
      </vt:variant>
      <vt:variant>
        <vt:lpwstr>_Toc232659552</vt:lpwstr>
      </vt:variant>
      <vt:variant>
        <vt:i4>1966128</vt:i4>
      </vt:variant>
      <vt:variant>
        <vt:i4>14</vt:i4>
      </vt:variant>
      <vt:variant>
        <vt:i4>0</vt:i4>
      </vt:variant>
      <vt:variant>
        <vt:i4>5</vt:i4>
      </vt:variant>
      <vt:variant>
        <vt:lpwstr/>
      </vt:variant>
      <vt:variant>
        <vt:lpwstr>_Toc232659551</vt:lpwstr>
      </vt:variant>
      <vt:variant>
        <vt:i4>1966128</vt:i4>
      </vt:variant>
      <vt:variant>
        <vt:i4>8</vt:i4>
      </vt:variant>
      <vt:variant>
        <vt:i4>0</vt:i4>
      </vt:variant>
      <vt:variant>
        <vt:i4>5</vt:i4>
      </vt:variant>
      <vt:variant>
        <vt:lpwstr/>
      </vt:variant>
      <vt:variant>
        <vt:lpwstr>_Toc232659550</vt:lpwstr>
      </vt:variant>
      <vt:variant>
        <vt:i4>2031664</vt:i4>
      </vt:variant>
      <vt:variant>
        <vt:i4>2</vt:i4>
      </vt:variant>
      <vt:variant>
        <vt:i4>0</vt:i4>
      </vt:variant>
      <vt:variant>
        <vt:i4>5</vt:i4>
      </vt:variant>
      <vt:variant>
        <vt:lpwstr/>
      </vt:variant>
      <vt:variant>
        <vt:lpwstr>_Toc232659549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Jhon Farley Adarve Diaz</cp:lastModifiedBy>
  <cp:revision>96</cp:revision>
  <dcterms:created xsi:type="dcterms:W3CDTF">2026-05-28T20:33:00Z</dcterms:created>
  <dcterms:modified xsi:type="dcterms:W3CDTF">2026-06-18T16:31:00Z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dff26-5887-4e5c-8426-6e404c233df0_Enabled">
    <vt:lpwstr>true</vt:lpwstr>
  </property>
  <property fmtid="{D5CDD505-2E9C-101B-9397-08002B2CF9AE}" pid="3" name="MSIP_Label_71bdff26-5887-4e5c-8426-6e404c233df0_SetDate">
    <vt:lpwstr>2026-06-03T19:35:06Z</vt:lpwstr>
  </property>
  <property fmtid="{D5CDD505-2E9C-101B-9397-08002B2CF9AE}" pid="4" name="MSIP_Label_71bdff26-5887-4e5c-8426-6e404c233df0_Method">
    <vt:lpwstr>Standard</vt:lpwstr>
  </property>
  <property fmtid="{D5CDD505-2E9C-101B-9397-08002B2CF9AE}" pid="5" name="MSIP_Label_71bdff26-5887-4e5c-8426-6e404c233df0_Name">
    <vt:lpwstr>71bdff26-5887-4e5c-8426-6e404c233df0</vt:lpwstr>
  </property>
  <property fmtid="{D5CDD505-2E9C-101B-9397-08002B2CF9AE}" pid="6" name="MSIP_Label_71bdff26-5887-4e5c-8426-6e404c233df0_SiteId">
    <vt:lpwstr>b5e244bd-c492-495b-8b10-61bfd453e423</vt:lpwstr>
  </property>
  <property fmtid="{D5CDD505-2E9C-101B-9397-08002B2CF9AE}" pid="7" name="MSIP_Label_71bdff26-5887-4e5c-8426-6e404c233df0_ActionId">
    <vt:lpwstr>b14715ea-b0a8-42d6-af92-add075cc59e4</vt:lpwstr>
  </property>
  <property fmtid="{D5CDD505-2E9C-101B-9397-08002B2CF9AE}" pid="8" name="MSIP_Label_71bdff26-5887-4e5c-8426-6e404c233df0_ContentBits">
    <vt:lpwstr>0</vt:lpwstr>
  </property>
  <property fmtid="{D5CDD505-2E9C-101B-9397-08002B2CF9AE}" pid="9" name="MSIP_Label_71bdff26-5887-4e5c-8426-6e404c233df0_Tag">
    <vt:lpwstr>10, 3, 0, 1</vt:lpwstr>
  </property>
  <property fmtid="{D5CDD505-2E9C-101B-9397-08002B2CF9AE}" pid="10" name="ContentTypeId">
    <vt:lpwstr>0x0101002AEA3508F8CBE148AE825618BC9A7D29</vt:lpwstr>
  </property>
  <property fmtid="{D5CDD505-2E9C-101B-9397-08002B2CF9AE}" pid="11" name="MediaServiceImageTags">
    <vt:lpwstr/>
  </property>
</Properties>
</file>