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363F7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# DIRECTIVA OPERATIVA: SERVICIO DE ORIENTACIÓN VOCACIONAL E INFORMACIÓN OCUPACIONAL (SOVIO)</w:t>
      </w:r>
    </w:p>
    <w:p w14:paraId="750EDD2F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</w:p>
    <w:p w14:paraId="564847D6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## 1. Objetivos del Servicio (Ámbito Puno y Juliaca)</w:t>
      </w:r>
    </w:p>
    <w:p w14:paraId="2DF8CF02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* **Objetivo </w:t>
      </w:r>
      <w:proofErr w:type="gramStart"/>
      <w:r w:rsidRPr="00DA2BAA">
        <w:rPr>
          <w:rFonts w:ascii="Times New Roman" w:hAnsi="Times New Roman" w:cs="Times New Roman"/>
          <w:lang w:val="es-ES"/>
        </w:rPr>
        <w:t>General:*</w:t>
      </w:r>
      <w:proofErr w:type="gramEnd"/>
      <w:r w:rsidRPr="00DA2BAA">
        <w:rPr>
          <w:rFonts w:ascii="Times New Roman" w:hAnsi="Times New Roman" w:cs="Times New Roman"/>
          <w:lang w:val="es-ES"/>
        </w:rPr>
        <w:t>* Brindar orientación vocacional e información ocupacional a jóvenes de academias preuniversitarias y centros de formación de las ciudades de Puno y Juliaca. Se busca promover el autoconocimiento, la identificación de intereses y capacidades, y la toma de decisiones responsables vinculadas a su proyecto de vida formativo y laboral.</w:t>
      </w:r>
    </w:p>
    <w:p w14:paraId="3D2A59A4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* **Objetivos </w:t>
      </w:r>
      <w:proofErr w:type="gramStart"/>
      <w:r w:rsidRPr="00DA2BAA">
        <w:rPr>
          <w:rFonts w:ascii="Times New Roman" w:hAnsi="Times New Roman" w:cs="Times New Roman"/>
          <w:lang w:val="es-ES"/>
        </w:rPr>
        <w:t>Específicos:*</w:t>
      </w:r>
      <w:proofErr w:type="gramEnd"/>
      <w:r w:rsidRPr="00DA2BAA">
        <w:rPr>
          <w:rFonts w:ascii="Times New Roman" w:hAnsi="Times New Roman" w:cs="Times New Roman"/>
          <w:lang w:val="es-ES"/>
        </w:rPr>
        <w:t>*</w:t>
      </w:r>
    </w:p>
    <w:p w14:paraId="1CBDC139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  * Difundir e impulsar el servicio SOVIO en academias preuniversitarias y centros de formación de Puno y Juliaca.</w:t>
      </w:r>
    </w:p>
    <w:p w14:paraId="36AA569D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  * Sensibilizar a la población sobre la relevancia del servicio para una correcta elección profesional u ocupacional.</w:t>
      </w:r>
    </w:p>
    <w:p w14:paraId="3FC993A3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  * Fomentar el autoconocimiento mediante herramientas técnico-prácticas como el análisis FODA personal.</w:t>
      </w:r>
    </w:p>
    <w:p w14:paraId="33319C72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  * Generar espacios de interacción directa entre los jóvenes y los centros de formación profesional para difundir la oferta educativa disponible.</w:t>
      </w:r>
    </w:p>
    <w:p w14:paraId="114B9F27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</w:p>
    <w:p w14:paraId="1D255790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## 2. Marco de la Intervención Principal y sus Etapas Secuenciales</w:t>
      </w:r>
    </w:p>
    <w:p w14:paraId="3C9CF239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La intervención se define normativamente como un proceso integral, sistemático y especializado. No es una acción aislada, sino un conjunto articulado de un mínimo de tres (3) etapas obligatorias y secuenciales:</w:t>
      </w:r>
    </w:p>
    <w:p w14:paraId="6C055669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</w:p>
    <w:p w14:paraId="23D0F4F4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### a. Etapa de Orientación e Información</w:t>
      </w:r>
    </w:p>
    <w:p w14:paraId="22520364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Proveer información estadística y descriptiva sobre el mercado laboral regional y nacional.</w:t>
      </w:r>
    </w:p>
    <w:p w14:paraId="3F58E97F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Brindar asesoramiento técnico para la construcción y estructuración del proyecto de vida del beneficiario.</w:t>
      </w:r>
    </w:p>
    <w:p w14:paraId="510282A1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Fomentar la investigación y el análisis pormenorizado de las carreras profesionales.</w:t>
      </w:r>
    </w:p>
    <w:p w14:paraId="685A3DFE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Identificar activamente oportunidades reales de empleo y programas de capacitación.</w:t>
      </w:r>
    </w:p>
    <w:p w14:paraId="69091B81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</w:p>
    <w:p w14:paraId="1D7102BA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### b. Etapa de Exploración y Características Personales</w:t>
      </w:r>
    </w:p>
    <w:p w14:paraId="13824B67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Ejecutar la entrevista inicial orientada a identificar los objetivos e intereses personales del usuario.</w:t>
      </w:r>
    </w:p>
    <w:p w14:paraId="089359E1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Aplicar pruebas psicológicas vocacionales estandarizadas para medir: habilidades básicas, estilos personales, intereses profesionales y el potencial emprendedor.</w:t>
      </w:r>
    </w:p>
    <w:p w14:paraId="17EBCDB4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* Evaluar de forma consolidada las habilidades, aptitudes y el perfil </w:t>
      </w:r>
      <w:proofErr w:type="spellStart"/>
      <w:r w:rsidRPr="00DA2BAA">
        <w:rPr>
          <w:rFonts w:ascii="Times New Roman" w:hAnsi="Times New Roman" w:cs="Times New Roman"/>
          <w:lang w:val="es-ES"/>
        </w:rPr>
        <w:t>pro-emprendimiento</w:t>
      </w:r>
      <w:proofErr w:type="spellEnd"/>
      <w:r w:rsidRPr="00DA2BAA">
        <w:rPr>
          <w:rFonts w:ascii="Times New Roman" w:hAnsi="Times New Roman" w:cs="Times New Roman"/>
          <w:lang w:val="es-ES"/>
        </w:rPr>
        <w:t xml:space="preserve"> del joven.</w:t>
      </w:r>
    </w:p>
    <w:p w14:paraId="4C3F3860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</w:p>
    <w:p w14:paraId="30628761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### c. Etapa de Retroalimentación y Asesoría</w:t>
      </w:r>
    </w:p>
    <w:p w14:paraId="4EF0592C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Realizar la interpretación técnica de los resultados y confeccionar el informe vocacional individualizado.</w:t>
      </w:r>
    </w:p>
    <w:p w14:paraId="7599CB04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Proveer información institucional detallada sobre centros educativos, acceso a becas y programas formativos vigentes.</w:t>
      </w:r>
    </w:p>
    <w:p w14:paraId="280E5715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Enseñar y aplicar técnicas de reflexión y autoevaluación destinadas a la toma de decisiones informadas.</w:t>
      </w:r>
    </w:p>
    <w:p w14:paraId="492F9992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</w:p>
    <w:p w14:paraId="422340D1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## 3. Estrategia de Ferias Vocacionales</w:t>
      </w:r>
    </w:p>
    <w:p w14:paraId="5D7A7667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**</w:t>
      </w:r>
      <w:proofErr w:type="gramStart"/>
      <w:r w:rsidRPr="00DA2BAA">
        <w:rPr>
          <w:rFonts w:ascii="Times New Roman" w:hAnsi="Times New Roman" w:cs="Times New Roman"/>
          <w:lang w:val="es-ES"/>
        </w:rPr>
        <w:t>Propósito:*</w:t>
      </w:r>
      <w:proofErr w:type="gramEnd"/>
      <w:r w:rsidRPr="00DA2BAA">
        <w:rPr>
          <w:rFonts w:ascii="Times New Roman" w:hAnsi="Times New Roman" w:cs="Times New Roman"/>
          <w:lang w:val="es-ES"/>
        </w:rPr>
        <w:t>* Actuar como una herramienta masiva y acelerada para promocionar el servicio SOVIO y llegar a un alto número de usuarios en poco tiempo. Captar el interés de las instituciones educativas para que incluyan el SOVIO en sus planes de trabajo anuales.</w:t>
      </w:r>
    </w:p>
    <w:p w14:paraId="3E1D3D83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* **Población </w:t>
      </w:r>
      <w:proofErr w:type="gramStart"/>
      <w:r w:rsidRPr="00DA2BAA">
        <w:rPr>
          <w:rFonts w:ascii="Times New Roman" w:hAnsi="Times New Roman" w:cs="Times New Roman"/>
          <w:lang w:val="es-ES"/>
        </w:rPr>
        <w:t>Beneficiaria:*</w:t>
      </w:r>
      <w:proofErr w:type="gramEnd"/>
      <w:r w:rsidRPr="00DA2BAA">
        <w:rPr>
          <w:rFonts w:ascii="Times New Roman" w:hAnsi="Times New Roman" w:cs="Times New Roman"/>
          <w:lang w:val="es-ES"/>
        </w:rPr>
        <w:t>* Aunque el evento es de carácter abierto, gratuito y orientado al público en general, las acciones de difusión y convocatoria deben focalizarse estrictamente en el público objetivo del SOVIO: jóvenes de 16 a 24 años y estudiantes de 4.to y 5.to de secundaria.</w:t>
      </w:r>
    </w:p>
    <w:p w14:paraId="02CD9A3E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**</w:t>
      </w:r>
      <w:proofErr w:type="gramStart"/>
      <w:r w:rsidRPr="00DA2BAA">
        <w:rPr>
          <w:rFonts w:ascii="Times New Roman" w:hAnsi="Times New Roman" w:cs="Times New Roman"/>
          <w:lang w:val="es-ES"/>
        </w:rPr>
        <w:t>Utilidad:*</w:t>
      </w:r>
      <w:proofErr w:type="gramEnd"/>
      <w:r w:rsidRPr="00DA2BAA">
        <w:rPr>
          <w:rFonts w:ascii="Times New Roman" w:hAnsi="Times New Roman" w:cs="Times New Roman"/>
          <w:lang w:val="es-ES"/>
        </w:rPr>
        <w:t>* Facilitar dinámicas de reflexión sobre las aptitudes y condiciones de los estudiantes, conectándolos directamente con la oferta formativa de la Región de Puno.</w:t>
      </w:r>
    </w:p>
    <w:p w14:paraId="24A2F339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</w:p>
    <w:p w14:paraId="1A599C1E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## 4. Estrategia Complementaria: Visitas Guiadas a Empresas</w:t>
      </w:r>
    </w:p>
    <w:p w14:paraId="7AC6DD2C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* **Objetivo y </w:t>
      </w:r>
      <w:proofErr w:type="gramStart"/>
      <w:r w:rsidRPr="00DA2BAA">
        <w:rPr>
          <w:rFonts w:ascii="Times New Roman" w:hAnsi="Times New Roman" w:cs="Times New Roman"/>
          <w:lang w:val="es-ES"/>
        </w:rPr>
        <w:t>Finalidad:*</w:t>
      </w:r>
      <w:proofErr w:type="gramEnd"/>
      <w:r w:rsidRPr="00DA2BAA">
        <w:rPr>
          <w:rFonts w:ascii="Times New Roman" w:hAnsi="Times New Roman" w:cs="Times New Roman"/>
          <w:lang w:val="es-ES"/>
        </w:rPr>
        <w:t>* Estandarizar visitas programadas a entornos laborales reales para que los participantes conozcan las ocupaciones de manera directa, promoviendo una elección pertinente.</w:t>
      </w:r>
    </w:p>
    <w:p w14:paraId="3A1FDC9E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* **Clasificación de las </w:t>
      </w:r>
      <w:proofErr w:type="gramStart"/>
      <w:r w:rsidRPr="00DA2BAA">
        <w:rPr>
          <w:rFonts w:ascii="Times New Roman" w:hAnsi="Times New Roman" w:cs="Times New Roman"/>
          <w:lang w:val="es-ES"/>
        </w:rPr>
        <w:t>Visitas:*</w:t>
      </w:r>
      <w:proofErr w:type="gramEnd"/>
      <w:r w:rsidRPr="00DA2BAA">
        <w:rPr>
          <w:rFonts w:ascii="Times New Roman" w:hAnsi="Times New Roman" w:cs="Times New Roman"/>
          <w:lang w:val="es-ES"/>
        </w:rPr>
        <w:t>*</w:t>
      </w:r>
    </w:p>
    <w:p w14:paraId="735F6825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  * **Por Población </w:t>
      </w:r>
      <w:proofErr w:type="gramStart"/>
      <w:r w:rsidRPr="00DA2BAA">
        <w:rPr>
          <w:rFonts w:ascii="Times New Roman" w:hAnsi="Times New Roman" w:cs="Times New Roman"/>
          <w:lang w:val="es-ES"/>
        </w:rPr>
        <w:t>Beneficiaria:*</w:t>
      </w:r>
      <w:proofErr w:type="gramEnd"/>
      <w:r w:rsidRPr="00DA2BAA">
        <w:rPr>
          <w:rFonts w:ascii="Times New Roman" w:hAnsi="Times New Roman" w:cs="Times New Roman"/>
          <w:lang w:val="es-ES"/>
        </w:rPr>
        <w:t>* Dirigidas a Personas Naturales (usuarios individuales del SOVIO) o a Instituciones/Organizaciones (colegios, academias preuniversitarias, iglesias, etc.).</w:t>
      </w:r>
    </w:p>
    <w:p w14:paraId="2E2B4FF9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  * **Por Empresa a </w:t>
      </w:r>
      <w:proofErr w:type="gramStart"/>
      <w:r w:rsidRPr="00DA2BAA">
        <w:rPr>
          <w:rFonts w:ascii="Times New Roman" w:hAnsi="Times New Roman" w:cs="Times New Roman"/>
          <w:lang w:val="es-ES"/>
        </w:rPr>
        <w:t>Visitar:*</w:t>
      </w:r>
      <w:proofErr w:type="gramEnd"/>
      <w:r w:rsidRPr="00DA2BAA">
        <w:rPr>
          <w:rFonts w:ascii="Times New Roman" w:hAnsi="Times New Roman" w:cs="Times New Roman"/>
          <w:lang w:val="es-ES"/>
        </w:rPr>
        <w:t>* Priorizar empresas representativas de las principales actividades económicas de la región o empresas directamente vinculadas a las ocupaciones de mayor interés detectadas en las evaluaciones de los beneficiarios.</w:t>
      </w:r>
    </w:p>
    <w:p w14:paraId="4EA7D919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</w:p>
    <w:p w14:paraId="18408587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## 5. Estrategia Complementaria: Paneles Ocupacionales</w:t>
      </w:r>
    </w:p>
    <w:p w14:paraId="7E4F3FAA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**</w:t>
      </w:r>
      <w:proofErr w:type="gramStart"/>
      <w:r w:rsidRPr="00DA2BAA">
        <w:rPr>
          <w:rFonts w:ascii="Times New Roman" w:hAnsi="Times New Roman" w:cs="Times New Roman"/>
          <w:lang w:val="es-ES"/>
        </w:rPr>
        <w:t>Objetivo:*</w:t>
      </w:r>
      <w:proofErr w:type="gramEnd"/>
      <w:r w:rsidRPr="00DA2BAA">
        <w:rPr>
          <w:rFonts w:ascii="Times New Roman" w:hAnsi="Times New Roman" w:cs="Times New Roman"/>
          <w:lang w:val="es-ES"/>
        </w:rPr>
        <w:t>* Proporcionar información testimonial mediante profesionales, técnicos, trabajadores o padres de familia con competencias comunicativas idóneas para conectar con el público juvenil.</w:t>
      </w:r>
    </w:p>
    <w:p w14:paraId="414A62BB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* **Lineamientos Obligatorios de </w:t>
      </w:r>
      <w:proofErr w:type="gramStart"/>
      <w:r w:rsidRPr="00DA2BAA">
        <w:rPr>
          <w:rFonts w:ascii="Times New Roman" w:hAnsi="Times New Roman" w:cs="Times New Roman"/>
          <w:lang w:val="es-ES"/>
        </w:rPr>
        <w:t>Desarrollo:*</w:t>
      </w:r>
      <w:proofErr w:type="gramEnd"/>
      <w:r w:rsidRPr="00DA2BAA">
        <w:rPr>
          <w:rFonts w:ascii="Times New Roman" w:hAnsi="Times New Roman" w:cs="Times New Roman"/>
          <w:lang w:val="es-ES"/>
        </w:rPr>
        <w:t>*</w:t>
      </w:r>
    </w:p>
    <w:p w14:paraId="5DBA7114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  * Seleccionar temáticas según la edad, interés y nivel educativo del público.</w:t>
      </w:r>
    </w:p>
    <w:p w14:paraId="5491019A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  * Priorizar carreras y oficios vinculados a la actividad económica predominante de la región.</w:t>
      </w:r>
    </w:p>
    <w:p w14:paraId="59F75C04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lastRenderedPageBreak/>
        <w:t xml:space="preserve">  * Diversificar los paneles incluyendo distintos perfiles profesionales para ampliar la visión de los jóvenes.</w:t>
      </w:r>
    </w:p>
    <w:p w14:paraId="0191F4F3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  * El aforo de asistentes debe adecuarse estrictamente a la capacidad física del ambiente.</w:t>
      </w:r>
    </w:p>
    <w:p w14:paraId="576ECC8B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 xml:space="preserve">  * **Restricción de </w:t>
      </w:r>
      <w:proofErr w:type="gramStart"/>
      <w:r w:rsidRPr="00DA2BAA">
        <w:rPr>
          <w:rFonts w:ascii="Times New Roman" w:hAnsi="Times New Roman" w:cs="Times New Roman"/>
          <w:lang w:val="es-ES"/>
        </w:rPr>
        <w:t>Espacio:*</w:t>
      </w:r>
      <w:proofErr w:type="gramEnd"/>
      <w:r w:rsidRPr="00DA2BAA">
        <w:rPr>
          <w:rFonts w:ascii="Times New Roman" w:hAnsi="Times New Roman" w:cs="Times New Roman"/>
          <w:lang w:val="es-ES"/>
        </w:rPr>
        <w:t>* Los paneles deben realizarse de forma aislada y en espacios completamente diferenciados de otras actividades como ferias o charlas de padres.</w:t>
      </w:r>
    </w:p>
    <w:p w14:paraId="50A9C82A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</w:p>
    <w:p w14:paraId="1C70C622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## 6. Jornadas de Charlas Especializadas</w:t>
      </w:r>
    </w:p>
    <w:p w14:paraId="2D6DB5C8" w14:textId="77777777" w:rsidR="00857BD1" w:rsidRPr="00DA2BAA" w:rsidRDefault="00857BD1" w:rsidP="00857BD1">
      <w:pPr>
        <w:rPr>
          <w:rFonts w:ascii="Times New Roman" w:hAnsi="Times New Roman" w:cs="Times New Roman"/>
          <w:lang w:val="es-ES"/>
        </w:rPr>
      </w:pPr>
      <w:r w:rsidRPr="00DA2BAA">
        <w:rPr>
          <w:rFonts w:ascii="Times New Roman" w:hAnsi="Times New Roman" w:cs="Times New Roman"/>
          <w:lang w:val="es-ES"/>
        </w:rPr>
        <w:t>* **Charlas Informativas (Para Jóvenes y Academias</w:t>
      </w:r>
      <w:proofErr w:type="gramStart"/>
      <w:r w:rsidRPr="00DA2BAA">
        <w:rPr>
          <w:rFonts w:ascii="Times New Roman" w:hAnsi="Times New Roman" w:cs="Times New Roman"/>
          <w:lang w:val="es-ES"/>
        </w:rPr>
        <w:t>):*</w:t>
      </w:r>
      <w:proofErr w:type="gramEnd"/>
      <w:r w:rsidRPr="00DA2BAA">
        <w:rPr>
          <w:rFonts w:ascii="Times New Roman" w:hAnsi="Times New Roman" w:cs="Times New Roman"/>
          <w:lang w:val="es-ES"/>
        </w:rPr>
        <w:t>* Instancias de difusión dirigidas a jóvenes y estudiantes de academias preuniversitarias enfocadas en: Oferta educativa universitaria y técnica, requisitos de ingreso, perfiles profesionales, tendencias del mercado de trabajo y estrategias de búsqueda de empleo.</w:t>
      </w:r>
    </w:p>
    <w:p w14:paraId="4E00E0B8" w14:textId="64E392AB" w:rsidR="00974328" w:rsidRPr="00DA2BAA" w:rsidRDefault="00857BD1" w:rsidP="00857BD1">
      <w:r w:rsidRPr="00DA2BAA">
        <w:rPr>
          <w:rFonts w:ascii="Times New Roman" w:hAnsi="Times New Roman" w:cs="Times New Roman"/>
          <w:lang w:val="es-ES"/>
        </w:rPr>
        <w:t xml:space="preserve">* **Charlas para Padres de </w:t>
      </w:r>
      <w:proofErr w:type="gramStart"/>
      <w:r w:rsidRPr="00DA2BAA">
        <w:rPr>
          <w:rFonts w:ascii="Times New Roman" w:hAnsi="Times New Roman" w:cs="Times New Roman"/>
          <w:lang w:val="es-ES"/>
        </w:rPr>
        <w:t>Familia:*</w:t>
      </w:r>
      <w:proofErr w:type="gramEnd"/>
      <w:r w:rsidRPr="00DA2BAA">
        <w:rPr>
          <w:rFonts w:ascii="Times New Roman" w:hAnsi="Times New Roman" w:cs="Times New Roman"/>
          <w:lang w:val="es-ES"/>
        </w:rPr>
        <w:t>* Sesiones informativas diseñadas para fortalecer el soporte y acompañamiento familiar. Abordan la importancia de la orientación vocacional, técnicas parentales para apoyar la toma de decisiones de los hijos e información sobre las alternativas educativas del entorno.</w:t>
      </w:r>
    </w:p>
    <w:sectPr w:rsidR="00974328" w:rsidRPr="00DA2BA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C9C74E" w14:textId="77777777" w:rsidR="00117E07" w:rsidRDefault="00117E07" w:rsidP="00D23DCC">
      <w:pPr>
        <w:spacing w:after="0" w:line="240" w:lineRule="auto"/>
      </w:pPr>
      <w:r>
        <w:separator/>
      </w:r>
    </w:p>
  </w:endnote>
  <w:endnote w:type="continuationSeparator" w:id="0">
    <w:p w14:paraId="0BB3AE87" w14:textId="77777777" w:rsidR="00117E07" w:rsidRDefault="00117E07" w:rsidP="00D23D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778379" w14:textId="77777777" w:rsidR="00117E07" w:rsidRDefault="00117E07" w:rsidP="00D23DCC">
      <w:pPr>
        <w:spacing w:after="0" w:line="240" w:lineRule="auto"/>
      </w:pPr>
      <w:r>
        <w:separator/>
      </w:r>
    </w:p>
  </w:footnote>
  <w:footnote w:type="continuationSeparator" w:id="0">
    <w:p w14:paraId="6DE636B8" w14:textId="77777777" w:rsidR="00117E07" w:rsidRDefault="00117E07" w:rsidP="00D23D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11A85"/>
    <w:multiLevelType w:val="multilevel"/>
    <w:tmpl w:val="1E642D6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1" w15:restartNumberingAfterBreak="0">
    <w:nsid w:val="05F377C2"/>
    <w:multiLevelType w:val="multilevel"/>
    <w:tmpl w:val="1FCE8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095877"/>
    <w:multiLevelType w:val="multilevel"/>
    <w:tmpl w:val="2766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9136A"/>
    <w:multiLevelType w:val="multilevel"/>
    <w:tmpl w:val="ED36C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B5B60"/>
    <w:multiLevelType w:val="multilevel"/>
    <w:tmpl w:val="6556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E67702"/>
    <w:multiLevelType w:val="multilevel"/>
    <w:tmpl w:val="B6DE1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D75F1"/>
    <w:multiLevelType w:val="multilevel"/>
    <w:tmpl w:val="35E0397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6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5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08" w:hanging="1440"/>
      </w:pPr>
      <w:rPr>
        <w:rFonts w:hint="default"/>
      </w:rPr>
    </w:lvl>
  </w:abstractNum>
  <w:abstractNum w:abstractNumId="7" w15:restartNumberingAfterBreak="0">
    <w:nsid w:val="1A1B2F5D"/>
    <w:multiLevelType w:val="multilevel"/>
    <w:tmpl w:val="7B8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311C9C"/>
    <w:multiLevelType w:val="hybridMultilevel"/>
    <w:tmpl w:val="5F2EDD84"/>
    <w:lvl w:ilvl="0" w:tplc="280A000B">
      <w:start w:val="1"/>
      <w:numFmt w:val="bullet"/>
      <w:lvlText w:val=""/>
      <w:lvlJc w:val="left"/>
      <w:pPr>
        <w:ind w:left="1996" w:hanging="360"/>
      </w:pPr>
      <w:rPr>
        <w:rFonts w:ascii="Wingdings" w:hAnsi="Wingdings" w:hint="default"/>
      </w:rPr>
    </w:lvl>
    <w:lvl w:ilvl="1" w:tplc="93A82058">
      <w:numFmt w:val="bullet"/>
      <w:lvlText w:val="-"/>
      <w:lvlJc w:val="left"/>
      <w:pPr>
        <w:ind w:left="2716" w:hanging="360"/>
      </w:pPr>
      <w:rPr>
        <w:rFonts w:ascii="Times New Roman" w:eastAsiaTheme="minorHAnsi" w:hAnsi="Times New Roman" w:cs="Times New Roman" w:hint="default"/>
      </w:rPr>
    </w:lvl>
    <w:lvl w:ilvl="2" w:tplc="280A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9" w15:restartNumberingAfterBreak="0">
    <w:nsid w:val="22E55687"/>
    <w:multiLevelType w:val="hybridMultilevel"/>
    <w:tmpl w:val="5F2C8EC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63672"/>
    <w:multiLevelType w:val="multilevel"/>
    <w:tmpl w:val="4CBE96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636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111465"/>
    <w:multiLevelType w:val="multilevel"/>
    <w:tmpl w:val="E3BA06B4"/>
    <w:lvl w:ilvl="0">
      <w:start w:val="1"/>
      <w:numFmt w:val="bullet"/>
      <w:lvlText w:val="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BE1C2A"/>
    <w:multiLevelType w:val="multilevel"/>
    <w:tmpl w:val="BA26F90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F94FA4"/>
    <w:multiLevelType w:val="hybridMultilevel"/>
    <w:tmpl w:val="8916962A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D23D83"/>
    <w:multiLevelType w:val="hybridMultilevel"/>
    <w:tmpl w:val="30EC5800"/>
    <w:lvl w:ilvl="0" w:tplc="28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9AB273C"/>
    <w:multiLevelType w:val="hybridMultilevel"/>
    <w:tmpl w:val="833AAEDA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A91719"/>
    <w:multiLevelType w:val="multilevel"/>
    <w:tmpl w:val="BADAA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F46A4F"/>
    <w:multiLevelType w:val="hybridMultilevel"/>
    <w:tmpl w:val="5EB01C9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57000"/>
    <w:multiLevelType w:val="hybridMultilevel"/>
    <w:tmpl w:val="53569D94"/>
    <w:lvl w:ilvl="0" w:tplc="DB8ACB8E">
      <w:start w:val="1"/>
      <w:numFmt w:val="lowerLetter"/>
      <w:lvlText w:val="%1."/>
      <w:lvlJc w:val="left"/>
      <w:pPr>
        <w:ind w:left="1428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2148" w:hanging="360"/>
      </w:pPr>
    </w:lvl>
    <w:lvl w:ilvl="2" w:tplc="C99CE85C">
      <w:start w:val="1"/>
      <w:numFmt w:val="upperLetter"/>
      <w:lvlText w:val="%3."/>
      <w:lvlJc w:val="left"/>
      <w:pPr>
        <w:ind w:left="3048" w:hanging="360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3588" w:hanging="360"/>
      </w:pPr>
    </w:lvl>
    <w:lvl w:ilvl="4" w:tplc="280A0019" w:tentative="1">
      <w:start w:val="1"/>
      <w:numFmt w:val="lowerLetter"/>
      <w:lvlText w:val="%5."/>
      <w:lvlJc w:val="left"/>
      <w:pPr>
        <w:ind w:left="4308" w:hanging="360"/>
      </w:pPr>
    </w:lvl>
    <w:lvl w:ilvl="5" w:tplc="280A001B" w:tentative="1">
      <w:start w:val="1"/>
      <w:numFmt w:val="lowerRoman"/>
      <w:lvlText w:val="%6."/>
      <w:lvlJc w:val="right"/>
      <w:pPr>
        <w:ind w:left="5028" w:hanging="180"/>
      </w:pPr>
    </w:lvl>
    <w:lvl w:ilvl="6" w:tplc="280A000F" w:tentative="1">
      <w:start w:val="1"/>
      <w:numFmt w:val="decimal"/>
      <w:lvlText w:val="%7."/>
      <w:lvlJc w:val="left"/>
      <w:pPr>
        <w:ind w:left="5748" w:hanging="360"/>
      </w:pPr>
    </w:lvl>
    <w:lvl w:ilvl="7" w:tplc="280A0019" w:tentative="1">
      <w:start w:val="1"/>
      <w:numFmt w:val="lowerLetter"/>
      <w:lvlText w:val="%8."/>
      <w:lvlJc w:val="left"/>
      <w:pPr>
        <w:ind w:left="6468" w:hanging="360"/>
      </w:pPr>
    </w:lvl>
    <w:lvl w:ilvl="8" w:tplc="28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4DAF77FC"/>
    <w:multiLevelType w:val="hybridMultilevel"/>
    <w:tmpl w:val="24FE7458"/>
    <w:lvl w:ilvl="0" w:tplc="280A000B">
      <w:start w:val="1"/>
      <w:numFmt w:val="bullet"/>
      <w:lvlText w:val=""/>
      <w:lvlJc w:val="left"/>
      <w:pPr>
        <w:ind w:left="1212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20" w15:restartNumberingAfterBreak="0">
    <w:nsid w:val="4DE46552"/>
    <w:multiLevelType w:val="multilevel"/>
    <w:tmpl w:val="6E008BF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7C5EAC"/>
    <w:multiLevelType w:val="multilevel"/>
    <w:tmpl w:val="6706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8862FF"/>
    <w:multiLevelType w:val="hybridMultilevel"/>
    <w:tmpl w:val="C2220BF4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DE7441"/>
    <w:multiLevelType w:val="multilevel"/>
    <w:tmpl w:val="4CBE96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636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453F69"/>
    <w:multiLevelType w:val="multilevel"/>
    <w:tmpl w:val="ACE0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1169E9"/>
    <w:multiLevelType w:val="hybridMultilevel"/>
    <w:tmpl w:val="3E04A64A"/>
    <w:lvl w:ilvl="0" w:tplc="280A000B">
      <w:start w:val="1"/>
      <w:numFmt w:val="bullet"/>
      <w:lvlText w:val=""/>
      <w:lvlJc w:val="left"/>
      <w:pPr>
        <w:ind w:left="5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6" w15:restartNumberingAfterBreak="0">
    <w:nsid w:val="75DA6F18"/>
    <w:multiLevelType w:val="multilevel"/>
    <w:tmpl w:val="6A32842C"/>
    <w:lvl w:ilvl="0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ind w:left="177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28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3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0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12" w:hanging="1440"/>
      </w:pPr>
      <w:rPr>
        <w:rFonts w:hint="default"/>
      </w:rPr>
    </w:lvl>
  </w:abstractNum>
  <w:abstractNum w:abstractNumId="27" w15:restartNumberingAfterBreak="0">
    <w:nsid w:val="767C56CD"/>
    <w:multiLevelType w:val="hybridMultilevel"/>
    <w:tmpl w:val="87F08E1C"/>
    <w:lvl w:ilvl="0" w:tplc="280A000B">
      <w:start w:val="1"/>
      <w:numFmt w:val="bullet"/>
      <w:lvlText w:val=""/>
      <w:lvlJc w:val="left"/>
      <w:pPr>
        <w:ind w:left="92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8" w15:restartNumberingAfterBreak="0">
    <w:nsid w:val="7AC76B38"/>
    <w:multiLevelType w:val="hybridMultilevel"/>
    <w:tmpl w:val="007C03F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725247">
    <w:abstractNumId w:val="25"/>
  </w:num>
  <w:num w:numId="2" w16cid:durableId="725106389">
    <w:abstractNumId w:val="19"/>
  </w:num>
  <w:num w:numId="3" w16cid:durableId="1031225168">
    <w:abstractNumId w:val="8"/>
  </w:num>
  <w:num w:numId="4" w16cid:durableId="791633588">
    <w:abstractNumId w:val="18"/>
  </w:num>
  <w:num w:numId="5" w16cid:durableId="1643003002">
    <w:abstractNumId w:val="0"/>
  </w:num>
  <w:num w:numId="6" w16cid:durableId="1627001333">
    <w:abstractNumId w:val="26"/>
  </w:num>
  <w:num w:numId="7" w16cid:durableId="550270016">
    <w:abstractNumId w:val="11"/>
  </w:num>
  <w:num w:numId="8" w16cid:durableId="213927054">
    <w:abstractNumId w:val="6"/>
  </w:num>
  <w:num w:numId="9" w16cid:durableId="1353265001">
    <w:abstractNumId w:val="27"/>
  </w:num>
  <w:num w:numId="10" w16cid:durableId="1400324716">
    <w:abstractNumId w:val="28"/>
  </w:num>
  <w:num w:numId="11" w16cid:durableId="1989430385">
    <w:abstractNumId w:val="5"/>
  </w:num>
  <w:num w:numId="12" w16cid:durableId="1515001304">
    <w:abstractNumId w:val="20"/>
  </w:num>
  <w:num w:numId="13" w16cid:durableId="366176361">
    <w:abstractNumId w:val="16"/>
  </w:num>
  <w:num w:numId="14" w16cid:durableId="1744179081">
    <w:abstractNumId w:val="10"/>
  </w:num>
  <w:num w:numId="15" w16cid:durableId="2010716894">
    <w:abstractNumId w:val="23"/>
  </w:num>
  <w:num w:numId="16" w16cid:durableId="1097867170">
    <w:abstractNumId w:val="3"/>
  </w:num>
  <w:num w:numId="17" w16cid:durableId="477918534">
    <w:abstractNumId w:val="12"/>
  </w:num>
  <w:num w:numId="18" w16cid:durableId="675573806">
    <w:abstractNumId w:val="2"/>
  </w:num>
  <w:num w:numId="19" w16cid:durableId="1771968096">
    <w:abstractNumId w:val="7"/>
  </w:num>
  <w:num w:numId="20" w16cid:durableId="128058182">
    <w:abstractNumId w:val="24"/>
  </w:num>
  <w:num w:numId="21" w16cid:durableId="908153567">
    <w:abstractNumId w:val="21"/>
  </w:num>
  <w:num w:numId="22" w16cid:durableId="33432679">
    <w:abstractNumId w:val="4"/>
  </w:num>
  <w:num w:numId="23" w16cid:durableId="834105299">
    <w:abstractNumId w:val="15"/>
  </w:num>
  <w:num w:numId="24" w16cid:durableId="37243592">
    <w:abstractNumId w:val="9"/>
  </w:num>
  <w:num w:numId="25" w16cid:durableId="754471084">
    <w:abstractNumId w:val="14"/>
  </w:num>
  <w:num w:numId="26" w16cid:durableId="204566537">
    <w:abstractNumId w:val="17"/>
  </w:num>
  <w:num w:numId="27" w16cid:durableId="1718974030">
    <w:abstractNumId w:val="22"/>
  </w:num>
  <w:num w:numId="28" w16cid:durableId="1474714233">
    <w:abstractNumId w:val="13"/>
  </w:num>
  <w:num w:numId="29" w16cid:durableId="757991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DCC"/>
    <w:rsid w:val="00017FD0"/>
    <w:rsid w:val="001101DB"/>
    <w:rsid w:val="00117E07"/>
    <w:rsid w:val="00324E39"/>
    <w:rsid w:val="003C5C50"/>
    <w:rsid w:val="005E2C9C"/>
    <w:rsid w:val="00857BD1"/>
    <w:rsid w:val="008D6297"/>
    <w:rsid w:val="009251A5"/>
    <w:rsid w:val="00974328"/>
    <w:rsid w:val="009775F0"/>
    <w:rsid w:val="00A10DEF"/>
    <w:rsid w:val="00B66B9A"/>
    <w:rsid w:val="00BD3ADD"/>
    <w:rsid w:val="00D23DCC"/>
    <w:rsid w:val="00DA2BAA"/>
    <w:rsid w:val="00EF1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08402"/>
  <w15:chartTrackingRefBased/>
  <w15:docId w15:val="{3676C15A-5C22-4307-9848-D55ABD4D7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3DCC"/>
    <w:rPr>
      <w14:ligatures w14:val="standardContextual"/>
    </w:rPr>
  </w:style>
  <w:style w:type="paragraph" w:styleId="Ttulo3">
    <w:name w:val="heading 3"/>
    <w:basedOn w:val="Normal"/>
    <w:link w:val="Ttulo3Car"/>
    <w:uiPriority w:val="9"/>
    <w:qFormat/>
    <w:rsid w:val="00017F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PE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23DC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23D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Encabezado">
    <w:name w:val="header"/>
    <w:basedOn w:val="Normal"/>
    <w:link w:val="EncabezadoCar"/>
    <w:uiPriority w:val="99"/>
    <w:unhideWhenUsed/>
    <w:rsid w:val="00D23D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3DCC"/>
    <w:rPr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D23D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3DCC"/>
    <w:rPr>
      <w14:ligatures w14:val="standardContextual"/>
    </w:rPr>
  </w:style>
  <w:style w:type="paragraph" w:customStyle="1" w:styleId="pdq2pgselectionanchorcontainer">
    <w:name w:val="pdq2pg_selectionanchorcontainer"/>
    <w:basedOn w:val="Normal"/>
    <w:rsid w:val="005E2C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5E2C9C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17FD0"/>
    <w:rPr>
      <w:rFonts w:ascii="Times New Roman" w:eastAsia="Times New Roman" w:hAnsi="Times New Roman" w:cs="Times New Roman"/>
      <w:b/>
      <w:bCs/>
      <w:sz w:val="27"/>
      <w:szCs w:val="27"/>
      <w:lang w:eastAsia="es-PE"/>
    </w:rPr>
  </w:style>
  <w:style w:type="paragraph" w:customStyle="1" w:styleId="isselectedend">
    <w:name w:val="isselectedend"/>
    <w:basedOn w:val="Normal"/>
    <w:rsid w:val="00925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  <w14:ligatures w14:val="none"/>
    </w:rPr>
  </w:style>
  <w:style w:type="paragraph" w:customStyle="1" w:styleId="zlae0wtextbase">
    <w:name w:val="zlae0w_textbase"/>
    <w:basedOn w:val="Normal"/>
    <w:rsid w:val="00B66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  <w14:ligatures w14:val="none"/>
    </w:rPr>
  </w:style>
  <w:style w:type="character" w:customStyle="1" w:styleId="zlae0wtextbase1">
    <w:name w:val="zlae0w_textbase1"/>
    <w:basedOn w:val="Fuentedeprrafopredeter"/>
    <w:rsid w:val="00B66B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6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852</Words>
  <Characters>4690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</dc:creator>
  <cp:keywords/>
  <dc:description/>
  <cp:lastModifiedBy>Gustavo Condori Coaquira</cp:lastModifiedBy>
  <cp:revision>3</cp:revision>
  <cp:lastPrinted>2026-07-21T14:33:00Z</cp:lastPrinted>
  <dcterms:created xsi:type="dcterms:W3CDTF">2026-06-30T13:29:00Z</dcterms:created>
  <dcterms:modified xsi:type="dcterms:W3CDTF">2026-07-21T14:33:00Z</dcterms:modified>
</cp:coreProperties>
</file>