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</w:pPr>
      <w:r>
        <w:rPr>
          <w:b/>
          <w:color w:val="F05A24"/>
          <w:sz w:val="30"/>
        </w:rPr>
        <w:t>RiTech Export Desk</w:t>
      </w:r>
    </w:p>
    <w:p>
      <w:pPr>
        <w:pStyle w:val="Title"/>
      </w:pPr>
      <w:r>
        <w:t>Aportes del equipo</w:t>
      </w:r>
    </w:p>
    <w:p>
      <w:pPr>
        <w:pStyle w:val="Subtitle"/>
      </w:pPr>
      <w:r>
        <w:rPr>
          <w:color w:val="667085"/>
          <w:sz w:val="30"/>
        </w:rPr>
        <w:t>Distribución supuesta · documento separado del historial de trabajo real</w:t>
      </w:r>
    </w:p>
    <w:p>
      <w:r>
        <w:t>Entrega: 30 de septiembre de 2026, 2:00 p. m.  ·  Corte: 27 de septiembre de 2026</w:t>
      </w:r>
    </w:p>
    <w:p>
      <w:r>
        <w:t>Documento de trabajo · datos de demostración sintéticos</w:t>
      </w:r>
    </w:p>
    <w:p>
      <w:r>
        <w:br w:type="page"/>
      </w:r>
    </w:p>
    <w:p>
      <w:pPr>
        <w:pStyle w:val="Heading1"/>
      </w:pPr>
      <w:r>
        <w:t>Propósito y criterio de atribución</w:t>
      </w:r>
    </w:p>
    <w:p>
      <w:r>
        <w:t>Este documento presenta una propuesta de distribución para preparar la entrega del Sprint 2. Se elaboró con las asignaciones visibles en Jira al 27/09/2026 y el tema de las historias. La asignación no demuestra que una persona haya ejecutado, revisado o terminado el trabajo durante septiembre.</w:t>
      </w:r>
    </w:p>
    <w:p>
      <w:r>
        <w:t>Durante esta revisión se actualizaron 14 de las 15 historias seleccionadas a Finalizada con comentarios de verificación y se dejó RTE-28 En curso por el requisito de email/SMTP. Esas transiciones registran el estado verificado en esta revisión, pero no prueban aportes individuales durante septiembre. Cada integrante debe confirmar, corregir o retirar su fila antes de la presentación.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02B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Integrante asignado en Jira</w:t>
            </w:r>
          </w:p>
        </w:tc>
        <w:tc>
          <w:tcPr>
            <w:tcW w:type="dxa" w:w="2520"/>
            <w:vAlign w:val="center"/>
            <w:shd w:fill="102B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Historias del alcance</w:t>
            </w:r>
          </w:p>
        </w:tc>
        <w:tc>
          <w:tcPr>
            <w:tcW w:type="dxa" w:w="2520"/>
            <w:vAlign w:val="center"/>
            <w:shd w:fill="102B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Aporte propuesto (supuesto)</w:t>
            </w:r>
          </w:p>
        </w:tc>
        <w:tc>
          <w:tcPr>
            <w:tcW w:type="dxa" w:w="2520"/>
            <w:vAlign w:val="center"/>
            <w:shd w:fill="102B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Validación del integrante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6"/>
              </w:rPr>
              <w:t>JhonRamirez22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RTE-10, RTE-11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Propuesta: revisar registro de usuarios, perfiles, autenticación, sesión y evidencias de seguridad.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Pendiente de confirmar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6"/>
              </w:rPr>
              <w:t>Miguel Felipe Ceballos Ramirez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RTE-15, RTE-16, RTE-17, RTE-18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Propuesta: revisar catálogo, trazabilidad de lotes, certificados de calidad e inventario.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Pendiente de confirmar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6"/>
              </w:rPr>
              <w:t>Johan Steven Muñoz Enriquez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RTE-20, RTE-21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Propuesta: revisar registro de clientes europeos, validación VAT y contactos.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Pendiente de confirmar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6"/>
              </w:rPr>
              <w:t>stheban hoyos villota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RTE-24, RTE-25, RTE-26, RTE-28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Propuesta: revisar pedidos, vínculo a lote, aprobación y documentación proforma.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Pendiente de confirmar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6"/>
              </w:rPr>
              <w:t>Supersamuel 909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RTE-30, RTE-31, RTE-32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Propuesta: revisar packing list y certificados fitosanitarios/de origen.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6"/>
              </w:rPr>
              <w:t>Pendiente de confirmar</w:t>
            </w:r>
          </w:p>
        </w:tc>
      </w:tr>
    </w:tbl>
    <w:p>
      <w:pPr>
        <w:pStyle w:val="Heading1"/>
      </w:pPr>
      <w:r>
        <w:t>Evidencia que falta para afirmar aportes reales</w:t>
      </w:r>
    </w:p>
    <w:p>
      <w:r>
        <w:t>Antes de reemplazar los supuestos por un resumen real, acordar con el equipo la confirmación individual y recopilar enlaces a commits/PR, comentarios técnicos, revisiones, ejecuciones de pruebas, decisiones y fechas. Mantener por separado el trabajo asignado, el trabajo ejecutado y los resultados verificables.</w:t>
      </w:r>
    </w:p>
    <w:p>
      <w:pPr>
        <w:pStyle w:val="Heading1"/>
      </w:pPr>
      <w:r>
        <w:t>Fuente</w:t>
      </w:r>
    </w:p>
    <w:p>
      <w:r>
        <w:t>Asignaciones y estados consultados en los issues RTE-10, RTE-11, RTE-15, RTE-16, RTE-17, RTE-18, RTE-20, RTE-21, RTE-24, RTE-25, RTE-26, RTE-28, RTE-30, RTE-31 y RTE-32. Corte: 27 de septiembre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RiTech · Sprint 2 · 27/09/2026  |  </w:t>
    </w:r>
    <w:r>
      <w:fldSimple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3465E9"/>
      </w:rPr>
      <w:t>RITECH  /  CALIDAD DE SOFTWARE                                      SUPUESTOS DE APORTES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9334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B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46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05A2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