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4631335"/>
        <w:docPartObj>
          <w:docPartGallery w:val="Table of Contents"/>
          <w:docPartUnique/>
        </w:docPartObj>
      </w:sdtPr>
      <w:sdtEndPr>
        <w:rPr>
          <w:rFonts w:ascii="Arial" w:eastAsia="Arial" w:hAnsi="Arial" w:cs="Arial"/>
          <w:noProof/>
          <w:color w:val="auto"/>
          <w:sz w:val="22"/>
          <w:szCs w:val="22"/>
          <w:lang w:val="en-CO"/>
        </w:rPr>
      </w:sdtEndPr>
      <w:sdtContent>
        <w:p w14:paraId="016432AD" w14:textId="255F2CDE" w:rsidR="00CE0CF0" w:rsidRDefault="00CE0CF0">
          <w:pPr>
            <w:pStyle w:val="TOCHeading"/>
          </w:pPr>
          <w:r>
            <w:t>Table of Contents</w:t>
          </w:r>
        </w:p>
        <w:p w14:paraId="0B5A0523" w14:textId="6185281E" w:rsidR="00CE0CF0" w:rsidRDefault="00CE0CF0">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397019" w:history="1">
            <w:r w:rsidRPr="006C0AB4">
              <w:rPr>
                <w:rStyle w:val="Hyperlink"/>
                <w:rFonts w:ascii="Arial" w:hAnsi="Arial"/>
                <w:noProof/>
              </w:rPr>
              <w:t>1. Objetivo Específico</w:t>
            </w:r>
            <w:r>
              <w:rPr>
                <w:noProof/>
                <w:webHidden/>
              </w:rPr>
              <w:tab/>
            </w:r>
            <w:r>
              <w:rPr>
                <w:noProof/>
                <w:webHidden/>
              </w:rPr>
              <w:fldChar w:fldCharType="begin"/>
            </w:r>
            <w:r>
              <w:rPr>
                <w:noProof/>
                <w:webHidden/>
              </w:rPr>
              <w:instrText xml:space="preserve"> PAGEREF _Toc231397019 \h </w:instrText>
            </w:r>
            <w:r>
              <w:rPr>
                <w:noProof/>
                <w:webHidden/>
              </w:rPr>
            </w:r>
            <w:r>
              <w:rPr>
                <w:noProof/>
                <w:webHidden/>
              </w:rPr>
              <w:fldChar w:fldCharType="separate"/>
            </w:r>
            <w:r>
              <w:rPr>
                <w:noProof/>
                <w:webHidden/>
              </w:rPr>
              <w:t>1</w:t>
            </w:r>
            <w:r>
              <w:rPr>
                <w:noProof/>
                <w:webHidden/>
              </w:rPr>
              <w:fldChar w:fldCharType="end"/>
            </w:r>
          </w:hyperlink>
        </w:p>
        <w:p w14:paraId="1783BB67" w14:textId="3CCB36A0"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20" w:history="1">
            <w:r w:rsidRPr="006C0AB4">
              <w:rPr>
                <w:rStyle w:val="Hyperlink"/>
                <w:rFonts w:ascii="Arial" w:hAnsi="Arial"/>
                <w:noProof/>
              </w:rPr>
              <w:t>2. Actividades Metodológicas</w:t>
            </w:r>
            <w:r>
              <w:rPr>
                <w:noProof/>
                <w:webHidden/>
              </w:rPr>
              <w:tab/>
            </w:r>
            <w:r>
              <w:rPr>
                <w:noProof/>
                <w:webHidden/>
              </w:rPr>
              <w:fldChar w:fldCharType="begin"/>
            </w:r>
            <w:r>
              <w:rPr>
                <w:noProof/>
                <w:webHidden/>
              </w:rPr>
              <w:instrText xml:space="preserve"> PAGEREF _Toc231397020 \h </w:instrText>
            </w:r>
            <w:r>
              <w:rPr>
                <w:noProof/>
                <w:webHidden/>
              </w:rPr>
            </w:r>
            <w:r>
              <w:rPr>
                <w:noProof/>
                <w:webHidden/>
              </w:rPr>
              <w:fldChar w:fldCharType="separate"/>
            </w:r>
            <w:r>
              <w:rPr>
                <w:noProof/>
                <w:webHidden/>
              </w:rPr>
              <w:t>1</w:t>
            </w:r>
            <w:r>
              <w:rPr>
                <w:noProof/>
                <w:webHidden/>
              </w:rPr>
              <w:fldChar w:fldCharType="end"/>
            </w:r>
          </w:hyperlink>
        </w:p>
        <w:p w14:paraId="33B90DEC" w14:textId="79057CC8"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21" w:history="1">
            <w:r w:rsidRPr="006C0AB4">
              <w:rPr>
                <w:rStyle w:val="Hyperlink"/>
                <w:rFonts w:ascii="Arial" w:hAnsi="Arial"/>
                <w:noProof/>
              </w:rPr>
              <w:t>3. Implementación — Backend</w:t>
            </w:r>
            <w:r>
              <w:rPr>
                <w:noProof/>
                <w:webHidden/>
              </w:rPr>
              <w:tab/>
            </w:r>
            <w:r>
              <w:rPr>
                <w:noProof/>
                <w:webHidden/>
              </w:rPr>
              <w:fldChar w:fldCharType="begin"/>
            </w:r>
            <w:r>
              <w:rPr>
                <w:noProof/>
                <w:webHidden/>
              </w:rPr>
              <w:instrText xml:space="preserve"> PAGEREF _Toc231397021 \h </w:instrText>
            </w:r>
            <w:r>
              <w:rPr>
                <w:noProof/>
                <w:webHidden/>
              </w:rPr>
            </w:r>
            <w:r>
              <w:rPr>
                <w:noProof/>
                <w:webHidden/>
              </w:rPr>
              <w:fldChar w:fldCharType="separate"/>
            </w:r>
            <w:r>
              <w:rPr>
                <w:noProof/>
                <w:webHidden/>
              </w:rPr>
              <w:t>1</w:t>
            </w:r>
            <w:r>
              <w:rPr>
                <w:noProof/>
                <w:webHidden/>
              </w:rPr>
              <w:fldChar w:fldCharType="end"/>
            </w:r>
          </w:hyperlink>
        </w:p>
        <w:p w14:paraId="5D57F6B7" w14:textId="6FE48422"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2" w:history="1">
            <w:r w:rsidRPr="006C0AB4">
              <w:rPr>
                <w:rStyle w:val="Hyperlink"/>
                <w:rFonts w:ascii="Arial" w:hAnsi="Arial"/>
                <w:noProof/>
              </w:rPr>
              <w:t>3.1 Componentes implementados</w:t>
            </w:r>
            <w:r>
              <w:rPr>
                <w:noProof/>
                <w:webHidden/>
              </w:rPr>
              <w:tab/>
            </w:r>
            <w:r>
              <w:rPr>
                <w:noProof/>
                <w:webHidden/>
              </w:rPr>
              <w:fldChar w:fldCharType="begin"/>
            </w:r>
            <w:r>
              <w:rPr>
                <w:noProof/>
                <w:webHidden/>
              </w:rPr>
              <w:instrText xml:space="preserve"> PAGEREF _Toc231397022 \h </w:instrText>
            </w:r>
            <w:r>
              <w:rPr>
                <w:noProof/>
                <w:webHidden/>
              </w:rPr>
            </w:r>
            <w:r>
              <w:rPr>
                <w:noProof/>
                <w:webHidden/>
              </w:rPr>
              <w:fldChar w:fldCharType="separate"/>
            </w:r>
            <w:r>
              <w:rPr>
                <w:noProof/>
                <w:webHidden/>
              </w:rPr>
              <w:t>1</w:t>
            </w:r>
            <w:r>
              <w:rPr>
                <w:noProof/>
                <w:webHidden/>
              </w:rPr>
              <w:fldChar w:fldCharType="end"/>
            </w:r>
          </w:hyperlink>
        </w:p>
        <w:p w14:paraId="12A0BE79" w14:textId="2980F3A7"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3" w:history="1">
            <w:r w:rsidRPr="006C0AB4">
              <w:rPr>
                <w:rStyle w:val="Hyperlink"/>
                <w:rFonts w:ascii="Arial" w:hAnsi="Arial"/>
                <w:noProof/>
              </w:rPr>
              <w:t>3.2 Integración con APIs de Copernicus DataSpace</w:t>
            </w:r>
            <w:r>
              <w:rPr>
                <w:noProof/>
                <w:webHidden/>
              </w:rPr>
              <w:tab/>
            </w:r>
            <w:r>
              <w:rPr>
                <w:noProof/>
                <w:webHidden/>
              </w:rPr>
              <w:fldChar w:fldCharType="begin"/>
            </w:r>
            <w:r>
              <w:rPr>
                <w:noProof/>
                <w:webHidden/>
              </w:rPr>
              <w:instrText xml:space="preserve"> PAGEREF _Toc231397023 \h </w:instrText>
            </w:r>
            <w:r>
              <w:rPr>
                <w:noProof/>
                <w:webHidden/>
              </w:rPr>
            </w:r>
            <w:r>
              <w:rPr>
                <w:noProof/>
                <w:webHidden/>
              </w:rPr>
              <w:fldChar w:fldCharType="separate"/>
            </w:r>
            <w:r>
              <w:rPr>
                <w:noProof/>
                <w:webHidden/>
              </w:rPr>
              <w:t>2</w:t>
            </w:r>
            <w:r>
              <w:rPr>
                <w:noProof/>
                <w:webHidden/>
              </w:rPr>
              <w:fldChar w:fldCharType="end"/>
            </w:r>
          </w:hyperlink>
        </w:p>
        <w:p w14:paraId="3BB7E254" w14:textId="295ECABA"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4" w:history="1">
            <w:r w:rsidRPr="006C0AB4">
              <w:rPr>
                <w:rStyle w:val="Hyperlink"/>
                <w:rFonts w:ascii="Arial" w:hAnsi="Arial"/>
                <w:noProof/>
              </w:rPr>
              <w:t>3.3 Especificaciones técnicas de adquisición</w:t>
            </w:r>
            <w:r>
              <w:rPr>
                <w:noProof/>
                <w:webHidden/>
              </w:rPr>
              <w:tab/>
            </w:r>
            <w:r>
              <w:rPr>
                <w:noProof/>
                <w:webHidden/>
              </w:rPr>
              <w:fldChar w:fldCharType="begin"/>
            </w:r>
            <w:r>
              <w:rPr>
                <w:noProof/>
                <w:webHidden/>
              </w:rPr>
              <w:instrText xml:space="preserve"> PAGEREF _Toc231397024 \h </w:instrText>
            </w:r>
            <w:r>
              <w:rPr>
                <w:noProof/>
                <w:webHidden/>
              </w:rPr>
            </w:r>
            <w:r>
              <w:rPr>
                <w:noProof/>
                <w:webHidden/>
              </w:rPr>
              <w:fldChar w:fldCharType="separate"/>
            </w:r>
            <w:r>
              <w:rPr>
                <w:noProof/>
                <w:webHidden/>
              </w:rPr>
              <w:t>2</w:t>
            </w:r>
            <w:r>
              <w:rPr>
                <w:noProof/>
                <w:webHidden/>
              </w:rPr>
              <w:fldChar w:fldCharType="end"/>
            </w:r>
          </w:hyperlink>
        </w:p>
        <w:p w14:paraId="1872771A" w14:textId="2C5A7174"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25" w:history="1">
            <w:r w:rsidRPr="006C0AB4">
              <w:rPr>
                <w:rStyle w:val="Hyperlink"/>
                <w:rFonts w:ascii="Arial" w:hAnsi="Arial"/>
                <w:noProof/>
              </w:rPr>
              <w:t>4. Implementación — Frontend</w:t>
            </w:r>
            <w:r>
              <w:rPr>
                <w:noProof/>
                <w:webHidden/>
              </w:rPr>
              <w:tab/>
            </w:r>
            <w:r>
              <w:rPr>
                <w:noProof/>
                <w:webHidden/>
              </w:rPr>
              <w:fldChar w:fldCharType="begin"/>
            </w:r>
            <w:r>
              <w:rPr>
                <w:noProof/>
                <w:webHidden/>
              </w:rPr>
              <w:instrText xml:space="preserve"> PAGEREF _Toc231397025 \h </w:instrText>
            </w:r>
            <w:r>
              <w:rPr>
                <w:noProof/>
                <w:webHidden/>
              </w:rPr>
            </w:r>
            <w:r>
              <w:rPr>
                <w:noProof/>
                <w:webHidden/>
              </w:rPr>
              <w:fldChar w:fldCharType="separate"/>
            </w:r>
            <w:r>
              <w:rPr>
                <w:noProof/>
                <w:webHidden/>
              </w:rPr>
              <w:t>3</w:t>
            </w:r>
            <w:r>
              <w:rPr>
                <w:noProof/>
                <w:webHidden/>
              </w:rPr>
              <w:fldChar w:fldCharType="end"/>
            </w:r>
          </w:hyperlink>
        </w:p>
        <w:p w14:paraId="7A4FD7F7" w14:textId="57B34A20"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6" w:history="1">
            <w:r w:rsidRPr="006C0AB4">
              <w:rPr>
                <w:rStyle w:val="Hyperlink"/>
                <w:rFonts w:ascii="Arial" w:hAnsi="Arial"/>
                <w:noProof/>
              </w:rPr>
              <w:t>4.1 Componentes implementados</w:t>
            </w:r>
            <w:r>
              <w:rPr>
                <w:noProof/>
                <w:webHidden/>
              </w:rPr>
              <w:tab/>
            </w:r>
            <w:r>
              <w:rPr>
                <w:noProof/>
                <w:webHidden/>
              </w:rPr>
              <w:fldChar w:fldCharType="begin"/>
            </w:r>
            <w:r>
              <w:rPr>
                <w:noProof/>
                <w:webHidden/>
              </w:rPr>
              <w:instrText xml:space="preserve"> PAGEREF _Toc231397026 \h </w:instrText>
            </w:r>
            <w:r>
              <w:rPr>
                <w:noProof/>
                <w:webHidden/>
              </w:rPr>
            </w:r>
            <w:r>
              <w:rPr>
                <w:noProof/>
                <w:webHidden/>
              </w:rPr>
              <w:fldChar w:fldCharType="separate"/>
            </w:r>
            <w:r>
              <w:rPr>
                <w:noProof/>
                <w:webHidden/>
              </w:rPr>
              <w:t>3</w:t>
            </w:r>
            <w:r>
              <w:rPr>
                <w:noProof/>
                <w:webHidden/>
              </w:rPr>
              <w:fldChar w:fldCharType="end"/>
            </w:r>
          </w:hyperlink>
        </w:p>
        <w:p w14:paraId="641D0F6C" w14:textId="7E641249"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7" w:history="1">
            <w:r w:rsidRPr="006C0AB4">
              <w:rPr>
                <w:rStyle w:val="Hyperlink"/>
                <w:rFonts w:ascii="Arial" w:hAnsi="Arial"/>
                <w:noProof/>
              </w:rPr>
              <w:t>4.2 Flujo de interacción del usuario</w:t>
            </w:r>
            <w:r>
              <w:rPr>
                <w:noProof/>
                <w:webHidden/>
              </w:rPr>
              <w:tab/>
            </w:r>
            <w:r>
              <w:rPr>
                <w:noProof/>
                <w:webHidden/>
              </w:rPr>
              <w:fldChar w:fldCharType="begin"/>
            </w:r>
            <w:r>
              <w:rPr>
                <w:noProof/>
                <w:webHidden/>
              </w:rPr>
              <w:instrText xml:space="preserve"> PAGEREF _Toc231397027 \h </w:instrText>
            </w:r>
            <w:r>
              <w:rPr>
                <w:noProof/>
                <w:webHidden/>
              </w:rPr>
            </w:r>
            <w:r>
              <w:rPr>
                <w:noProof/>
                <w:webHidden/>
              </w:rPr>
              <w:fldChar w:fldCharType="separate"/>
            </w:r>
            <w:r>
              <w:rPr>
                <w:noProof/>
                <w:webHidden/>
              </w:rPr>
              <w:t>3</w:t>
            </w:r>
            <w:r>
              <w:rPr>
                <w:noProof/>
                <w:webHidden/>
              </w:rPr>
              <w:fldChar w:fldCharType="end"/>
            </w:r>
          </w:hyperlink>
        </w:p>
        <w:p w14:paraId="49E58344" w14:textId="0E1FE852"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28" w:history="1">
            <w:r w:rsidRPr="006C0AB4">
              <w:rPr>
                <w:rStyle w:val="Hyperlink"/>
                <w:rFonts w:ascii="Arial" w:hAnsi="Arial"/>
                <w:noProof/>
              </w:rPr>
              <w:t>5. Evidencia Medible — Tabla de Disponibilidad de Imágenes</w:t>
            </w:r>
            <w:r>
              <w:rPr>
                <w:noProof/>
                <w:webHidden/>
              </w:rPr>
              <w:tab/>
            </w:r>
            <w:r>
              <w:rPr>
                <w:noProof/>
                <w:webHidden/>
              </w:rPr>
              <w:fldChar w:fldCharType="begin"/>
            </w:r>
            <w:r>
              <w:rPr>
                <w:noProof/>
                <w:webHidden/>
              </w:rPr>
              <w:instrText xml:space="preserve"> PAGEREF _Toc231397028 \h </w:instrText>
            </w:r>
            <w:r>
              <w:rPr>
                <w:noProof/>
                <w:webHidden/>
              </w:rPr>
            </w:r>
            <w:r>
              <w:rPr>
                <w:noProof/>
                <w:webHidden/>
              </w:rPr>
              <w:fldChar w:fldCharType="separate"/>
            </w:r>
            <w:r>
              <w:rPr>
                <w:noProof/>
                <w:webHidden/>
              </w:rPr>
              <w:t>4</w:t>
            </w:r>
            <w:r>
              <w:rPr>
                <w:noProof/>
                <w:webHidden/>
              </w:rPr>
              <w:fldChar w:fldCharType="end"/>
            </w:r>
          </w:hyperlink>
        </w:p>
        <w:p w14:paraId="04E9AA2A" w14:textId="6586F974"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29" w:history="1">
            <w:r w:rsidRPr="006C0AB4">
              <w:rPr>
                <w:rStyle w:val="Hyperlink"/>
                <w:rFonts w:ascii="Arial" w:hAnsi="Arial"/>
                <w:noProof/>
              </w:rPr>
              <w:t>5.1 Resumen de disponibilidad por parcela</w:t>
            </w:r>
            <w:r>
              <w:rPr>
                <w:noProof/>
                <w:webHidden/>
              </w:rPr>
              <w:tab/>
            </w:r>
            <w:r>
              <w:rPr>
                <w:noProof/>
                <w:webHidden/>
              </w:rPr>
              <w:fldChar w:fldCharType="begin"/>
            </w:r>
            <w:r>
              <w:rPr>
                <w:noProof/>
                <w:webHidden/>
              </w:rPr>
              <w:instrText xml:space="preserve"> PAGEREF _Toc231397029 \h </w:instrText>
            </w:r>
            <w:r>
              <w:rPr>
                <w:noProof/>
                <w:webHidden/>
              </w:rPr>
            </w:r>
            <w:r>
              <w:rPr>
                <w:noProof/>
                <w:webHidden/>
              </w:rPr>
              <w:fldChar w:fldCharType="separate"/>
            </w:r>
            <w:r>
              <w:rPr>
                <w:noProof/>
                <w:webHidden/>
              </w:rPr>
              <w:t>4</w:t>
            </w:r>
            <w:r>
              <w:rPr>
                <w:noProof/>
                <w:webHidden/>
              </w:rPr>
              <w:fldChar w:fldCharType="end"/>
            </w:r>
          </w:hyperlink>
        </w:p>
        <w:p w14:paraId="1331B44C" w14:textId="15F7DC46"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30" w:history="1">
            <w:r w:rsidRPr="006C0AB4">
              <w:rPr>
                <w:rStyle w:val="Hyperlink"/>
                <w:rFonts w:ascii="Arial" w:hAnsi="Arial"/>
                <w:noProof/>
              </w:rPr>
              <w:t>5.2 Distribución mensual de fechas aptas — Parcela 211 (año 2025)</w:t>
            </w:r>
            <w:r>
              <w:rPr>
                <w:noProof/>
                <w:webHidden/>
              </w:rPr>
              <w:tab/>
            </w:r>
            <w:r>
              <w:rPr>
                <w:noProof/>
                <w:webHidden/>
              </w:rPr>
              <w:fldChar w:fldCharType="begin"/>
            </w:r>
            <w:r>
              <w:rPr>
                <w:noProof/>
                <w:webHidden/>
              </w:rPr>
              <w:instrText xml:space="preserve"> PAGEREF _Toc231397030 \h </w:instrText>
            </w:r>
            <w:r>
              <w:rPr>
                <w:noProof/>
                <w:webHidden/>
              </w:rPr>
            </w:r>
            <w:r>
              <w:rPr>
                <w:noProof/>
                <w:webHidden/>
              </w:rPr>
              <w:fldChar w:fldCharType="separate"/>
            </w:r>
            <w:r>
              <w:rPr>
                <w:noProof/>
                <w:webHidden/>
              </w:rPr>
              <w:t>4</w:t>
            </w:r>
            <w:r>
              <w:rPr>
                <w:noProof/>
                <w:webHidden/>
              </w:rPr>
              <w:fldChar w:fldCharType="end"/>
            </w:r>
          </w:hyperlink>
        </w:p>
        <w:p w14:paraId="74DE936F" w14:textId="43D80C8F"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31" w:history="1">
            <w:r w:rsidRPr="006C0AB4">
              <w:rPr>
                <w:rStyle w:val="Hyperlink"/>
                <w:rFonts w:ascii="Arial" w:hAnsi="Arial"/>
                <w:noProof/>
              </w:rPr>
              <w:t>5.3 Estadísticas de nubosidad en escenas aptas</w:t>
            </w:r>
            <w:r>
              <w:rPr>
                <w:noProof/>
                <w:webHidden/>
              </w:rPr>
              <w:tab/>
            </w:r>
            <w:r>
              <w:rPr>
                <w:noProof/>
                <w:webHidden/>
              </w:rPr>
              <w:fldChar w:fldCharType="begin"/>
            </w:r>
            <w:r>
              <w:rPr>
                <w:noProof/>
                <w:webHidden/>
              </w:rPr>
              <w:instrText xml:space="preserve"> PAGEREF _Toc231397031 \h </w:instrText>
            </w:r>
            <w:r>
              <w:rPr>
                <w:noProof/>
                <w:webHidden/>
              </w:rPr>
            </w:r>
            <w:r>
              <w:rPr>
                <w:noProof/>
                <w:webHidden/>
              </w:rPr>
              <w:fldChar w:fldCharType="separate"/>
            </w:r>
            <w:r>
              <w:rPr>
                <w:noProof/>
                <w:webHidden/>
              </w:rPr>
              <w:t>4</w:t>
            </w:r>
            <w:r>
              <w:rPr>
                <w:noProof/>
                <w:webHidden/>
              </w:rPr>
              <w:fldChar w:fldCharType="end"/>
            </w:r>
          </w:hyperlink>
        </w:p>
        <w:p w14:paraId="19CB02A3" w14:textId="457B5B81" w:rsidR="00CE0CF0" w:rsidRDefault="00CE0CF0">
          <w:pPr>
            <w:pStyle w:val="TOC2"/>
            <w:tabs>
              <w:tab w:val="right" w:leader="dot" w:pos="9016"/>
            </w:tabs>
            <w:rPr>
              <w:rFonts w:eastAsiaTheme="minorEastAsia" w:cstheme="minorBidi"/>
              <w:b w:val="0"/>
              <w:bCs w:val="0"/>
              <w:noProof/>
              <w:kern w:val="2"/>
              <w:sz w:val="24"/>
              <w:szCs w:val="24"/>
              <w14:ligatures w14:val="standardContextual"/>
            </w:rPr>
          </w:pPr>
          <w:hyperlink w:anchor="_Toc231397032" w:history="1">
            <w:r w:rsidRPr="006C0AB4">
              <w:rPr>
                <w:rStyle w:val="Hyperlink"/>
                <w:rFonts w:ascii="Arial" w:hAnsi="Arial"/>
                <w:noProof/>
              </w:rPr>
              <w:t>5.4 Criterio de filtrado — justificación</w:t>
            </w:r>
            <w:r>
              <w:rPr>
                <w:noProof/>
                <w:webHidden/>
              </w:rPr>
              <w:tab/>
            </w:r>
            <w:r>
              <w:rPr>
                <w:noProof/>
                <w:webHidden/>
              </w:rPr>
              <w:fldChar w:fldCharType="begin"/>
            </w:r>
            <w:r>
              <w:rPr>
                <w:noProof/>
                <w:webHidden/>
              </w:rPr>
              <w:instrText xml:space="preserve"> PAGEREF _Toc231397032 \h </w:instrText>
            </w:r>
            <w:r>
              <w:rPr>
                <w:noProof/>
                <w:webHidden/>
              </w:rPr>
            </w:r>
            <w:r>
              <w:rPr>
                <w:noProof/>
                <w:webHidden/>
              </w:rPr>
              <w:fldChar w:fldCharType="separate"/>
            </w:r>
            <w:r>
              <w:rPr>
                <w:noProof/>
                <w:webHidden/>
              </w:rPr>
              <w:t>5</w:t>
            </w:r>
            <w:r>
              <w:rPr>
                <w:noProof/>
                <w:webHidden/>
              </w:rPr>
              <w:fldChar w:fldCharType="end"/>
            </w:r>
          </w:hyperlink>
        </w:p>
        <w:p w14:paraId="1C30DDB1" w14:textId="42A1A975"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33" w:history="1">
            <w:r w:rsidRPr="006C0AB4">
              <w:rPr>
                <w:rStyle w:val="Hyperlink"/>
                <w:rFonts w:ascii="Arial" w:hAnsi="Arial"/>
                <w:noProof/>
              </w:rPr>
              <w:t>6. Resultados de Tests de Integración</w:t>
            </w:r>
            <w:r>
              <w:rPr>
                <w:noProof/>
                <w:webHidden/>
              </w:rPr>
              <w:tab/>
            </w:r>
            <w:r>
              <w:rPr>
                <w:noProof/>
                <w:webHidden/>
              </w:rPr>
              <w:fldChar w:fldCharType="begin"/>
            </w:r>
            <w:r>
              <w:rPr>
                <w:noProof/>
                <w:webHidden/>
              </w:rPr>
              <w:instrText xml:space="preserve"> PAGEREF _Toc231397033 \h </w:instrText>
            </w:r>
            <w:r>
              <w:rPr>
                <w:noProof/>
                <w:webHidden/>
              </w:rPr>
            </w:r>
            <w:r>
              <w:rPr>
                <w:noProof/>
                <w:webHidden/>
              </w:rPr>
              <w:fldChar w:fldCharType="separate"/>
            </w:r>
            <w:r>
              <w:rPr>
                <w:noProof/>
                <w:webHidden/>
              </w:rPr>
              <w:t>5</w:t>
            </w:r>
            <w:r>
              <w:rPr>
                <w:noProof/>
                <w:webHidden/>
              </w:rPr>
              <w:fldChar w:fldCharType="end"/>
            </w:r>
          </w:hyperlink>
        </w:p>
        <w:p w14:paraId="19B584CD" w14:textId="3A6AC0BE"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34" w:history="1">
            <w:r w:rsidRPr="006C0AB4">
              <w:rPr>
                <w:rStyle w:val="Hyperlink"/>
                <w:rFonts w:ascii="Arial" w:hAnsi="Arial"/>
                <w:noProof/>
              </w:rPr>
              <w:t>7. Parcelas de Referencia — SRRG</w:t>
            </w:r>
            <w:r>
              <w:rPr>
                <w:noProof/>
                <w:webHidden/>
              </w:rPr>
              <w:tab/>
            </w:r>
            <w:r>
              <w:rPr>
                <w:noProof/>
                <w:webHidden/>
              </w:rPr>
              <w:fldChar w:fldCharType="begin"/>
            </w:r>
            <w:r>
              <w:rPr>
                <w:noProof/>
                <w:webHidden/>
              </w:rPr>
              <w:instrText xml:space="preserve"> PAGEREF _Toc231397034 \h </w:instrText>
            </w:r>
            <w:r>
              <w:rPr>
                <w:noProof/>
                <w:webHidden/>
              </w:rPr>
            </w:r>
            <w:r>
              <w:rPr>
                <w:noProof/>
                <w:webHidden/>
              </w:rPr>
              <w:fldChar w:fldCharType="separate"/>
            </w:r>
            <w:r>
              <w:rPr>
                <w:noProof/>
                <w:webHidden/>
              </w:rPr>
              <w:t>5</w:t>
            </w:r>
            <w:r>
              <w:rPr>
                <w:noProof/>
                <w:webHidden/>
              </w:rPr>
              <w:fldChar w:fldCharType="end"/>
            </w:r>
          </w:hyperlink>
        </w:p>
        <w:p w14:paraId="63B47A79" w14:textId="0988B2FA" w:rsidR="00CE0CF0" w:rsidRDefault="00CE0CF0">
          <w:pPr>
            <w:pStyle w:val="TOC1"/>
            <w:tabs>
              <w:tab w:val="right" w:leader="dot" w:pos="9016"/>
            </w:tabs>
            <w:rPr>
              <w:rFonts w:eastAsiaTheme="minorEastAsia" w:cstheme="minorBidi"/>
              <w:b w:val="0"/>
              <w:bCs w:val="0"/>
              <w:i w:val="0"/>
              <w:iCs w:val="0"/>
              <w:noProof/>
              <w:kern w:val="2"/>
              <w14:ligatures w14:val="standardContextual"/>
            </w:rPr>
          </w:pPr>
          <w:hyperlink w:anchor="_Toc231397035" w:history="1">
            <w:r w:rsidRPr="006C0AB4">
              <w:rPr>
                <w:rStyle w:val="Hyperlink"/>
                <w:rFonts w:ascii="Arial" w:hAnsi="Arial"/>
                <w:noProof/>
              </w:rPr>
              <w:t>8. Conclusiones</w:t>
            </w:r>
            <w:r>
              <w:rPr>
                <w:noProof/>
                <w:webHidden/>
              </w:rPr>
              <w:tab/>
            </w:r>
            <w:r>
              <w:rPr>
                <w:noProof/>
                <w:webHidden/>
              </w:rPr>
              <w:fldChar w:fldCharType="begin"/>
            </w:r>
            <w:r>
              <w:rPr>
                <w:noProof/>
                <w:webHidden/>
              </w:rPr>
              <w:instrText xml:space="preserve"> PAGEREF _Toc231397035 \h </w:instrText>
            </w:r>
            <w:r>
              <w:rPr>
                <w:noProof/>
                <w:webHidden/>
              </w:rPr>
            </w:r>
            <w:r>
              <w:rPr>
                <w:noProof/>
                <w:webHidden/>
              </w:rPr>
              <w:fldChar w:fldCharType="separate"/>
            </w:r>
            <w:r>
              <w:rPr>
                <w:noProof/>
                <w:webHidden/>
              </w:rPr>
              <w:t>6</w:t>
            </w:r>
            <w:r>
              <w:rPr>
                <w:noProof/>
                <w:webHidden/>
              </w:rPr>
              <w:fldChar w:fldCharType="end"/>
            </w:r>
          </w:hyperlink>
        </w:p>
        <w:p w14:paraId="7BF8D5A2" w14:textId="5C46DB7D" w:rsidR="00CE0CF0" w:rsidRDefault="00CE0CF0">
          <w:r>
            <w:rPr>
              <w:b/>
              <w:bCs/>
              <w:noProof/>
            </w:rPr>
            <w:fldChar w:fldCharType="end"/>
          </w:r>
        </w:p>
      </w:sdtContent>
    </w:sdt>
    <w:p w14:paraId="32159790" w14:textId="77777777" w:rsidR="00CE0CF0" w:rsidRDefault="00CE0CF0" w:rsidP="009B5BC2">
      <w:pPr>
        <w:pStyle w:val="Heading1"/>
        <w:rPr>
          <w:rFonts w:ascii="Arial" w:eastAsia="Arial" w:hAnsi="Arial" w:cs="Arial"/>
          <w:b/>
          <w:bCs/>
          <w:color w:val="1A3A5C"/>
          <w:sz w:val="28"/>
          <w:szCs w:val="28"/>
        </w:rPr>
      </w:pPr>
    </w:p>
    <w:p w14:paraId="0CD76663" w14:textId="77777777" w:rsidR="00CE0CF0" w:rsidRDefault="00CE0CF0" w:rsidP="00CE0CF0"/>
    <w:p w14:paraId="3F23E442" w14:textId="77777777" w:rsidR="00CE0CF0" w:rsidRDefault="00CE0CF0" w:rsidP="00CE0CF0"/>
    <w:p w14:paraId="54C61C91" w14:textId="77777777" w:rsidR="00CE0CF0" w:rsidRDefault="00CE0CF0" w:rsidP="00CE0CF0"/>
    <w:p w14:paraId="0BAD05A9" w14:textId="77777777" w:rsidR="00CE0CF0" w:rsidRDefault="00CE0CF0" w:rsidP="00CE0CF0"/>
    <w:p w14:paraId="5C2D754C" w14:textId="77777777" w:rsidR="00CE0CF0" w:rsidRDefault="00CE0CF0" w:rsidP="00CE0CF0"/>
    <w:p w14:paraId="1EF733D2" w14:textId="77777777" w:rsidR="00CE0CF0" w:rsidRDefault="00CE0CF0" w:rsidP="00CE0CF0"/>
    <w:p w14:paraId="2570E671" w14:textId="77777777" w:rsidR="00CE0CF0" w:rsidRDefault="00CE0CF0" w:rsidP="00CE0CF0"/>
    <w:p w14:paraId="30295D57" w14:textId="77777777" w:rsidR="00CE0CF0" w:rsidRDefault="00CE0CF0" w:rsidP="00CE0CF0"/>
    <w:p w14:paraId="0AA9E4C8" w14:textId="77777777" w:rsidR="00CE0CF0" w:rsidRDefault="00CE0CF0" w:rsidP="00CE0CF0"/>
    <w:p w14:paraId="15ED77F6" w14:textId="77777777" w:rsidR="00CE0CF0" w:rsidRDefault="00CE0CF0" w:rsidP="00CE0CF0"/>
    <w:p w14:paraId="102129B9" w14:textId="77777777" w:rsidR="00CE0CF0" w:rsidRDefault="00CE0CF0" w:rsidP="00CE0CF0"/>
    <w:p w14:paraId="715294C7" w14:textId="77777777" w:rsidR="00CE0CF0" w:rsidRDefault="00CE0CF0" w:rsidP="00CE0CF0"/>
    <w:p w14:paraId="23D41BE3" w14:textId="77777777" w:rsidR="00CE0CF0" w:rsidRDefault="00CE0CF0" w:rsidP="00CE0CF0"/>
    <w:p w14:paraId="2047E267" w14:textId="77777777" w:rsidR="00CE0CF0" w:rsidRDefault="00CE0CF0" w:rsidP="00CE0CF0"/>
    <w:p w14:paraId="11370D2F" w14:textId="77777777" w:rsidR="00CE0CF0" w:rsidRDefault="00CE0CF0" w:rsidP="00CE0CF0"/>
    <w:p w14:paraId="63A092A7" w14:textId="77777777" w:rsidR="00CE0CF0" w:rsidRDefault="00CE0CF0" w:rsidP="00CE0CF0"/>
    <w:p w14:paraId="11533A7C" w14:textId="77777777" w:rsidR="00CE0CF0" w:rsidRPr="00CE0CF0" w:rsidRDefault="00CE0CF0" w:rsidP="00CE0CF0"/>
    <w:p w14:paraId="3A9ECDD8" w14:textId="724A93D0" w:rsidR="009B5BC2" w:rsidRDefault="009B5BC2" w:rsidP="009B5BC2">
      <w:pPr>
        <w:pStyle w:val="Heading1"/>
      </w:pPr>
      <w:bookmarkStart w:id="0" w:name="_Toc231397019"/>
      <w:r>
        <w:rPr>
          <w:rFonts w:ascii="Arial" w:eastAsia="Arial" w:hAnsi="Arial" w:cs="Arial"/>
          <w:b/>
          <w:bCs/>
          <w:color w:val="1A3A5C"/>
          <w:sz w:val="28"/>
          <w:szCs w:val="28"/>
        </w:rPr>
        <w:lastRenderedPageBreak/>
        <w:t>1. Objetivo Específico</w:t>
      </w:r>
      <w:bookmarkEnd w:id="0"/>
    </w:p>
    <w:p w14:paraId="794BB341" w14:textId="77777777" w:rsidR="009B5BC2" w:rsidRDefault="009B5BC2" w:rsidP="009B5BC2">
      <w:pPr>
        <w:spacing w:before="80" w:after="80" w:line="276" w:lineRule="auto"/>
        <w:jc w:val="both"/>
      </w:pPr>
      <w:r>
        <w:t>El presente reporte documenta el cumplimiento del Objetivo Específico 1 (OE1), correspondiente al nivel N1-N2 de la Taxonomía de Bloom (Recordar / Comprender):</w:t>
      </w:r>
    </w:p>
    <w:p w14:paraId="6828B202" w14:textId="77777777" w:rsidR="009B5BC2" w:rsidRDefault="009B5BC2" w:rsidP="009B5BC2">
      <w:pPr>
        <w:spacing w:before="60" w:after="60"/>
      </w:pPr>
    </w:p>
    <w:p w14:paraId="7C41D80E" w14:textId="77777777" w:rsidR="009B5BC2" w:rsidRDefault="009B5BC2" w:rsidP="009B5BC2">
      <w:pPr>
        <w:pBdr>
          <w:left w:val="single" w:sz="12" w:space="10" w:color="2E6DA4"/>
        </w:pBdr>
        <w:spacing w:before="120" w:after="120"/>
        <w:ind w:left="720" w:right="720"/>
        <w:jc w:val="both"/>
      </w:pPr>
      <w:r>
        <w:rPr>
          <w:i/>
          <w:iCs/>
        </w:rPr>
        <w:t>Identificar las escenas satelitales Sentinel-2 nivel L2A disponibles sobre las parcelas de interés del usuario, mediante consultas al catálogo de Copernicus DataSpace, determinando su aptitud para el análisis en función de la cobertura de nubosidad registrada.</w:t>
      </w:r>
    </w:p>
    <w:p w14:paraId="050A8F6B" w14:textId="77777777" w:rsidR="009B5BC2" w:rsidRDefault="009B5BC2" w:rsidP="009B5BC2">
      <w:pPr>
        <w:spacing w:before="60" w:after="60"/>
      </w:pPr>
    </w:p>
    <w:p w14:paraId="012CB8CB" w14:textId="77777777" w:rsidR="009B5BC2" w:rsidRDefault="009B5BC2" w:rsidP="009B5BC2">
      <w:pPr>
        <w:pStyle w:val="Heading1"/>
      </w:pPr>
      <w:bookmarkStart w:id="1" w:name="_Toc231397020"/>
      <w:r>
        <w:rPr>
          <w:rFonts w:ascii="Arial" w:eastAsia="Arial" w:hAnsi="Arial" w:cs="Arial"/>
          <w:b/>
          <w:bCs/>
          <w:color w:val="1A3A5C"/>
          <w:sz w:val="28"/>
          <w:szCs w:val="28"/>
        </w:rPr>
        <w:t>2. Actividades Metodológicas</w:t>
      </w:r>
      <w:bookmarkEnd w:id="1"/>
    </w:p>
    <w:p w14:paraId="2BB9EAB6" w14:textId="77777777" w:rsidR="009B5BC2" w:rsidRDefault="009B5BC2" w:rsidP="009B5BC2">
      <w:pPr>
        <w:spacing w:before="80" w:after="80" w:line="276" w:lineRule="auto"/>
        <w:jc w:val="both"/>
      </w:pPr>
      <w:r>
        <w:t>El objetivo fue estructurado en tres actividades metodológicas, cada una con un resultado verificable:</w:t>
      </w:r>
    </w:p>
    <w:p w14:paraId="166E0CFB" w14:textId="77777777" w:rsidR="009B5BC2" w:rsidRDefault="009B5BC2" w:rsidP="009B5BC2">
      <w:pPr>
        <w:spacing w:before="60" w:after="60"/>
      </w:pPr>
    </w:p>
    <w:p w14:paraId="16F4B564" w14:textId="77777777" w:rsidR="009B5BC2" w:rsidRDefault="009B5BC2" w:rsidP="009B5BC2">
      <w:pPr>
        <w:pStyle w:val="ListParagraph"/>
        <w:numPr>
          <w:ilvl w:val="0"/>
          <w:numId w:val="1"/>
        </w:numPr>
        <w:spacing w:before="60" w:after="60"/>
        <w:contextualSpacing w:val="0"/>
      </w:pPr>
      <w:r>
        <w:t>Implementar la consulta al STAC API de Copernicus DataSpace con el polígono de la parcela registrada y el rango temporal configurado por el usuario, recuperando los metadatos de cada escena disponible.</w:t>
      </w:r>
    </w:p>
    <w:p w14:paraId="44DF8200" w14:textId="77777777" w:rsidR="009B5BC2" w:rsidRDefault="009B5BC2" w:rsidP="009B5BC2">
      <w:pPr>
        <w:pStyle w:val="ListParagraph"/>
        <w:numPr>
          <w:ilvl w:val="0"/>
          <w:numId w:val="1"/>
        </w:numPr>
        <w:spacing w:before="60" w:after="60"/>
        <w:contextualSpacing w:val="0"/>
      </w:pPr>
      <w:r>
        <w:t>Determinar la aptitud de cada escena recuperada aplicando el umbral de cobertura de nubosidad cloud_cover ≤ 20%, descartando las fechas no utilizables y notificando al usuario cuando no existan fechas aptas en el rango seleccionado.</w:t>
      </w:r>
    </w:p>
    <w:p w14:paraId="4D8B12D4" w14:textId="77777777" w:rsidR="009B5BC2" w:rsidRDefault="009B5BC2" w:rsidP="009B5BC2">
      <w:pPr>
        <w:pStyle w:val="ListParagraph"/>
        <w:numPr>
          <w:ilvl w:val="0"/>
          <w:numId w:val="1"/>
        </w:numPr>
        <w:spacing w:before="60" w:after="60"/>
        <w:contextualSpacing w:val="0"/>
      </w:pPr>
      <w:r>
        <w:t>Generar una tabla de disponibilidad de imágenes aptas por parcela y fecha como evidencia verificable del resultado del objetivo, que sirve de insumo directo para los objetivos siguientes.</w:t>
      </w:r>
    </w:p>
    <w:p w14:paraId="6B5E228F" w14:textId="77777777" w:rsidR="009B5BC2" w:rsidRDefault="009B5BC2" w:rsidP="009B5BC2">
      <w:pPr>
        <w:spacing w:before="60" w:after="60"/>
      </w:pPr>
    </w:p>
    <w:p w14:paraId="1560B619" w14:textId="77777777" w:rsidR="009B5BC2" w:rsidRDefault="009B5BC2" w:rsidP="009B5BC2">
      <w:pPr>
        <w:pStyle w:val="Heading1"/>
      </w:pPr>
      <w:bookmarkStart w:id="2" w:name="_Toc231397021"/>
      <w:r>
        <w:rPr>
          <w:rFonts w:ascii="Arial" w:eastAsia="Arial" w:hAnsi="Arial" w:cs="Arial"/>
          <w:b/>
          <w:bCs/>
          <w:color w:val="1A3A5C"/>
          <w:sz w:val="28"/>
          <w:szCs w:val="28"/>
        </w:rPr>
        <w:t>3. Implementación — Backend</w:t>
      </w:r>
      <w:bookmarkEnd w:id="2"/>
    </w:p>
    <w:p w14:paraId="3A369102" w14:textId="77777777" w:rsidR="009B5BC2" w:rsidRDefault="009B5BC2" w:rsidP="009B5BC2">
      <w:pPr>
        <w:spacing w:before="80" w:after="80" w:line="276" w:lineRule="auto"/>
        <w:jc w:val="both"/>
      </w:pPr>
      <w:r>
        <w:t>La implementación del backend sigue la arquitectura de servicios definida para el proyecto, con separación estricta entre la capa de lógica de negocio (services/), operaciones de base de datos (crud/) y endpoints de la API (api/endpoints/).</w:t>
      </w:r>
    </w:p>
    <w:p w14:paraId="5A65CED8" w14:textId="77777777" w:rsidR="009B5BC2" w:rsidRDefault="009B5BC2" w:rsidP="009B5BC2">
      <w:pPr>
        <w:spacing w:before="60" w:after="60"/>
      </w:pPr>
    </w:p>
    <w:p w14:paraId="0EBD1B80" w14:textId="77777777" w:rsidR="009B5BC2" w:rsidRDefault="009B5BC2" w:rsidP="009B5BC2">
      <w:pPr>
        <w:pStyle w:val="Heading2"/>
      </w:pPr>
      <w:bookmarkStart w:id="3" w:name="_Toc231397022"/>
      <w:r>
        <w:rPr>
          <w:rFonts w:ascii="Arial" w:eastAsia="Arial" w:hAnsi="Arial" w:cs="Arial"/>
          <w:b/>
          <w:bCs/>
          <w:color w:val="2E6DA4"/>
          <w:sz w:val="24"/>
          <w:szCs w:val="24"/>
        </w:rPr>
        <w:t>3.1 Componentes implementados</w:t>
      </w:r>
      <w:bookmarkEnd w:id="3"/>
    </w:p>
    <w:p w14:paraId="07D4A79D"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4371"/>
        <w:gridCol w:w="1980"/>
      </w:tblGrid>
      <w:tr w:rsidR="009B5BC2" w14:paraId="67E437AC" w14:textId="77777777" w:rsidTr="00702A69">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42EE8A9" w14:textId="77777777" w:rsidR="009B5BC2" w:rsidRDefault="009B5BC2" w:rsidP="00702A69">
            <w:pPr>
              <w:jc w:val="center"/>
            </w:pPr>
            <w:r>
              <w:rPr>
                <w:b/>
                <w:bCs/>
                <w:color w:val="FFFFFF"/>
                <w:sz w:val="20"/>
                <w:szCs w:val="20"/>
              </w:rPr>
              <w:t>Archivo</w:t>
            </w:r>
          </w:p>
        </w:tc>
        <w:tc>
          <w:tcPr>
            <w:tcW w:w="44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6A05ED5" w14:textId="77777777" w:rsidR="009B5BC2" w:rsidRDefault="009B5BC2" w:rsidP="00702A69">
            <w:pPr>
              <w:jc w:val="center"/>
            </w:pPr>
            <w:r>
              <w:rPr>
                <w:b/>
                <w:bCs/>
                <w:color w:val="FFFFFF"/>
                <w:sz w:val="20"/>
                <w:szCs w:val="20"/>
              </w:rPr>
              <w:t>Descripción</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162D724" w14:textId="77777777" w:rsidR="009B5BC2" w:rsidRDefault="009B5BC2" w:rsidP="00702A69">
            <w:pPr>
              <w:jc w:val="center"/>
            </w:pPr>
            <w:r>
              <w:rPr>
                <w:b/>
                <w:bCs/>
                <w:color w:val="FFFFFF"/>
                <w:sz w:val="20"/>
                <w:szCs w:val="20"/>
              </w:rPr>
              <w:t>Estado</w:t>
            </w:r>
          </w:p>
        </w:tc>
      </w:tr>
      <w:tr w:rsidR="009B5BC2" w14:paraId="37AECCEC"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38B925" w14:textId="77777777" w:rsidR="009B5BC2" w:rsidRDefault="009B5BC2" w:rsidP="00702A69">
            <w:r>
              <w:rPr>
                <w:sz w:val="20"/>
                <w:szCs w:val="20"/>
              </w:rPr>
              <w:t>sentinel_service.py</w:t>
            </w:r>
          </w:p>
        </w:tc>
        <w:tc>
          <w:tcPr>
            <w:tcW w:w="4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239D5A" w14:textId="77777777" w:rsidR="009B5BC2" w:rsidRDefault="009B5BC2" w:rsidP="00702A69">
            <w:r>
              <w:rPr>
                <w:sz w:val="20"/>
                <w:szCs w:val="20"/>
              </w:rPr>
              <w:t>Servicio principal del OE1. Implementa get_available_dates() que consulta el STAC API sin autenticación para recuperar metadatos de escenas, y acquire_bands() que descarga las bandas B04 y B08 via Process API con OAuth2.</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586888" w14:textId="77777777" w:rsidR="009B5BC2" w:rsidRDefault="009B5BC2" w:rsidP="00702A69">
            <w:pPr>
              <w:jc w:val="center"/>
            </w:pPr>
            <w:r>
              <w:rPr>
                <w:b/>
                <w:bCs/>
                <w:color w:val="2E7D32"/>
                <w:sz w:val="20"/>
                <w:szCs w:val="20"/>
              </w:rPr>
              <w:t>✅ Completo</w:t>
            </w:r>
          </w:p>
        </w:tc>
      </w:tr>
      <w:tr w:rsidR="009B5BC2" w14:paraId="1277A8E2"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5752" w14:textId="77777777" w:rsidR="009B5BC2" w:rsidRDefault="009B5BC2" w:rsidP="00702A69">
            <w:r>
              <w:rPr>
                <w:sz w:val="20"/>
                <w:szCs w:val="20"/>
              </w:rPr>
              <w:t>crud/acquisition.py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C513" w14:textId="77777777" w:rsidR="009B5BC2" w:rsidRDefault="009B5BC2" w:rsidP="00702A69">
            <w:r>
              <w:rPr>
                <w:sz w:val="20"/>
                <w:szCs w:val="20"/>
              </w:rPr>
              <w:t>Capa de acceso a datos para el modelo SentinelAcquisition. Implementa 6 operaciones CRUD: crear, leer por id, listar por polígono, verificar existencia por fecha, actualizar y eliminar.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2D09" w14:textId="77777777" w:rsidR="009B5BC2" w:rsidRDefault="009B5BC2" w:rsidP="00702A69">
            <w:pPr>
              <w:jc w:val="center"/>
            </w:pPr>
            <w:r>
              <w:rPr>
                <w:b/>
                <w:bCs/>
                <w:color w:val="2E7D32"/>
                <w:sz w:val="20"/>
                <w:szCs w:val="20"/>
              </w:rPr>
              <w:t>✅ Completo</w:t>
            </w:r>
          </w:p>
        </w:tc>
      </w:tr>
      <w:tr w:rsidR="009B5BC2" w14:paraId="735C5374"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96AE43" w14:textId="77777777" w:rsidR="009B5BC2" w:rsidRDefault="009B5BC2" w:rsidP="00702A69">
            <w:r>
              <w:rPr>
                <w:sz w:val="20"/>
                <w:szCs w:val="20"/>
              </w:rPr>
              <w:t>models/acquisition.py</w:t>
            </w:r>
          </w:p>
        </w:tc>
        <w:tc>
          <w:tcPr>
            <w:tcW w:w="4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A7F0BF" w14:textId="77777777" w:rsidR="009B5BC2" w:rsidRDefault="009B5BC2" w:rsidP="00702A69">
            <w:r>
              <w:rPr>
                <w:sz w:val="20"/>
                <w:szCs w:val="20"/>
              </w:rPr>
              <w:t xml:space="preserve">Modelo de base de datos que persiste las bandas espectrales adquiridas. Almacena B04 </w:t>
            </w:r>
            <w:r>
              <w:rPr>
                <w:sz w:val="20"/>
                <w:szCs w:val="20"/>
              </w:rPr>
              <w:lastRenderedPageBreak/>
              <w:t>y B08 como bytea en PostgreSQL, junto con metadatos de fecha, porcentaje de nubosidad y polygon_id como clave foránea.</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CB8FE6" w14:textId="77777777" w:rsidR="009B5BC2" w:rsidRDefault="009B5BC2" w:rsidP="00702A69">
            <w:pPr>
              <w:jc w:val="center"/>
            </w:pPr>
            <w:r>
              <w:rPr>
                <w:b/>
                <w:bCs/>
                <w:color w:val="2E7D32"/>
                <w:sz w:val="20"/>
                <w:szCs w:val="20"/>
              </w:rPr>
              <w:lastRenderedPageBreak/>
              <w:t>✅ Completo</w:t>
            </w:r>
          </w:p>
        </w:tc>
      </w:tr>
      <w:tr w:rsidR="009B5BC2" w14:paraId="47DC4B37"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6E5F" w14:textId="77777777" w:rsidR="009B5BC2" w:rsidRDefault="009B5BC2" w:rsidP="00702A69">
            <w:r>
              <w:rPr>
                <w:sz w:val="20"/>
                <w:szCs w:val="20"/>
              </w:rPr>
              <w:t>schemas/sentinel.py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F546" w14:textId="77777777" w:rsidR="009B5BC2" w:rsidRDefault="009B5BC2" w:rsidP="00702A69">
            <w:r>
              <w:rPr>
                <w:sz w:val="20"/>
                <w:szCs w:val="20"/>
              </w:rPr>
              <w:t>Esquemas Pydantic para validación de requests y serialización de responses. Define los contratos de entrada y salida de los dos endpoints del OE1.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5233" w14:textId="77777777" w:rsidR="009B5BC2" w:rsidRDefault="009B5BC2" w:rsidP="00702A69">
            <w:pPr>
              <w:jc w:val="center"/>
            </w:pPr>
            <w:r>
              <w:rPr>
                <w:b/>
                <w:bCs/>
                <w:color w:val="2E7D32"/>
                <w:sz w:val="20"/>
                <w:szCs w:val="20"/>
              </w:rPr>
              <w:t>✅ Completo</w:t>
            </w:r>
          </w:p>
        </w:tc>
      </w:tr>
      <w:tr w:rsidR="009B5BC2" w14:paraId="72E92D76"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3E4AE7" w14:textId="77777777" w:rsidR="009B5BC2" w:rsidRDefault="009B5BC2" w:rsidP="00702A69">
            <w:r>
              <w:rPr>
                <w:sz w:val="20"/>
                <w:szCs w:val="20"/>
              </w:rPr>
              <w:t>api/endpoints/sentinel.py</w:t>
            </w:r>
          </w:p>
        </w:tc>
        <w:tc>
          <w:tcPr>
            <w:tcW w:w="4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CC7C87" w14:textId="77777777" w:rsidR="009B5BC2" w:rsidRDefault="009B5BC2" w:rsidP="00702A69">
            <w:r>
              <w:rPr>
                <w:sz w:val="20"/>
                <w:szCs w:val="20"/>
              </w:rPr>
              <w:t>Capa de orquestación de los endpoints REST. GET /sentinel/available-dates/{polygon_id} retorna fechas aptas. POST /sentinel/acquire descarga y persiste las bandas. Sin lógica de negocio.</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D1FD24" w14:textId="77777777" w:rsidR="009B5BC2" w:rsidRDefault="009B5BC2" w:rsidP="00702A69">
            <w:pPr>
              <w:jc w:val="center"/>
            </w:pPr>
            <w:r>
              <w:rPr>
                <w:b/>
                <w:bCs/>
                <w:color w:val="2E7D32"/>
                <w:sz w:val="20"/>
                <w:szCs w:val="20"/>
              </w:rPr>
              <w:t>✅ Operativo</w:t>
            </w:r>
          </w:p>
        </w:tc>
      </w:tr>
      <w:tr w:rsidR="009B5BC2" w14:paraId="251E93CE"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EA78" w14:textId="77777777" w:rsidR="009B5BC2" w:rsidRDefault="009B5BC2" w:rsidP="00702A69">
            <w:r>
              <w:rPr>
                <w:sz w:val="20"/>
                <w:szCs w:val="20"/>
              </w:rPr>
              <w:t>tests/test_oe1_complete.py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FF4B" w14:textId="77777777" w:rsidR="009B5BC2" w:rsidRDefault="009B5BC2" w:rsidP="00702A69">
            <w:r>
              <w:rPr>
                <w:sz w:val="20"/>
                <w:szCs w:val="20"/>
              </w:rPr>
              <w:t>Suite de tests de integración del flujo completo: consulta STAC API con coordenadas reales de la Parcela 211 (SRRG), selección de fecha óptima y adquisición de bandas con validación de almacenamiento en BD.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CA46" w14:textId="77777777" w:rsidR="009B5BC2" w:rsidRDefault="009B5BC2" w:rsidP="00702A69">
            <w:pPr>
              <w:jc w:val="center"/>
            </w:pPr>
            <w:r>
              <w:rPr>
                <w:b/>
                <w:bCs/>
                <w:color w:val="2E7D32"/>
                <w:sz w:val="20"/>
                <w:szCs w:val="20"/>
              </w:rPr>
              <w:t>✅ 4/4 pasados</w:t>
            </w:r>
          </w:p>
        </w:tc>
      </w:tr>
    </w:tbl>
    <w:p w14:paraId="21191E67" w14:textId="77777777" w:rsidR="009B5BC2" w:rsidRDefault="009B5BC2" w:rsidP="009B5BC2">
      <w:pPr>
        <w:spacing w:before="60" w:after="60"/>
      </w:pPr>
    </w:p>
    <w:p w14:paraId="5BB023B7" w14:textId="77777777" w:rsidR="009B5BC2" w:rsidRDefault="009B5BC2" w:rsidP="009B5BC2">
      <w:pPr>
        <w:pStyle w:val="Heading2"/>
      </w:pPr>
      <w:bookmarkStart w:id="4" w:name="_Toc231397023"/>
      <w:r>
        <w:rPr>
          <w:rFonts w:ascii="Arial" w:eastAsia="Arial" w:hAnsi="Arial" w:cs="Arial"/>
          <w:b/>
          <w:bCs/>
          <w:color w:val="2E6DA4"/>
          <w:sz w:val="24"/>
          <w:szCs w:val="24"/>
        </w:rPr>
        <w:t>3.2 Integración con APIs de Copernicus DataSpace</w:t>
      </w:r>
      <w:bookmarkEnd w:id="4"/>
    </w:p>
    <w:p w14:paraId="0F571C91" w14:textId="77777777" w:rsidR="009B5BC2" w:rsidRDefault="009B5BC2" w:rsidP="009B5BC2">
      <w:pPr>
        <w:spacing w:before="80" w:after="80" w:line="276" w:lineRule="auto"/>
        <w:jc w:val="both"/>
      </w:pPr>
      <w:r>
        <w:t>El OE1 integra tres servicios del ecosistema Copernicus DataSpace:</w:t>
      </w:r>
    </w:p>
    <w:p w14:paraId="1BEFAE89"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4076"/>
        <w:gridCol w:w="1854"/>
        <w:gridCol w:w="1689"/>
      </w:tblGrid>
      <w:tr w:rsidR="009B5BC2" w14:paraId="498B65BD" w14:textId="77777777" w:rsidTr="00702A69">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50778AA" w14:textId="77777777" w:rsidR="009B5BC2" w:rsidRDefault="009B5BC2" w:rsidP="00702A69">
            <w:pPr>
              <w:jc w:val="center"/>
            </w:pPr>
            <w:r>
              <w:rPr>
                <w:b/>
                <w:bCs/>
                <w:color w:val="FFFFFF"/>
                <w:sz w:val="20"/>
                <w:szCs w:val="20"/>
              </w:rPr>
              <w:t>API</w:t>
            </w:r>
          </w:p>
        </w:tc>
        <w:tc>
          <w:tcPr>
            <w:tcW w:w="32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AACE2C2" w14:textId="77777777" w:rsidR="009B5BC2" w:rsidRDefault="009B5BC2" w:rsidP="00702A69">
            <w:pPr>
              <w:jc w:val="center"/>
            </w:pPr>
            <w:r>
              <w:rPr>
                <w:b/>
                <w:bCs/>
                <w:color w:val="FFFFFF"/>
                <w:sz w:val="20"/>
                <w:szCs w:val="20"/>
              </w:rPr>
              <w:t>URL</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583ED83" w14:textId="77777777" w:rsidR="009B5BC2" w:rsidRDefault="009B5BC2" w:rsidP="00702A69">
            <w:pPr>
              <w:jc w:val="center"/>
            </w:pPr>
            <w:r>
              <w:rPr>
                <w:b/>
                <w:bCs/>
                <w:color w:val="FFFFFF"/>
                <w:sz w:val="20"/>
                <w:szCs w:val="20"/>
              </w:rPr>
              <w:t>Propósito</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13BADE7" w14:textId="77777777" w:rsidR="009B5BC2" w:rsidRDefault="009B5BC2" w:rsidP="00702A69">
            <w:pPr>
              <w:jc w:val="center"/>
            </w:pPr>
            <w:r>
              <w:rPr>
                <w:b/>
                <w:bCs/>
                <w:color w:val="FFFFFF"/>
                <w:sz w:val="20"/>
                <w:szCs w:val="20"/>
              </w:rPr>
              <w:t>Autenticación</w:t>
            </w:r>
          </w:p>
        </w:tc>
      </w:tr>
      <w:tr w:rsidR="009B5BC2" w14:paraId="18595E6A"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CACFF1" w14:textId="77777777" w:rsidR="009B5BC2" w:rsidRDefault="009B5BC2" w:rsidP="00702A69">
            <w:r>
              <w:rPr>
                <w:sz w:val="20"/>
                <w:szCs w:val="20"/>
              </w:rPr>
              <w:t>STAC API</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980095" w14:textId="77777777" w:rsidR="009B5BC2" w:rsidRDefault="009B5BC2" w:rsidP="00702A69">
            <w:r>
              <w:rPr>
                <w:sz w:val="20"/>
                <w:szCs w:val="20"/>
              </w:rPr>
              <w:t>stac.dataspace.copernicus.eu/v1/search</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5B182A" w14:textId="77777777" w:rsidR="009B5BC2" w:rsidRDefault="009B5BC2" w:rsidP="00702A69">
            <w:r>
              <w:rPr>
                <w:sz w:val="20"/>
                <w:szCs w:val="20"/>
              </w:rPr>
              <w:t>Consulta de metadatos (fechas, nubosidad)</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BADA67" w14:textId="77777777" w:rsidR="009B5BC2" w:rsidRDefault="009B5BC2" w:rsidP="00702A69">
            <w:r>
              <w:rPr>
                <w:sz w:val="20"/>
                <w:szCs w:val="20"/>
              </w:rPr>
              <w:t>No requerida</w:t>
            </w:r>
          </w:p>
        </w:tc>
      </w:tr>
      <w:tr w:rsidR="009B5BC2" w14:paraId="45CBCA12"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B671" w14:textId="77777777" w:rsidR="009B5BC2" w:rsidRDefault="009B5BC2" w:rsidP="00702A69">
            <w:r>
              <w:rPr>
                <w:sz w:val="20"/>
                <w:szCs w:val="20"/>
              </w:rPr>
              <w:t>Process API</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ECDC9" w14:textId="77777777" w:rsidR="009B5BC2" w:rsidRDefault="009B5BC2" w:rsidP="00702A69">
            <w:r>
              <w:rPr>
                <w:sz w:val="20"/>
                <w:szCs w:val="20"/>
              </w:rPr>
              <w:t>sh.dataspace.copernicus.eu/api/v1/process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95D2" w14:textId="77777777" w:rsidR="009B5BC2" w:rsidRDefault="009B5BC2" w:rsidP="00702A69">
            <w:r>
              <w:rPr>
                <w:sz w:val="20"/>
                <w:szCs w:val="20"/>
              </w:rPr>
              <w:t>Descarga de bandas espectrales GeoTIFF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9898" w14:textId="77777777" w:rsidR="009B5BC2" w:rsidRDefault="009B5BC2" w:rsidP="00702A69">
            <w:r>
              <w:rPr>
                <w:sz w:val="20"/>
                <w:szCs w:val="20"/>
              </w:rPr>
              <w:t>OAuth2 Bearer</w:t>
            </w:r>
          </w:p>
        </w:tc>
      </w:tr>
      <w:tr w:rsidR="009B5BC2" w14:paraId="75C8A6AD"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13FFFD" w14:textId="77777777" w:rsidR="009B5BC2" w:rsidRDefault="009B5BC2" w:rsidP="00702A69">
            <w:r>
              <w:rPr>
                <w:sz w:val="20"/>
                <w:szCs w:val="20"/>
              </w:rPr>
              <w:t>OAuth2 Token</w:t>
            </w:r>
          </w:p>
        </w:tc>
        <w:tc>
          <w:tcPr>
            <w:tcW w:w="32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505285" w14:textId="77777777" w:rsidR="009B5BC2" w:rsidRDefault="009B5BC2" w:rsidP="00702A69">
            <w:r>
              <w:rPr>
                <w:sz w:val="20"/>
                <w:szCs w:val="20"/>
              </w:rPr>
              <w:t>identity.dataspace.copernicus.eu/auth/.../ token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7A8856" w14:textId="77777777" w:rsidR="009B5BC2" w:rsidRDefault="009B5BC2" w:rsidP="00702A69">
            <w:r>
              <w:rPr>
                <w:sz w:val="20"/>
                <w:szCs w:val="20"/>
              </w:rPr>
              <w:t>Obtención de access_token</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CD4B26" w14:textId="77777777" w:rsidR="009B5BC2" w:rsidRDefault="009B5BC2" w:rsidP="00702A69">
            <w:r>
              <w:rPr>
                <w:sz w:val="20"/>
                <w:szCs w:val="20"/>
              </w:rPr>
              <w:t>Client Credentials</w:t>
            </w:r>
          </w:p>
        </w:tc>
      </w:tr>
    </w:tbl>
    <w:p w14:paraId="2DAF2BB1" w14:textId="77777777" w:rsidR="009B5BC2" w:rsidRDefault="009B5BC2" w:rsidP="009B5BC2">
      <w:pPr>
        <w:spacing w:before="60" w:after="60"/>
      </w:pPr>
    </w:p>
    <w:p w14:paraId="342BEDE8" w14:textId="77777777" w:rsidR="009B5BC2" w:rsidRDefault="009B5BC2" w:rsidP="009B5BC2">
      <w:pPr>
        <w:pStyle w:val="Heading2"/>
      </w:pPr>
      <w:bookmarkStart w:id="5" w:name="_Toc231397024"/>
      <w:r>
        <w:rPr>
          <w:rFonts w:ascii="Arial" w:eastAsia="Arial" w:hAnsi="Arial" w:cs="Arial"/>
          <w:b/>
          <w:bCs/>
          <w:color w:val="2E6DA4"/>
          <w:sz w:val="24"/>
          <w:szCs w:val="24"/>
        </w:rPr>
        <w:t>3.3 Especificaciones técnicas de adquisición</w:t>
      </w:r>
      <w:bookmarkEnd w:id="5"/>
    </w:p>
    <w:p w14:paraId="1452B77F"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B5BC2" w14:paraId="4DE59838" w14:textId="77777777" w:rsidTr="00702A69">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44565149" w14:textId="77777777" w:rsidR="009B5BC2" w:rsidRDefault="009B5BC2" w:rsidP="00702A69">
            <w:pPr>
              <w:jc w:val="center"/>
            </w:pPr>
            <w:r>
              <w:rPr>
                <w:b/>
                <w:bCs/>
                <w:color w:val="FFFFFF"/>
                <w:sz w:val="20"/>
                <w:szCs w:val="20"/>
              </w:rPr>
              <w:t>Parámetro</w:t>
            </w:r>
          </w:p>
        </w:tc>
        <w:tc>
          <w:tcPr>
            <w:tcW w:w="58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E7948AB" w14:textId="77777777" w:rsidR="009B5BC2" w:rsidRDefault="009B5BC2" w:rsidP="00702A69">
            <w:pPr>
              <w:jc w:val="center"/>
            </w:pPr>
            <w:r>
              <w:rPr>
                <w:b/>
                <w:bCs/>
                <w:color w:val="FFFFFF"/>
                <w:sz w:val="20"/>
                <w:szCs w:val="20"/>
              </w:rPr>
              <w:t>Valor</w:t>
            </w:r>
          </w:p>
        </w:tc>
      </w:tr>
      <w:tr w:rsidR="009B5BC2" w14:paraId="1B32DB1F"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0D7CD9" w14:textId="77777777" w:rsidR="009B5BC2" w:rsidRDefault="009B5BC2" w:rsidP="00702A69">
            <w:r>
              <w:rPr>
                <w:sz w:val="20"/>
                <w:szCs w:val="20"/>
              </w:rPr>
              <w:t>Bandas descargadas</w:t>
            </w:r>
          </w:p>
        </w:tc>
        <w:tc>
          <w:tcPr>
            <w:tcW w:w="5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7B8F3D" w14:textId="77777777" w:rsidR="009B5BC2" w:rsidRDefault="009B5BC2" w:rsidP="00702A69">
            <w:r>
              <w:rPr>
                <w:sz w:val="20"/>
                <w:szCs w:val="20"/>
              </w:rPr>
              <w:t>B04 (Red, 665 nm) + B08 (NIR, 842 nm)</w:t>
            </w:r>
          </w:p>
        </w:tc>
      </w:tr>
      <w:tr w:rsidR="009B5BC2" w14:paraId="0A687565"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0470" w14:textId="77777777" w:rsidR="009B5BC2" w:rsidRDefault="009B5BC2" w:rsidP="00702A69">
            <w:r>
              <w:rPr>
                <w:sz w:val="20"/>
                <w:szCs w:val="20"/>
              </w:rPr>
              <w:t>Resolución espacial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FDCD" w14:textId="77777777" w:rsidR="009B5BC2" w:rsidRDefault="009B5BC2" w:rsidP="00702A69">
            <w:r>
              <w:rPr>
                <w:sz w:val="20"/>
                <w:szCs w:val="20"/>
              </w:rPr>
              <w:t>10 m/píxel (nativa Sentinel-2)</w:t>
            </w:r>
          </w:p>
        </w:tc>
      </w:tr>
      <w:tr w:rsidR="009B5BC2" w14:paraId="08F16426"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6C67F3" w14:textId="77777777" w:rsidR="009B5BC2" w:rsidRDefault="009B5BC2" w:rsidP="00702A69">
            <w:r>
              <w:rPr>
                <w:sz w:val="20"/>
                <w:szCs w:val="20"/>
              </w:rPr>
              <w:t>Formato de almacenamiento</w:t>
            </w:r>
          </w:p>
        </w:tc>
        <w:tc>
          <w:tcPr>
            <w:tcW w:w="5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DCC153" w14:textId="77777777" w:rsidR="009B5BC2" w:rsidRDefault="009B5BC2" w:rsidP="00702A69">
            <w:r>
              <w:rPr>
                <w:sz w:val="20"/>
                <w:szCs w:val="20"/>
              </w:rPr>
              <w:t>GeoTIFF FLOAT32</w:t>
            </w:r>
          </w:p>
        </w:tc>
      </w:tr>
      <w:tr w:rsidR="009B5BC2" w14:paraId="6960C6DB"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B4DC" w14:textId="77777777" w:rsidR="009B5BC2" w:rsidRDefault="009B5BC2" w:rsidP="00702A69">
            <w:r>
              <w:rPr>
                <w:sz w:val="20"/>
                <w:szCs w:val="20"/>
              </w:rPr>
              <w:t>Tamaño promedio por banda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3876" w14:textId="77777777" w:rsidR="009B5BC2" w:rsidRDefault="009B5BC2" w:rsidP="00702A69">
            <w:r>
              <w:rPr>
                <w:sz w:val="20"/>
                <w:szCs w:val="20"/>
              </w:rPr>
              <w:t>~25 KB (resolución 512×512 px)</w:t>
            </w:r>
          </w:p>
        </w:tc>
      </w:tr>
      <w:tr w:rsidR="009B5BC2" w14:paraId="53F5F12E"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B99E0B" w14:textId="77777777" w:rsidR="009B5BC2" w:rsidRDefault="009B5BC2" w:rsidP="00702A69">
            <w:r>
              <w:rPr>
                <w:sz w:val="20"/>
                <w:szCs w:val="20"/>
              </w:rPr>
              <w:t>Límite de almacenamiento</w:t>
            </w:r>
          </w:p>
        </w:tc>
        <w:tc>
          <w:tcPr>
            <w:tcW w:w="5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F0E7B6" w14:textId="77777777" w:rsidR="009B5BC2" w:rsidRDefault="009B5BC2" w:rsidP="00702A69">
            <w:r>
              <w:rPr>
                <w:sz w:val="20"/>
                <w:szCs w:val="20"/>
              </w:rPr>
              <w:t>10 MB por banda (PostgreSQL bytea)</w:t>
            </w:r>
          </w:p>
        </w:tc>
      </w:tr>
      <w:tr w:rsidR="009B5BC2" w14:paraId="47EE14A2"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572B" w14:textId="77777777" w:rsidR="009B5BC2" w:rsidRDefault="009B5BC2" w:rsidP="00702A69">
            <w:r>
              <w:rPr>
                <w:sz w:val="20"/>
                <w:szCs w:val="20"/>
              </w:rPr>
              <w:t>Sistema de referencia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BDDA" w14:textId="77777777" w:rsidR="009B5BC2" w:rsidRDefault="009B5BC2" w:rsidP="00702A69">
            <w:r>
              <w:rPr>
                <w:sz w:val="20"/>
                <w:szCs w:val="20"/>
              </w:rPr>
              <w:t>WGS84 (EPSG:4326)</w:t>
            </w:r>
          </w:p>
        </w:tc>
      </w:tr>
      <w:tr w:rsidR="009B5BC2" w14:paraId="5127F50A"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9A6CC9" w14:textId="77777777" w:rsidR="009B5BC2" w:rsidRDefault="009B5BC2" w:rsidP="00702A69">
            <w:r>
              <w:rPr>
                <w:sz w:val="20"/>
                <w:szCs w:val="20"/>
              </w:rPr>
              <w:t>Nivel de procesamiento</w:t>
            </w:r>
          </w:p>
        </w:tc>
        <w:tc>
          <w:tcPr>
            <w:tcW w:w="5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4C1E02" w14:textId="77777777" w:rsidR="009B5BC2" w:rsidRDefault="009B5BC2" w:rsidP="00702A69">
            <w:r>
              <w:rPr>
                <w:sz w:val="20"/>
                <w:szCs w:val="20"/>
              </w:rPr>
              <w:t>L2A — corrección atmosférica Bottom of Atmosphere aplicada</w:t>
            </w:r>
          </w:p>
        </w:tc>
      </w:tr>
      <w:tr w:rsidR="009B5BC2" w14:paraId="51AF62C3" w14:textId="77777777" w:rsidTr="00702A69">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050F6" w14:textId="77777777" w:rsidR="009B5BC2" w:rsidRDefault="009B5BC2" w:rsidP="00702A69">
            <w:r>
              <w:rPr>
                <w:sz w:val="20"/>
                <w:szCs w:val="20"/>
              </w:rPr>
              <w:lastRenderedPageBreak/>
              <w:t>Umbral de nubosidad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E960E" w14:textId="77777777" w:rsidR="009B5BC2" w:rsidRDefault="009B5BC2" w:rsidP="00702A69">
            <w:r>
              <w:rPr>
                <w:sz w:val="20"/>
                <w:szCs w:val="20"/>
              </w:rPr>
              <w:t>cloud_cover ≤ 20% (ajustado para zona tropical)</w:t>
            </w:r>
          </w:p>
        </w:tc>
      </w:tr>
    </w:tbl>
    <w:p w14:paraId="506CBE36" w14:textId="77777777" w:rsidR="009B5BC2" w:rsidRDefault="009B5BC2" w:rsidP="009B5BC2">
      <w:pPr>
        <w:spacing w:before="60" w:after="60"/>
      </w:pPr>
    </w:p>
    <w:p w14:paraId="76CA029E" w14:textId="77777777" w:rsidR="009B5BC2" w:rsidRDefault="009B5BC2" w:rsidP="009B5BC2">
      <w:pPr>
        <w:pStyle w:val="Heading1"/>
      </w:pPr>
      <w:bookmarkStart w:id="6" w:name="_Toc231397025"/>
      <w:r>
        <w:rPr>
          <w:rFonts w:ascii="Arial" w:eastAsia="Arial" w:hAnsi="Arial" w:cs="Arial"/>
          <w:b/>
          <w:bCs/>
          <w:color w:val="1A3A5C"/>
          <w:sz w:val="28"/>
          <w:szCs w:val="28"/>
        </w:rPr>
        <w:t>4. Implementación — Frontend</w:t>
      </w:r>
      <w:bookmarkEnd w:id="6"/>
    </w:p>
    <w:p w14:paraId="3ED361E8" w14:textId="77777777" w:rsidR="009B5BC2" w:rsidRDefault="009B5BC2" w:rsidP="009B5BC2">
      <w:pPr>
        <w:spacing w:before="80" w:after="80" w:line="276" w:lineRule="auto"/>
        <w:jc w:val="both"/>
      </w:pPr>
      <w:r>
        <w:t>La interfaz de usuario correspondiente al OE1 fue desarrollada siguiendo la metodología de diseño atómico-molecular, implementando componentes reutilizables en Next.js 16 con TypeScript y Tailwind CSS. La interfaz es completamente responsive, validada en resoluciones de 375 px (mobile) y 1920 px (desktop).</w:t>
      </w:r>
    </w:p>
    <w:p w14:paraId="4E5FDA85" w14:textId="77777777" w:rsidR="009B5BC2" w:rsidRDefault="009B5BC2" w:rsidP="009B5BC2">
      <w:pPr>
        <w:spacing w:before="60" w:after="60"/>
      </w:pPr>
    </w:p>
    <w:p w14:paraId="4E4F06F8" w14:textId="77777777" w:rsidR="009B5BC2" w:rsidRDefault="009B5BC2" w:rsidP="009B5BC2">
      <w:pPr>
        <w:pStyle w:val="Heading2"/>
      </w:pPr>
      <w:bookmarkStart w:id="7" w:name="_Toc231397026"/>
      <w:r>
        <w:rPr>
          <w:rFonts w:ascii="Arial" w:eastAsia="Arial" w:hAnsi="Arial" w:cs="Arial"/>
          <w:b/>
          <w:bCs/>
          <w:color w:val="2E6DA4"/>
          <w:sz w:val="24"/>
          <w:szCs w:val="24"/>
        </w:rPr>
        <w:t>4.1 Componentes implementados</w:t>
      </w:r>
      <w:bookmarkEnd w:id="7"/>
    </w:p>
    <w:p w14:paraId="48CB2C17"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26"/>
        <w:gridCol w:w="1800"/>
      </w:tblGrid>
      <w:tr w:rsidR="009B5BC2" w14:paraId="0A6E5091" w14:textId="77777777" w:rsidTr="00702A69">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5673996" w14:textId="77777777" w:rsidR="009B5BC2" w:rsidRDefault="009B5BC2" w:rsidP="00702A69">
            <w:pPr>
              <w:jc w:val="center"/>
            </w:pPr>
            <w:r>
              <w:rPr>
                <w:b/>
                <w:bCs/>
                <w:color w:val="FFFFFF"/>
                <w:sz w:val="20"/>
                <w:szCs w:val="20"/>
              </w:rPr>
              <w:t>Nivel</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418F10E" w14:textId="77777777" w:rsidR="009B5BC2" w:rsidRDefault="009B5BC2" w:rsidP="00702A69">
            <w:pPr>
              <w:jc w:val="center"/>
            </w:pPr>
            <w:r>
              <w:rPr>
                <w:b/>
                <w:bCs/>
                <w:color w:val="FFFFFF"/>
                <w:sz w:val="20"/>
                <w:szCs w:val="20"/>
              </w:rPr>
              <w:t>Componente</w:t>
            </w:r>
          </w:p>
        </w:tc>
        <w:tc>
          <w:tcPr>
            <w:tcW w:w="38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BE47D73" w14:textId="77777777" w:rsidR="009B5BC2" w:rsidRDefault="009B5BC2" w:rsidP="00702A69">
            <w:pPr>
              <w:jc w:val="center"/>
            </w:pPr>
            <w:r>
              <w:rPr>
                <w:b/>
                <w:bCs/>
                <w:color w:val="FFFFFF"/>
                <w:sz w:val="20"/>
                <w:szCs w:val="20"/>
              </w:rPr>
              <w:t>Descripción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7AD9D09" w14:textId="77777777" w:rsidR="009B5BC2" w:rsidRDefault="009B5BC2" w:rsidP="00702A69">
            <w:pPr>
              <w:jc w:val="center"/>
            </w:pPr>
            <w:r>
              <w:rPr>
                <w:b/>
                <w:bCs/>
                <w:color w:val="FFFFFF"/>
                <w:sz w:val="20"/>
                <w:szCs w:val="20"/>
              </w:rPr>
              <w:t>Estado</w:t>
            </w:r>
          </w:p>
        </w:tc>
      </w:tr>
      <w:tr w:rsidR="009B5BC2" w14:paraId="25A38463" w14:textId="77777777" w:rsidTr="00702A69">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158C8A" w14:textId="77777777" w:rsidR="009B5BC2" w:rsidRDefault="009B5BC2" w:rsidP="00702A69">
            <w:r>
              <w:rPr>
                <w:sz w:val="20"/>
                <w:szCs w:val="20"/>
              </w:rPr>
              <w:t>Atom</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BD5702" w14:textId="77777777" w:rsidR="009B5BC2" w:rsidRDefault="009B5BC2" w:rsidP="00702A69">
            <w:r>
              <w:rPr>
                <w:sz w:val="20"/>
                <w:szCs w:val="20"/>
              </w:rPr>
              <w:t>DateBadge.tsx (42 líneas)</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BFCF82" w14:textId="77777777" w:rsidR="009B5BC2" w:rsidRDefault="009B5BC2" w:rsidP="00702A69">
            <w:r>
              <w:rPr>
                <w:sz w:val="20"/>
                <w:szCs w:val="20"/>
              </w:rPr>
              <w:t>Badge interactivo que representa una fecha apta. Presenta tres estados visuales: disponible, seleccionado y ya adquirido. No expone tecnicismos al usuario.</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88514B" w14:textId="77777777" w:rsidR="009B5BC2" w:rsidRDefault="009B5BC2" w:rsidP="00702A69">
            <w:pPr>
              <w:jc w:val="center"/>
            </w:pPr>
            <w:r>
              <w:rPr>
                <w:b/>
                <w:bCs/>
                <w:color w:val="2E7D32"/>
                <w:sz w:val="20"/>
                <w:szCs w:val="20"/>
              </w:rPr>
              <w:t>✅ Completo</w:t>
            </w:r>
          </w:p>
        </w:tc>
      </w:tr>
      <w:tr w:rsidR="009B5BC2" w14:paraId="494A70FF" w14:textId="77777777" w:rsidTr="00702A6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9126" w14:textId="77777777" w:rsidR="009B5BC2" w:rsidRDefault="009B5BC2" w:rsidP="00702A69">
            <w:r>
              <w:rPr>
                <w:sz w:val="20"/>
                <w:szCs w:val="20"/>
              </w:rPr>
              <w:t>Molecule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27B6" w14:textId="77777777" w:rsidR="009B5BC2" w:rsidRDefault="009B5BC2" w:rsidP="00702A69">
            <w:r>
              <w:rPr>
                <w:sz w:val="20"/>
                <w:szCs w:val="20"/>
              </w:rPr>
              <w:t>DateSelector.tsx (74 líneas)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40D7" w14:textId="77777777" w:rsidR="009B5BC2" w:rsidRDefault="009B5BC2" w:rsidP="00702A69">
            <w:r>
              <w:rPr>
                <w:sz w:val="20"/>
                <w:szCs w:val="20"/>
              </w:rPr>
              <w:t>Organiza los DateBadge en una cuadrícula de dos columnas con desplazamiento vertical. Gestiona el estado de carga con animación y muestra un mensaje descriptivo cuando no hay fechas disponibles.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5C22" w14:textId="77777777" w:rsidR="009B5BC2" w:rsidRDefault="009B5BC2" w:rsidP="00702A69">
            <w:pPr>
              <w:jc w:val="center"/>
            </w:pPr>
            <w:r>
              <w:rPr>
                <w:b/>
                <w:bCs/>
                <w:color w:val="2E7D32"/>
                <w:sz w:val="20"/>
                <w:szCs w:val="20"/>
              </w:rPr>
              <w:t>✅ Completo</w:t>
            </w:r>
          </w:p>
        </w:tc>
      </w:tr>
      <w:tr w:rsidR="009B5BC2" w14:paraId="46F2BDE2" w14:textId="77777777" w:rsidTr="00702A69">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DDCF03" w14:textId="77777777" w:rsidR="009B5BC2" w:rsidRDefault="009B5BC2" w:rsidP="00702A69">
            <w:r>
              <w:rPr>
                <w:sz w:val="20"/>
                <w:szCs w:val="20"/>
              </w:rPr>
              <w:t>Molecule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5B80E8" w14:textId="77777777" w:rsidR="009B5BC2" w:rsidRDefault="009B5BC2" w:rsidP="00702A69">
            <w:r>
              <w:rPr>
                <w:sz w:val="20"/>
                <w:szCs w:val="20"/>
              </w:rPr>
              <w:t>AcquireButton.tsx (78 líneas)</w:t>
            </w:r>
          </w:p>
        </w:tc>
        <w:tc>
          <w:tcPr>
            <w:tcW w:w="38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6CFD75" w14:textId="77777777" w:rsidR="009B5BC2" w:rsidRDefault="009B5BC2" w:rsidP="00702A69">
            <w:r>
              <w:rPr>
                <w:sz w:val="20"/>
                <w:szCs w:val="20"/>
              </w:rPr>
              <w:t>Botón de confirmación de adquisición con cuatro estados visuales: reposo, procesando, éxito y error. Se deshabilita automáticamente durante la operación para evitar solicitudes duplicadas.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441552" w14:textId="77777777" w:rsidR="009B5BC2" w:rsidRDefault="009B5BC2" w:rsidP="00702A69">
            <w:pPr>
              <w:jc w:val="center"/>
            </w:pPr>
            <w:r>
              <w:rPr>
                <w:b/>
                <w:bCs/>
                <w:color w:val="2E7D32"/>
                <w:sz w:val="20"/>
                <w:szCs w:val="20"/>
              </w:rPr>
              <w:t>✅ Completo</w:t>
            </w:r>
          </w:p>
        </w:tc>
      </w:tr>
      <w:tr w:rsidR="009B5BC2" w14:paraId="66FCB479" w14:textId="77777777" w:rsidTr="00702A69">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71CC" w14:textId="77777777" w:rsidR="009B5BC2" w:rsidRDefault="009B5BC2" w:rsidP="00702A69">
            <w:r>
              <w:rPr>
                <w:sz w:val="20"/>
                <w:szCs w:val="20"/>
              </w:rPr>
              <w:t>Organism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921F" w14:textId="77777777" w:rsidR="009B5BC2" w:rsidRDefault="009B5BC2" w:rsidP="00702A69">
            <w:r>
              <w:rPr>
                <w:sz w:val="20"/>
                <w:szCs w:val="20"/>
              </w:rPr>
              <w:t>SentinelPanel.tsx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A87F" w14:textId="77777777" w:rsidR="009B5BC2" w:rsidRDefault="009B5BC2" w:rsidP="00702A69">
            <w:r>
              <w:rPr>
                <w:sz w:val="20"/>
                <w:szCs w:val="20"/>
              </w:rPr>
              <w:t>Panel principal del OE1. Se presenta como drawer lateral en escritorio y como modal inferior en mobile. Orquesta el flujo completo: selector de rango temporal, consulta de fechas aptas y confirmación de adquisición.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E5EE" w14:textId="77777777" w:rsidR="009B5BC2" w:rsidRDefault="009B5BC2" w:rsidP="00702A69">
            <w:pPr>
              <w:jc w:val="center"/>
            </w:pPr>
            <w:r>
              <w:rPr>
                <w:b/>
                <w:bCs/>
                <w:color w:val="2E7D32"/>
                <w:sz w:val="20"/>
                <w:szCs w:val="20"/>
              </w:rPr>
              <w:t>✅ Completo</w:t>
            </w:r>
          </w:p>
        </w:tc>
      </w:tr>
    </w:tbl>
    <w:p w14:paraId="07A47E12" w14:textId="77777777" w:rsidR="009B5BC2" w:rsidRDefault="009B5BC2" w:rsidP="009B5BC2">
      <w:pPr>
        <w:spacing w:before="60" w:after="60"/>
      </w:pPr>
    </w:p>
    <w:p w14:paraId="4C853288" w14:textId="77777777" w:rsidR="009B5BC2" w:rsidRDefault="009B5BC2" w:rsidP="009B5BC2">
      <w:pPr>
        <w:pStyle w:val="Heading2"/>
      </w:pPr>
      <w:bookmarkStart w:id="8" w:name="_Toc231397027"/>
      <w:r>
        <w:rPr>
          <w:rFonts w:ascii="Arial" w:eastAsia="Arial" w:hAnsi="Arial" w:cs="Arial"/>
          <w:b/>
          <w:bCs/>
          <w:color w:val="2E6DA4"/>
          <w:sz w:val="24"/>
          <w:szCs w:val="24"/>
        </w:rPr>
        <w:t>4.2 Flujo de interacción del usuario</w:t>
      </w:r>
      <w:bookmarkEnd w:id="8"/>
    </w:p>
    <w:p w14:paraId="2CF07BE0" w14:textId="77777777" w:rsidR="009B5BC2" w:rsidRDefault="009B5BC2" w:rsidP="009B5BC2">
      <w:pPr>
        <w:spacing w:before="60" w:after="60"/>
      </w:pPr>
    </w:p>
    <w:p w14:paraId="20CD0C81" w14:textId="77777777" w:rsidR="009B5BC2" w:rsidRDefault="009B5BC2" w:rsidP="009B5BC2">
      <w:pPr>
        <w:pStyle w:val="ListParagraph"/>
        <w:numPr>
          <w:ilvl w:val="0"/>
          <w:numId w:val="1"/>
        </w:numPr>
        <w:spacing w:before="60" w:after="60"/>
        <w:contextualSpacing w:val="0"/>
      </w:pPr>
      <w:r>
        <w:t>El usuario se autentica en la aplicación web mediante credenciales registradas (JWT + bcrypt).</w:t>
      </w:r>
    </w:p>
    <w:p w14:paraId="75657951" w14:textId="77777777" w:rsidR="009B5BC2" w:rsidRDefault="009B5BC2" w:rsidP="009B5BC2">
      <w:pPr>
        <w:pStyle w:val="ListParagraph"/>
        <w:numPr>
          <w:ilvl w:val="0"/>
          <w:numId w:val="1"/>
        </w:numPr>
        <w:spacing w:before="60" w:after="60"/>
        <w:contextualSpacing w:val="0"/>
      </w:pPr>
      <w:r>
        <w:t>El usuario dibuja un polígono sobre el mapa interactivo Leaflet para registrar su parcela de interés en coordenadas WGS84.</w:t>
      </w:r>
    </w:p>
    <w:p w14:paraId="50EC0B11" w14:textId="77777777" w:rsidR="009B5BC2" w:rsidRDefault="009B5BC2" w:rsidP="009B5BC2">
      <w:pPr>
        <w:pStyle w:val="ListParagraph"/>
        <w:numPr>
          <w:ilvl w:val="0"/>
          <w:numId w:val="1"/>
        </w:numPr>
        <w:spacing w:before="60" w:after="60"/>
        <w:contextualSpacing w:val="0"/>
      </w:pPr>
      <w:r>
        <w:t>Al hacer clic sobre una parcela registrada, el sistema despliega automáticamente el SentinelPanel con el selector de rango temporal.</w:t>
      </w:r>
    </w:p>
    <w:p w14:paraId="0A716192" w14:textId="77777777" w:rsidR="009B5BC2" w:rsidRDefault="009B5BC2" w:rsidP="009B5BC2">
      <w:pPr>
        <w:pStyle w:val="ListParagraph"/>
        <w:numPr>
          <w:ilvl w:val="0"/>
          <w:numId w:val="1"/>
        </w:numPr>
        <w:spacing w:before="60" w:after="60"/>
        <w:contextualSpacing w:val="0"/>
      </w:pPr>
      <w:r>
        <w:t>El sistema consulta el STAC API en segundo plano y presenta únicamente las fechas con imágenes aptas. El usuario no visualiza términos como cloud_cover, B04, B08 ni L2A.</w:t>
      </w:r>
    </w:p>
    <w:p w14:paraId="3AB8E213" w14:textId="77777777" w:rsidR="009B5BC2" w:rsidRDefault="009B5BC2" w:rsidP="009B5BC2">
      <w:pPr>
        <w:pStyle w:val="ListParagraph"/>
        <w:numPr>
          <w:ilvl w:val="0"/>
          <w:numId w:val="1"/>
        </w:numPr>
        <w:spacing w:before="60" w:after="60"/>
        <w:contextualSpacing w:val="0"/>
      </w:pPr>
      <w:r>
        <w:lastRenderedPageBreak/>
        <w:t>El usuario selecciona una fecha disponible y confirma la adquisición. El sistema descarga las bandas espectrales y confirma el almacenamiento con un indicador visual de éxito.</w:t>
      </w:r>
    </w:p>
    <w:p w14:paraId="61C5CA0B" w14:textId="77777777" w:rsidR="009B5BC2" w:rsidRDefault="009B5BC2" w:rsidP="009B5BC2">
      <w:pPr>
        <w:pStyle w:val="ListParagraph"/>
        <w:numPr>
          <w:ilvl w:val="0"/>
          <w:numId w:val="1"/>
        </w:numPr>
        <w:spacing w:before="60" w:after="60"/>
        <w:contextualSpacing w:val="0"/>
      </w:pPr>
      <w:r>
        <w:t>Las bandas adquiridas quedan almacenadas en la base de datos, habilitando el procesamiento del OE2.</w:t>
      </w:r>
    </w:p>
    <w:p w14:paraId="7BE4EB59" w14:textId="77777777" w:rsidR="009B5BC2" w:rsidRDefault="009B5BC2" w:rsidP="009B5BC2">
      <w:pPr>
        <w:spacing w:before="60" w:after="60"/>
      </w:pPr>
    </w:p>
    <w:p w14:paraId="1825AFFE" w14:textId="77777777" w:rsidR="009B5BC2" w:rsidRDefault="009B5BC2" w:rsidP="009B5BC2">
      <w:pPr>
        <w:pStyle w:val="Heading1"/>
      </w:pPr>
      <w:bookmarkStart w:id="9" w:name="_Toc231397028"/>
      <w:r>
        <w:rPr>
          <w:rFonts w:ascii="Arial" w:eastAsia="Arial" w:hAnsi="Arial" w:cs="Arial"/>
          <w:b/>
          <w:bCs/>
          <w:color w:val="1A3A5C"/>
          <w:sz w:val="28"/>
          <w:szCs w:val="28"/>
        </w:rPr>
        <w:t>5. Evidencia Medible — Tabla de Disponibilidad de Imágenes</w:t>
      </w:r>
      <w:bookmarkEnd w:id="9"/>
    </w:p>
    <w:p w14:paraId="78DD6415" w14:textId="77777777" w:rsidR="009B5BC2" w:rsidRDefault="009B5BC2" w:rsidP="009B5BC2">
      <w:pPr>
        <w:spacing w:before="80" w:after="80" w:line="276" w:lineRule="auto"/>
        <w:jc w:val="both"/>
      </w:pPr>
      <w:r>
        <w:t>De conformidad con la actividad metodológica 3 del OE1, se generó la tabla de disponibilidad de imágenes aptas para las tres parcelas de referencia del Sistema de Riego Río Guárico (SRRG). La consulta fue realizada contra el STAC API de Copernicus DataSpace aplicando el criterio cloud_cover ≤ 20%.</w:t>
      </w:r>
    </w:p>
    <w:p w14:paraId="60557E66" w14:textId="77777777" w:rsidR="009B5BC2" w:rsidRDefault="009B5BC2" w:rsidP="009B5BC2">
      <w:pPr>
        <w:spacing w:before="60" w:after="60"/>
      </w:pPr>
    </w:p>
    <w:p w14:paraId="4ADF0A29" w14:textId="77777777" w:rsidR="009B5BC2" w:rsidRDefault="009B5BC2" w:rsidP="009B5BC2">
      <w:pPr>
        <w:pStyle w:val="Heading2"/>
      </w:pPr>
      <w:bookmarkStart w:id="10" w:name="_Toc231397029"/>
      <w:r>
        <w:rPr>
          <w:rFonts w:ascii="Arial" w:eastAsia="Arial" w:hAnsi="Arial" w:cs="Arial"/>
          <w:b/>
          <w:bCs/>
          <w:color w:val="2E6DA4"/>
          <w:sz w:val="24"/>
          <w:szCs w:val="24"/>
        </w:rPr>
        <w:t>5.1 Resumen de disponibilidad por parcela</w:t>
      </w:r>
      <w:bookmarkEnd w:id="10"/>
    </w:p>
    <w:p w14:paraId="6995B171"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1600"/>
        <w:gridCol w:w="1626"/>
        <w:gridCol w:w="800"/>
      </w:tblGrid>
      <w:tr w:rsidR="009B5BC2" w14:paraId="0C7802AF" w14:textId="77777777" w:rsidTr="00702A69">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EC52121" w14:textId="77777777" w:rsidR="009B5BC2" w:rsidRDefault="009B5BC2" w:rsidP="00702A69">
            <w:pPr>
              <w:jc w:val="center"/>
            </w:pPr>
            <w:r>
              <w:rPr>
                <w:b/>
                <w:bCs/>
                <w:color w:val="FFFFFF"/>
                <w:sz w:val="20"/>
                <w:szCs w:val="20"/>
              </w:rPr>
              <w:t>Parcela</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B94CA1A" w14:textId="77777777" w:rsidR="009B5BC2" w:rsidRDefault="009B5BC2" w:rsidP="00702A69">
            <w:pPr>
              <w:jc w:val="center"/>
            </w:pPr>
            <w:r>
              <w:rPr>
                <w:b/>
                <w:bCs/>
                <w:color w:val="FFFFFF"/>
                <w:sz w:val="20"/>
                <w:szCs w:val="20"/>
              </w:rPr>
              <w:t>Período</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61A1C7C" w14:textId="77777777" w:rsidR="009B5BC2" w:rsidRDefault="009B5BC2" w:rsidP="00702A69">
            <w:pPr>
              <w:jc w:val="center"/>
            </w:pPr>
            <w:r>
              <w:rPr>
                <w:b/>
                <w:bCs/>
                <w:color w:val="FFFFFF"/>
                <w:sz w:val="20"/>
                <w:szCs w:val="20"/>
              </w:rPr>
              <w:t>Días consultados</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2C3C777" w14:textId="77777777" w:rsidR="009B5BC2" w:rsidRDefault="009B5BC2" w:rsidP="00702A69">
            <w:pPr>
              <w:jc w:val="center"/>
            </w:pPr>
            <w:r>
              <w:rPr>
                <w:b/>
                <w:bCs/>
                <w:color w:val="FFFFFF"/>
                <w:sz w:val="20"/>
                <w:szCs w:val="20"/>
              </w:rPr>
              <w:t>Fechas aptas</w:t>
            </w:r>
          </w:p>
        </w:tc>
        <w:tc>
          <w:tcPr>
            <w:tcW w:w="16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0BC81B31" w14:textId="77777777" w:rsidR="009B5BC2" w:rsidRDefault="009B5BC2" w:rsidP="00702A69">
            <w:pPr>
              <w:jc w:val="center"/>
            </w:pPr>
            <w:r>
              <w:rPr>
                <w:b/>
                <w:bCs/>
                <w:color w:val="FFFFFF"/>
                <w:sz w:val="20"/>
                <w:szCs w:val="20"/>
              </w:rPr>
              <w:t>Disponibilidad</w:t>
            </w:r>
          </w:p>
        </w:tc>
        <w:tc>
          <w:tcPr>
            <w:tcW w:w="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6C7DD0D" w14:textId="77777777" w:rsidR="009B5BC2" w:rsidRDefault="009B5BC2" w:rsidP="00702A69">
            <w:pPr>
              <w:jc w:val="center"/>
            </w:pPr>
          </w:p>
        </w:tc>
      </w:tr>
      <w:tr w:rsidR="009B5BC2" w14:paraId="69A400F7" w14:textId="77777777" w:rsidTr="00702A69">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0BA792" w14:textId="77777777" w:rsidR="009B5BC2" w:rsidRDefault="009B5BC2" w:rsidP="00702A69">
            <w:r>
              <w:rPr>
                <w:sz w:val="20"/>
                <w:szCs w:val="20"/>
              </w:rPr>
              <w:t>211</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288E7E" w14:textId="77777777" w:rsidR="009B5BC2" w:rsidRDefault="009B5BC2" w:rsidP="00702A69">
            <w:r>
              <w:rPr>
                <w:sz w:val="20"/>
                <w:szCs w:val="20"/>
              </w:rPr>
              <w:t>2024-2025</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F3464" w14:textId="77777777" w:rsidR="009B5BC2" w:rsidRDefault="009B5BC2" w:rsidP="00702A69">
            <w:r>
              <w:rPr>
                <w:sz w:val="20"/>
                <w:szCs w:val="20"/>
              </w:rPr>
              <w:t>517 días</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B9B826" w14:textId="77777777" w:rsidR="009B5BC2" w:rsidRDefault="009B5BC2" w:rsidP="00702A69">
            <w:r>
              <w:rPr>
                <w:sz w:val="20"/>
                <w:szCs w:val="20"/>
              </w:rPr>
              <w:t>28 fechas</w:t>
            </w:r>
          </w:p>
        </w:tc>
        <w:tc>
          <w:tcPr>
            <w:tcW w:w="1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DA38C8" w14:textId="77777777" w:rsidR="009B5BC2" w:rsidRDefault="009B5BC2" w:rsidP="00702A69">
            <w:r>
              <w:rPr>
                <w:sz w:val="20"/>
                <w:szCs w:val="20"/>
              </w:rPr>
              <w:t>5.4%</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C14C96" w14:textId="77777777" w:rsidR="009B5BC2" w:rsidRDefault="009B5BC2" w:rsidP="00702A69">
            <w:pPr>
              <w:jc w:val="center"/>
            </w:pPr>
            <w:r>
              <w:rPr>
                <w:b/>
                <w:bCs/>
                <w:color w:val="2E7D32"/>
                <w:sz w:val="20"/>
                <w:szCs w:val="20"/>
              </w:rPr>
              <w:t>✅</w:t>
            </w:r>
          </w:p>
        </w:tc>
      </w:tr>
      <w:tr w:rsidR="009B5BC2" w14:paraId="7AA5144E" w14:textId="77777777" w:rsidTr="00702A6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5E1D7" w14:textId="77777777" w:rsidR="009B5BC2" w:rsidRDefault="009B5BC2" w:rsidP="00702A69">
            <w:r>
              <w:rPr>
                <w:sz w:val="20"/>
                <w:szCs w:val="20"/>
              </w:rPr>
              <w:t>217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5D456" w14:textId="77777777" w:rsidR="009B5BC2" w:rsidRDefault="009B5BC2" w:rsidP="00702A69">
            <w:r>
              <w:rPr>
                <w:sz w:val="20"/>
                <w:szCs w:val="20"/>
              </w:rPr>
              <w:t>Invierno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E246" w14:textId="77777777" w:rsidR="009B5BC2" w:rsidRDefault="009B5BC2" w:rsidP="00702A69">
            <w:r>
              <w:rPr>
                <w:sz w:val="20"/>
                <w:szCs w:val="20"/>
              </w:rPr>
              <w:t>365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87B02" w14:textId="77777777" w:rsidR="009B5BC2" w:rsidRDefault="009B5BC2" w:rsidP="00702A69">
            <w:r>
              <w:rPr>
                <w:sz w:val="20"/>
                <w:szCs w:val="20"/>
              </w:rPr>
              <w:t>9 fechas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E4ED" w14:textId="77777777" w:rsidR="009B5BC2" w:rsidRDefault="009B5BC2" w:rsidP="00702A69">
            <w:r>
              <w:rPr>
                <w:sz w:val="20"/>
                <w:szCs w:val="20"/>
              </w:rPr>
              <w:t>2.5%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232D7" w14:textId="77777777" w:rsidR="009B5BC2" w:rsidRDefault="009B5BC2" w:rsidP="00702A69">
            <w:pPr>
              <w:jc w:val="center"/>
            </w:pPr>
            <w:r>
              <w:rPr>
                <w:b/>
                <w:bCs/>
                <w:color w:val="2E7D32"/>
                <w:sz w:val="20"/>
                <w:szCs w:val="20"/>
              </w:rPr>
              <w:t>✅</w:t>
            </w:r>
          </w:p>
        </w:tc>
      </w:tr>
      <w:tr w:rsidR="009B5BC2" w14:paraId="4EFFB4D7" w14:textId="77777777" w:rsidTr="00702A69">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8E900" w14:textId="77777777" w:rsidR="009B5BC2" w:rsidRDefault="009B5BC2" w:rsidP="00702A69">
            <w:r>
              <w:rPr>
                <w:sz w:val="20"/>
                <w:szCs w:val="20"/>
              </w:rPr>
              <w:t>85</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DF77CC" w14:textId="77777777" w:rsidR="009B5BC2" w:rsidRDefault="009B5BC2" w:rsidP="00702A69">
            <w:r>
              <w:rPr>
                <w:sz w:val="20"/>
                <w:szCs w:val="20"/>
              </w:rPr>
              <w:t>2025-2026</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039BEF" w14:textId="77777777" w:rsidR="009B5BC2" w:rsidRDefault="009B5BC2" w:rsidP="00702A69">
            <w:r>
              <w:rPr>
                <w:sz w:val="20"/>
                <w:szCs w:val="20"/>
              </w:rPr>
              <w:t>516 días</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81FCF6" w14:textId="77777777" w:rsidR="009B5BC2" w:rsidRDefault="009B5BC2" w:rsidP="00702A69">
            <w:r>
              <w:rPr>
                <w:sz w:val="20"/>
                <w:szCs w:val="20"/>
              </w:rPr>
              <w:t>27 fechas</w:t>
            </w:r>
          </w:p>
        </w:tc>
        <w:tc>
          <w:tcPr>
            <w:tcW w:w="1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D23ABD" w14:textId="77777777" w:rsidR="009B5BC2" w:rsidRDefault="009B5BC2" w:rsidP="00702A69">
            <w:r>
              <w:rPr>
                <w:sz w:val="20"/>
                <w:szCs w:val="20"/>
              </w:rPr>
              <w:t>5.2%</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24488B" w14:textId="77777777" w:rsidR="009B5BC2" w:rsidRDefault="009B5BC2" w:rsidP="00702A69">
            <w:pPr>
              <w:jc w:val="center"/>
            </w:pPr>
            <w:r>
              <w:rPr>
                <w:b/>
                <w:bCs/>
                <w:color w:val="2E7D32"/>
                <w:sz w:val="20"/>
                <w:szCs w:val="20"/>
              </w:rPr>
              <w:t>✅</w:t>
            </w:r>
          </w:p>
        </w:tc>
      </w:tr>
      <w:tr w:rsidR="009B5BC2" w14:paraId="28B26760" w14:textId="77777777" w:rsidTr="00702A69">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98CB9" w14:textId="77777777" w:rsidR="009B5BC2" w:rsidRDefault="009B5BC2" w:rsidP="00702A69">
            <w:r>
              <w:rPr>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86F45" w14:textId="77777777" w:rsidR="009B5BC2" w:rsidRDefault="009B5BC2" w:rsidP="00702A69">
            <w:r>
              <w:rPr>
                <w:sz w:val="20"/>
                <w:szCs w:val="20"/>
              </w:rPr>
              <w:t>3 períodos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90A5" w14:textId="77777777" w:rsidR="009B5BC2" w:rsidRDefault="009B5BC2" w:rsidP="00702A69">
            <w:r>
              <w:rPr>
                <w:sz w:val="20"/>
                <w:szCs w:val="20"/>
              </w:rPr>
              <w:t>1.398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D6F9" w14:textId="77777777" w:rsidR="009B5BC2" w:rsidRDefault="009B5BC2" w:rsidP="00702A69">
            <w:r>
              <w:rPr>
                <w:sz w:val="20"/>
                <w:szCs w:val="20"/>
              </w:rPr>
              <w:t>64 fechas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B771" w14:textId="77777777" w:rsidR="009B5BC2" w:rsidRDefault="009B5BC2" w:rsidP="00702A69">
            <w:r>
              <w:rPr>
                <w:sz w:val="20"/>
                <w:szCs w:val="20"/>
              </w:rPr>
              <w:t>4.6%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519B" w14:textId="77777777" w:rsidR="009B5BC2" w:rsidRDefault="009B5BC2" w:rsidP="00702A69"/>
        </w:tc>
      </w:tr>
    </w:tbl>
    <w:p w14:paraId="5F348CF7" w14:textId="77777777" w:rsidR="009B5BC2" w:rsidRDefault="009B5BC2" w:rsidP="009B5BC2">
      <w:pPr>
        <w:spacing w:before="60" w:after="60"/>
      </w:pPr>
    </w:p>
    <w:p w14:paraId="7E10B751" w14:textId="77777777" w:rsidR="009B5BC2" w:rsidRDefault="009B5BC2" w:rsidP="009B5BC2">
      <w:pPr>
        <w:spacing w:before="80" w:after="80" w:line="276" w:lineRule="auto"/>
        <w:jc w:val="both"/>
      </w:pPr>
      <w:r>
        <w:t>Fuente: STAC API — Copernicus DataSpace. Colección: Sentinel-2 Level-2A. Criterio: cloud_cover ≤ 20%.</w:t>
      </w:r>
    </w:p>
    <w:p w14:paraId="6255AB97" w14:textId="77777777" w:rsidR="009B5BC2" w:rsidRDefault="009B5BC2" w:rsidP="009B5BC2">
      <w:pPr>
        <w:spacing w:before="60" w:after="60"/>
      </w:pPr>
    </w:p>
    <w:p w14:paraId="0BA4A1CA" w14:textId="77777777" w:rsidR="009B5BC2" w:rsidRDefault="009B5BC2" w:rsidP="009B5BC2">
      <w:pPr>
        <w:pStyle w:val="Heading2"/>
      </w:pPr>
      <w:bookmarkStart w:id="11" w:name="_Toc231397030"/>
      <w:r>
        <w:rPr>
          <w:rFonts w:ascii="Arial" w:eastAsia="Arial" w:hAnsi="Arial" w:cs="Arial"/>
          <w:b/>
          <w:bCs/>
          <w:color w:val="2E6DA4"/>
          <w:sz w:val="24"/>
          <w:szCs w:val="24"/>
        </w:rPr>
        <w:t>5.2 Distribución mensual de fechas aptas — Parcela 211 (año 2025)</w:t>
      </w:r>
      <w:bookmarkEnd w:id="11"/>
    </w:p>
    <w:p w14:paraId="45DF855E"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9B5BC2" w14:paraId="66508F88" w14:textId="77777777" w:rsidTr="00702A69">
        <w:tc>
          <w:tcPr>
            <w:tcW w:w="15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B0C4FD3" w14:textId="77777777" w:rsidR="009B5BC2" w:rsidRDefault="009B5BC2" w:rsidP="00702A69">
            <w:pPr>
              <w:jc w:val="center"/>
            </w:pPr>
            <w:r>
              <w:rPr>
                <w:b/>
                <w:bCs/>
                <w:color w:val="FFFFFF"/>
                <w:sz w:val="20"/>
                <w:szCs w:val="20"/>
              </w:rPr>
              <w:t>Enero</w:t>
            </w:r>
          </w:p>
        </w:tc>
        <w:tc>
          <w:tcPr>
            <w:tcW w:w="15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25F21FB" w14:textId="77777777" w:rsidR="009B5BC2" w:rsidRDefault="009B5BC2" w:rsidP="00702A69">
            <w:pPr>
              <w:jc w:val="center"/>
            </w:pPr>
            <w:r>
              <w:rPr>
                <w:b/>
                <w:bCs/>
                <w:color w:val="FFFFFF"/>
                <w:sz w:val="20"/>
                <w:szCs w:val="20"/>
              </w:rPr>
              <w:t>Febrero</w:t>
            </w:r>
          </w:p>
        </w:tc>
        <w:tc>
          <w:tcPr>
            <w:tcW w:w="15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6A742DE" w14:textId="77777777" w:rsidR="009B5BC2" w:rsidRDefault="009B5BC2" w:rsidP="00702A69">
            <w:pPr>
              <w:jc w:val="center"/>
            </w:pPr>
            <w:r>
              <w:rPr>
                <w:b/>
                <w:bCs/>
                <w:color w:val="FFFFFF"/>
                <w:sz w:val="20"/>
                <w:szCs w:val="20"/>
              </w:rPr>
              <w:t>Marzo</w:t>
            </w:r>
          </w:p>
        </w:tc>
        <w:tc>
          <w:tcPr>
            <w:tcW w:w="15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39BD30B1" w14:textId="77777777" w:rsidR="009B5BC2" w:rsidRDefault="009B5BC2" w:rsidP="00702A69">
            <w:pPr>
              <w:jc w:val="center"/>
            </w:pPr>
            <w:r>
              <w:rPr>
                <w:b/>
                <w:bCs/>
                <w:color w:val="FFFFFF"/>
                <w:sz w:val="20"/>
                <w:szCs w:val="20"/>
              </w:rPr>
              <w:t>Abril</w:t>
            </w:r>
          </w:p>
        </w:tc>
        <w:tc>
          <w:tcPr>
            <w:tcW w:w="150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2A01BB50" w14:textId="77777777" w:rsidR="009B5BC2" w:rsidRDefault="009B5BC2" w:rsidP="00702A69">
            <w:pPr>
              <w:jc w:val="center"/>
            </w:pPr>
            <w:r>
              <w:rPr>
                <w:b/>
                <w:bCs/>
                <w:color w:val="FFFFFF"/>
                <w:sz w:val="20"/>
                <w:szCs w:val="20"/>
              </w:rPr>
              <w:t>Mayo</w:t>
            </w:r>
          </w:p>
        </w:tc>
        <w:tc>
          <w:tcPr>
            <w:tcW w:w="150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F7BAAB4" w14:textId="77777777" w:rsidR="009B5BC2" w:rsidRDefault="009B5BC2" w:rsidP="00702A69">
            <w:pPr>
              <w:jc w:val="center"/>
            </w:pPr>
            <w:r>
              <w:rPr>
                <w:b/>
                <w:bCs/>
                <w:color w:val="FFFFFF"/>
                <w:sz w:val="20"/>
                <w:szCs w:val="20"/>
              </w:rPr>
              <w:t>Junio</w:t>
            </w:r>
          </w:p>
        </w:tc>
      </w:tr>
      <w:tr w:rsidR="009B5BC2" w14:paraId="64724A17" w14:textId="77777777" w:rsidTr="00702A69">
        <w:tc>
          <w:tcPr>
            <w:tcW w:w="15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9F53EF" w14:textId="77777777" w:rsidR="009B5BC2" w:rsidRDefault="009B5BC2" w:rsidP="00702A69">
            <w:pPr>
              <w:jc w:val="center"/>
            </w:pPr>
            <w:r>
              <w:rPr>
                <w:sz w:val="20"/>
                <w:szCs w:val="20"/>
              </w:rPr>
              <w:t>6 fechas</w:t>
            </w:r>
          </w:p>
        </w:tc>
        <w:tc>
          <w:tcPr>
            <w:tcW w:w="15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63D781" w14:textId="77777777" w:rsidR="009B5BC2" w:rsidRDefault="009B5BC2" w:rsidP="00702A69">
            <w:pPr>
              <w:jc w:val="center"/>
            </w:pPr>
            <w:r>
              <w:rPr>
                <w:sz w:val="20"/>
                <w:szCs w:val="20"/>
              </w:rPr>
              <w:t>9 fechas</w:t>
            </w:r>
          </w:p>
        </w:tc>
        <w:tc>
          <w:tcPr>
            <w:tcW w:w="15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4F6E58" w14:textId="77777777" w:rsidR="009B5BC2" w:rsidRDefault="009B5BC2" w:rsidP="00702A69">
            <w:pPr>
              <w:jc w:val="center"/>
            </w:pPr>
            <w:r>
              <w:rPr>
                <w:sz w:val="20"/>
                <w:szCs w:val="20"/>
              </w:rPr>
              <w:t>7 fechas</w:t>
            </w:r>
          </w:p>
        </w:tc>
        <w:tc>
          <w:tcPr>
            <w:tcW w:w="15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48F0D2" w14:textId="77777777" w:rsidR="009B5BC2" w:rsidRDefault="009B5BC2" w:rsidP="00702A69">
            <w:pPr>
              <w:jc w:val="center"/>
            </w:pPr>
            <w:r>
              <w:rPr>
                <w:sz w:val="20"/>
                <w:szCs w:val="20"/>
              </w:rPr>
              <w:t>3 fechas</w:t>
            </w:r>
          </w:p>
        </w:tc>
        <w:tc>
          <w:tcPr>
            <w:tcW w:w="150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4B93BD" w14:textId="77777777" w:rsidR="009B5BC2" w:rsidRDefault="009B5BC2" w:rsidP="00702A69">
            <w:pPr>
              <w:jc w:val="center"/>
            </w:pPr>
            <w:r>
              <w:rPr>
                <w:sz w:val="20"/>
                <w:szCs w:val="20"/>
              </w:rPr>
              <w:t>2 fechas</w:t>
            </w:r>
          </w:p>
        </w:tc>
        <w:tc>
          <w:tcPr>
            <w:tcW w:w="150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6F7F45" w14:textId="77777777" w:rsidR="009B5BC2" w:rsidRDefault="009B5BC2" w:rsidP="00702A69">
            <w:pPr>
              <w:jc w:val="center"/>
            </w:pPr>
            <w:r>
              <w:rPr>
                <w:sz w:val="20"/>
                <w:szCs w:val="20"/>
              </w:rPr>
              <w:t>1 fecha</w:t>
            </w:r>
          </w:p>
        </w:tc>
      </w:tr>
    </w:tbl>
    <w:p w14:paraId="0F912DE6" w14:textId="77777777" w:rsidR="009B5BC2" w:rsidRDefault="009B5BC2" w:rsidP="009B5BC2">
      <w:pPr>
        <w:spacing w:before="60" w:after="60"/>
      </w:pPr>
    </w:p>
    <w:p w14:paraId="4F9A865A" w14:textId="77777777" w:rsidR="009B5BC2" w:rsidRDefault="009B5BC2" w:rsidP="009B5BC2">
      <w:pPr>
        <w:spacing w:before="80" w:after="80" w:line="276" w:lineRule="auto"/>
        <w:jc w:val="both"/>
      </w:pPr>
      <w:r>
        <w:t>La distribución mensual confirma el comportamiento estacional esperado para la zona tropical del estado Guárico: mayor disponibilidad de imágenes aptas durante la temporada seca (enero-marzo) y reducción progresiva hacia la temporada de lluvias (abril-junio).</w:t>
      </w:r>
    </w:p>
    <w:p w14:paraId="76211491" w14:textId="77777777" w:rsidR="009B5BC2" w:rsidRDefault="009B5BC2" w:rsidP="009B5BC2">
      <w:pPr>
        <w:spacing w:before="60" w:after="60"/>
      </w:pPr>
    </w:p>
    <w:p w14:paraId="6E1EF1C3" w14:textId="77777777" w:rsidR="009B5BC2" w:rsidRDefault="009B5BC2" w:rsidP="009B5BC2">
      <w:pPr>
        <w:pStyle w:val="Heading2"/>
      </w:pPr>
      <w:bookmarkStart w:id="12" w:name="_Toc231397031"/>
      <w:r>
        <w:rPr>
          <w:rFonts w:ascii="Arial" w:eastAsia="Arial" w:hAnsi="Arial" w:cs="Arial"/>
          <w:b/>
          <w:bCs/>
          <w:color w:val="2E6DA4"/>
          <w:sz w:val="24"/>
          <w:szCs w:val="24"/>
        </w:rPr>
        <w:t>5.3 Estadísticas de nubosidad en escenas aptas</w:t>
      </w:r>
      <w:bookmarkEnd w:id="12"/>
    </w:p>
    <w:p w14:paraId="342DC60B"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08"/>
        <w:gridCol w:w="2410"/>
      </w:tblGrid>
      <w:tr w:rsidR="009B5BC2" w14:paraId="3647388F" w14:textId="77777777" w:rsidTr="00702A69">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5B1365BE" w14:textId="77777777" w:rsidR="009B5BC2" w:rsidRDefault="009B5BC2" w:rsidP="00702A69">
            <w:pPr>
              <w:jc w:val="center"/>
            </w:pPr>
            <w:r>
              <w:rPr>
                <w:b/>
                <w:bCs/>
                <w:color w:val="FFFFFF"/>
                <w:sz w:val="20"/>
                <w:szCs w:val="20"/>
              </w:rPr>
              <w:t>Parcela</w:t>
            </w:r>
          </w:p>
        </w:tc>
        <w:tc>
          <w:tcPr>
            <w:tcW w:w="240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2330A62" w14:textId="77777777" w:rsidR="009B5BC2" w:rsidRDefault="009B5BC2" w:rsidP="00702A69">
            <w:pPr>
              <w:jc w:val="center"/>
            </w:pPr>
            <w:r>
              <w:rPr>
                <w:b/>
                <w:bCs/>
                <w:color w:val="FFFFFF"/>
                <w:sz w:val="20"/>
                <w:szCs w:val="20"/>
              </w:rPr>
              <w:t>Promedio cloud_cover</w:t>
            </w:r>
          </w:p>
        </w:tc>
        <w:tc>
          <w:tcPr>
            <w:tcW w:w="240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4B221BB5" w14:textId="77777777" w:rsidR="009B5BC2" w:rsidRDefault="009B5BC2" w:rsidP="00702A69">
            <w:pPr>
              <w:jc w:val="center"/>
            </w:pPr>
            <w:r>
              <w:rPr>
                <w:b/>
                <w:bCs/>
                <w:color w:val="FFFFFF"/>
                <w:sz w:val="20"/>
                <w:szCs w:val="20"/>
              </w:rPr>
              <w:t>Mínimo</w:t>
            </w:r>
          </w:p>
        </w:tc>
        <w:tc>
          <w:tcPr>
            <w:tcW w:w="241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68DBAE1" w14:textId="77777777" w:rsidR="009B5BC2" w:rsidRDefault="009B5BC2" w:rsidP="00702A69">
            <w:pPr>
              <w:jc w:val="center"/>
            </w:pPr>
            <w:r>
              <w:rPr>
                <w:b/>
                <w:bCs/>
                <w:color w:val="FFFFFF"/>
                <w:sz w:val="20"/>
                <w:szCs w:val="20"/>
              </w:rPr>
              <w:t>Máximo</w:t>
            </w:r>
          </w:p>
        </w:tc>
      </w:tr>
      <w:tr w:rsidR="009B5BC2" w14:paraId="546A9A31"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51924D" w14:textId="77777777" w:rsidR="009B5BC2" w:rsidRDefault="009B5BC2" w:rsidP="00702A69">
            <w:r>
              <w:rPr>
                <w:sz w:val="20"/>
                <w:szCs w:val="20"/>
              </w:rPr>
              <w:t>211</w:t>
            </w:r>
          </w:p>
        </w:tc>
        <w:tc>
          <w:tcPr>
            <w:tcW w:w="24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667156" w14:textId="77777777" w:rsidR="009B5BC2" w:rsidRDefault="009B5BC2" w:rsidP="00702A69">
            <w:r>
              <w:rPr>
                <w:sz w:val="20"/>
                <w:szCs w:val="20"/>
              </w:rPr>
              <w:t>4.7%</w:t>
            </w:r>
          </w:p>
        </w:tc>
        <w:tc>
          <w:tcPr>
            <w:tcW w:w="24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16B028" w14:textId="77777777" w:rsidR="009B5BC2" w:rsidRDefault="009B5BC2" w:rsidP="00702A69">
            <w:r>
              <w:rPr>
                <w:sz w:val="20"/>
                <w:szCs w:val="20"/>
              </w:rPr>
              <w:t>0.04%</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70C60C" w14:textId="77777777" w:rsidR="009B5BC2" w:rsidRDefault="009B5BC2" w:rsidP="00702A69">
            <w:r>
              <w:rPr>
                <w:sz w:val="20"/>
                <w:szCs w:val="20"/>
              </w:rPr>
              <w:t>18.08%</w:t>
            </w:r>
          </w:p>
        </w:tc>
      </w:tr>
      <w:tr w:rsidR="009B5BC2" w14:paraId="1D1C5C1B"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2FEE" w14:textId="77777777" w:rsidR="009B5BC2" w:rsidRDefault="009B5BC2" w:rsidP="00702A69">
            <w:r>
              <w:rPr>
                <w:sz w:val="20"/>
                <w:szCs w:val="20"/>
              </w:rPr>
              <w:t>217</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870A" w14:textId="77777777" w:rsidR="009B5BC2" w:rsidRDefault="009B5BC2" w:rsidP="00702A69">
            <w:r>
              <w:rPr>
                <w:sz w:val="20"/>
                <w:szCs w:val="20"/>
              </w:rPr>
              <w:t>8.3%</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272B5" w14:textId="77777777" w:rsidR="009B5BC2" w:rsidRDefault="009B5BC2" w:rsidP="00702A69">
            <w:r>
              <w:rPr>
                <w:sz w:val="20"/>
                <w:szCs w:val="20"/>
              </w:rPr>
              <w:t>0.18%</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6F0E" w14:textId="77777777" w:rsidR="009B5BC2" w:rsidRDefault="009B5BC2" w:rsidP="00702A69">
            <w:r>
              <w:rPr>
                <w:sz w:val="20"/>
                <w:szCs w:val="20"/>
              </w:rPr>
              <w:t>19.87%</w:t>
            </w:r>
          </w:p>
        </w:tc>
      </w:tr>
      <w:tr w:rsidR="009B5BC2" w14:paraId="7E3619B8" w14:textId="77777777" w:rsidTr="00702A69">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06407D" w14:textId="77777777" w:rsidR="009B5BC2" w:rsidRDefault="009B5BC2" w:rsidP="00702A69">
            <w:r>
              <w:rPr>
                <w:sz w:val="20"/>
                <w:szCs w:val="20"/>
              </w:rPr>
              <w:lastRenderedPageBreak/>
              <w:t>85</w:t>
            </w:r>
          </w:p>
        </w:tc>
        <w:tc>
          <w:tcPr>
            <w:tcW w:w="24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E4DC97" w14:textId="77777777" w:rsidR="009B5BC2" w:rsidRDefault="009B5BC2" w:rsidP="00702A69">
            <w:r>
              <w:rPr>
                <w:sz w:val="20"/>
                <w:szCs w:val="20"/>
              </w:rPr>
              <w:t>5.1%</w:t>
            </w:r>
          </w:p>
        </w:tc>
        <w:tc>
          <w:tcPr>
            <w:tcW w:w="24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EF7D40" w14:textId="77777777" w:rsidR="009B5BC2" w:rsidRDefault="009B5BC2" w:rsidP="00702A69">
            <w:r>
              <w:rPr>
                <w:sz w:val="20"/>
                <w:szCs w:val="20"/>
              </w:rPr>
              <w:t>0.02%</w:t>
            </w:r>
          </w:p>
        </w:tc>
        <w:tc>
          <w:tcPr>
            <w:tcW w:w="241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A4C568" w14:textId="77777777" w:rsidR="009B5BC2" w:rsidRDefault="009B5BC2" w:rsidP="00702A69">
            <w:r>
              <w:rPr>
                <w:sz w:val="20"/>
                <w:szCs w:val="20"/>
              </w:rPr>
              <w:t>19.92%</w:t>
            </w:r>
          </w:p>
        </w:tc>
      </w:tr>
    </w:tbl>
    <w:p w14:paraId="7C859A1B" w14:textId="77777777" w:rsidR="009B5BC2" w:rsidRDefault="009B5BC2" w:rsidP="009B5BC2">
      <w:pPr>
        <w:spacing w:before="60" w:after="60"/>
      </w:pPr>
    </w:p>
    <w:p w14:paraId="2C75FE2A" w14:textId="77777777" w:rsidR="009B5BC2" w:rsidRDefault="009B5BC2" w:rsidP="009B5BC2">
      <w:pPr>
        <w:pStyle w:val="Heading2"/>
      </w:pPr>
      <w:bookmarkStart w:id="13" w:name="_Toc231397032"/>
      <w:r>
        <w:rPr>
          <w:rFonts w:ascii="Arial" w:eastAsia="Arial" w:hAnsi="Arial" w:cs="Arial"/>
          <w:b/>
          <w:bCs/>
          <w:color w:val="2E6DA4"/>
          <w:sz w:val="24"/>
          <w:szCs w:val="24"/>
        </w:rPr>
        <w:t>5.4 Criterio de filtrado — justificación</w:t>
      </w:r>
      <w:bookmarkEnd w:id="13"/>
    </w:p>
    <w:p w14:paraId="45A44A94" w14:textId="77777777" w:rsidR="009B5BC2" w:rsidRDefault="009B5BC2" w:rsidP="009B5BC2">
      <w:pPr>
        <w:spacing w:before="80" w:after="80" w:line="276" w:lineRule="auto"/>
        <w:jc w:val="both"/>
      </w:pPr>
      <w:r>
        <w:t>El umbral de nubosidad fue establecido en cloud_cover ≤ 20%, en lugar del criterio estándar de 10-15% empleado en zonas templadas. Esta decisión se fundamenta en las características climáticas de la zona tropical del estado Guárico, donde la frecuencia de cobertura nubosa es significativamente mayor. La aplicación del criterio estándar reduciría la disponibilidad de imágenes aptas a niveles insuficientes para el análisis temporal del cultivo. El umbral adoptado fue validado empíricamente sobre las tres parcelas de referencia del SRRG, demostrando un equilibrio adecuado entre calidad de imagen y disponibilidad de datos.</w:t>
      </w:r>
    </w:p>
    <w:p w14:paraId="4ACDE7E2" w14:textId="77777777" w:rsidR="009B5BC2" w:rsidRDefault="009B5BC2" w:rsidP="009B5BC2">
      <w:pPr>
        <w:spacing w:before="60" w:after="60"/>
      </w:pPr>
    </w:p>
    <w:p w14:paraId="584593F4" w14:textId="77777777" w:rsidR="009B5BC2" w:rsidRDefault="009B5BC2" w:rsidP="009B5BC2">
      <w:pPr>
        <w:pStyle w:val="Heading1"/>
      </w:pPr>
      <w:bookmarkStart w:id="14" w:name="_Toc231397033"/>
      <w:r>
        <w:rPr>
          <w:rFonts w:ascii="Arial" w:eastAsia="Arial" w:hAnsi="Arial" w:cs="Arial"/>
          <w:b/>
          <w:bCs/>
          <w:color w:val="1A3A5C"/>
          <w:sz w:val="28"/>
          <w:szCs w:val="28"/>
        </w:rPr>
        <w:t>6. Resultados de Tests de Integración</w:t>
      </w:r>
      <w:bookmarkEnd w:id="14"/>
    </w:p>
    <w:p w14:paraId="0049E318" w14:textId="77777777" w:rsidR="009B5BC2" w:rsidRDefault="009B5BC2" w:rsidP="009B5BC2">
      <w:pPr>
        <w:spacing w:before="80" w:after="80" w:line="276" w:lineRule="auto"/>
        <w:jc w:val="both"/>
      </w:pPr>
      <w:r>
        <w:t>Se ejecutaron cuatro tests de integración sobre datos reales de la Parcela 211 del SRRG, verificando el comportamiento del sistema contra las APIs de Copernicus DataSpace:</w:t>
      </w:r>
    </w:p>
    <w:p w14:paraId="2D99AEF7"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26"/>
        <w:gridCol w:w="2800"/>
        <w:gridCol w:w="1600"/>
      </w:tblGrid>
      <w:tr w:rsidR="009B5BC2" w14:paraId="69B5423F" w14:textId="77777777" w:rsidTr="00702A69">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BDA09C1" w14:textId="77777777" w:rsidR="009B5BC2" w:rsidRDefault="009B5BC2" w:rsidP="00702A69">
            <w:pPr>
              <w:jc w:val="center"/>
            </w:pPr>
            <w:r>
              <w:rPr>
                <w:b/>
                <w:bCs/>
                <w:color w:val="FFFFFF"/>
                <w:sz w:val="20"/>
                <w:szCs w:val="20"/>
              </w:rPr>
              <w:t>Test</w:t>
            </w:r>
          </w:p>
        </w:tc>
        <w:tc>
          <w:tcPr>
            <w:tcW w:w="20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6B51909" w14:textId="77777777" w:rsidR="009B5BC2" w:rsidRDefault="009B5BC2" w:rsidP="00702A69">
            <w:pPr>
              <w:jc w:val="center"/>
            </w:pPr>
            <w:r>
              <w:rPr>
                <w:b/>
                <w:bCs/>
                <w:color w:val="FFFFFF"/>
                <w:sz w:val="20"/>
                <w:szCs w:val="20"/>
              </w:rPr>
              <w:t>Entrada</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C8E6C14" w14:textId="77777777" w:rsidR="009B5BC2" w:rsidRDefault="009B5BC2" w:rsidP="00702A69">
            <w:pPr>
              <w:jc w:val="center"/>
            </w:pPr>
            <w:r>
              <w:rPr>
                <w:b/>
                <w:bCs/>
                <w:color w:val="FFFFFF"/>
                <w:sz w:val="20"/>
                <w:szCs w:val="20"/>
              </w:rPr>
              <w:t>Resultado obtenido</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ED4EDD8" w14:textId="77777777" w:rsidR="009B5BC2" w:rsidRDefault="009B5BC2" w:rsidP="00702A69">
            <w:pPr>
              <w:jc w:val="center"/>
            </w:pPr>
            <w:r>
              <w:rPr>
                <w:b/>
                <w:bCs/>
                <w:color w:val="FFFFFF"/>
                <w:sz w:val="20"/>
                <w:szCs w:val="20"/>
              </w:rPr>
              <w:t>Estado</w:t>
            </w:r>
          </w:p>
        </w:tc>
      </w:tr>
      <w:tr w:rsidR="009B5BC2" w14:paraId="5C55B6F2"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BB4F5D" w14:textId="77777777" w:rsidR="009B5BC2" w:rsidRDefault="009B5BC2" w:rsidP="00702A69">
            <w:r>
              <w:rPr>
                <w:sz w:val="20"/>
                <w:szCs w:val="20"/>
              </w:rPr>
              <w:t>test_get_available_dates</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E092E1" w14:textId="77777777" w:rsidR="009B5BC2" w:rsidRDefault="009B5BC2" w:rsidP="00702A69">
            <w:r>
              <w:rPr>
                <w:sz w:val="20"/>
                <w:szCs w:val="20"/>
              </w:rPr>
              <w:t>Parcela 211, 2024-2025</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6F9163" w14:textId="77777777" w:rsidR="009B5BC2" w:rsidRDefault="009B5BC2" w:rsidP="00702A69">
            <w:r>
              <w:rPr>
                <w:sz w:val="20"/>
                <w:szCs w:val="20"/>
              </w:rPr>
              <w:t>28 fechas aptas, cloud_cover ≤ 20%, unicidad verificada</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296006" w14:textId="77777777" w:rsidR="009B5BC2" w:rsidRDefault="009B5BC2" w:rsidP="00702A69">
            <w:pPr>
              <w:jc w:val="center"/>
            </w:pPr>
            <w:r>
              <w:rPr>
                <w:b/>
                <w:bCs/>
                <w:color w:val="2E7D32"/>
                <w:sz w:val="20"/>
                <w:szCs w:val="20"/>
              </w:rPr>
              <w:t>✅</w:t>
            </w:r>
          </w:p>
        </w:tc>
      </w:tr>
      <w:tr w:rsidR="009B5BC2" w14:paraId="4CC6BF01"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49EA" w14:textId="77777777" w:rsidR="009B5BC2" w:rsidRDefault="009B5BC2" w:rsidP="00702A69">
            <w:r>
              <w:rPr>
                <w:sz w:val="20"/>
                <w:szCs w:val="20"/>
              </w:rPr>
              <w:t>test_acquire_bands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7457" w14:textId="77777777" w:rsidR="009B5BC2" w:rsidRDefault="009B5BC2" w:rsidP="00702A69">
            <w:r>
              <w:rPr>
                <w:sz w:val="20"/>
                <w:szCs w:val="20"/>
              </w:rPr>
              <w:t>Parcela 211, 2025-01-23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421BF" w14:textId="77777777" w:rsidR="009B5BC2" w:rsidRDefault="009B5BC2" w:rsidP="00702A69">
            <w:r>
              <w:rPr>
                <w:sz w:val="20"/>
                <w:szCs w:val="20"/>
              </w:rPr>
              <w:t>B04 (~25 KB) + B08 (~25 KB) descargadas y persistidas en 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F64B1" w14:textId="77777777" w:rsidR="009B5BC2" w:rsidRDefault="009B5BC2" w:rsidP="00702A69">
            <w:pPr>
              <w:jc w:val="center"/>
            </w:pPr>
            <w:r>
              <w:rPr>
                <w:b/>
                <w:bCs/>
                <w:color w:val="2E7D32"/>
                <w:sz w:val="20"/>
                <w:szCs w:val="20"/>
              </w:rPr>
              <w:t>✅</w:t>
            </w:r>
          </w:p>
        </w:tc>
      </w:tr>
      <w:tr w:rsidR="009B5BC2" w14:paraId="73FF0FC4"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9A67FF" w14:textId="77777777" w:rsidR="009B5BC2" w:rsidRDefault="009B5BC2" w:rsidP="00702A69">
            <w:r>
              <w:rPr>
                <w:sz w:val="20"/>
                <w:szCs w:val="20"/>
              </w:rPr>
              <w:t>test_download_ndvi</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948B49" w14:textId="77777777" w:rsidR="009B5BC2" w:rsidRDefault="009B5BC2" w:rsidP="00702A69">
            <w:r>
              <w:rPr>
                <w:sz w:val="20"/>
                <w:szCs w:val="20"/>
              </w:rPr>
              <w:t>Parcela 211, 2025-01-23</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B04DB5" w14:textId="77777777" w:rsidR="009B5BC2" w:rsidRDefault="009B5BC2" w:rsidP="00702A69">
            <w:r>
              <w:rPr>
                <w:sz w:val="20"/>
                <w:szCs w:val="20"/>
              </w:rPr>
              <w:t>NDVI calculado en Sentinel Hub, valores en rango [-1, 1]</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A1D897" w14:textId="77777777" w:rsidR="009B5BC2" w:rsidRDefault="009B5BC2" w:rsidP="00702A69">
            <w:pPr>
              <w:jc w:val="center"/>
            </w:pPr>
            <w:r>
              <w:rPr>
                <w:b/>
                <w:bCs/>
                <w:color w:val="2E7D32"/>
                <w:sz w:val="20"/>
                <w:szCs w:val="20"/>
              </w:rPr>
              <w:t>✅</w:t>
            </w:r>
          </w:p>
        </w:tc>
      </w:tr>
      <w:tr w:rsidR="009B5BC2" w14:paraId="6683EB10" w14:textId="77777777" w:rsidTr="00702A6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CB63C" w14:textId="77777777" w:rsidR="009B5BC2" w:rsidRDefault="009B5BC2" w:rsidP="00702A69">
            <w:r>
              <w:rPr>
                <w:sz w:val="20"/>
                <w:szCs w:val="20"/>
              </w:rPr>
              <w:t>test_check_availability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E227" w14:textId="77777777" w:rsidR="009B5BC2" w:rsidRDefault="009B5BC2" w:rsidP="00702A69">
            <w:r>
              <w:rPr>
                <w:sz w:val="20"/>
                <w:szCs w:val="20"/>
              </w:rPr>
              <w:t>Parcela 211, rango temporal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E184" w14:textId="77777777" w:rsidR="009B5BC2" w:rsidRDefault="009B5BC2" w:rsidP="00702A69">
            <w:r>
              <w:rPr>
                <w:sz w:val="20"/>
                <w:szCs w:val="20"/>
              </w:rPr>
              <w:t>Flag available: true, respuesta estructurada validada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73548" w14:textId="77777777" w:rsidR="009B5BC2" w:rsidRDefault="009B5BC2" w:rsidP="00702A69">
            <w:pPr>
              <w:jc w:val="center"/>
            </w:pPr>
            <w:r>
              <w:rPr>
                <w:b/>
                <w:bCs/>
                <w:color w:val="2E7D32"/>
                <w:sz w:val="20"/>
                <w:szCs w:val="20"/>
              </w:rPr>
              <w:t>✅</w:t>
            </w:r>
          </w:p>
        </w:tc>
      </w:tr>
    </w:tbl>
    <w:p w14:paraId="6DDDB1D5" w14:textId="77777777" w:rsidR="009B5BC2" w:rsidRDefault="009B5BC2" w:rsidP="009B5BC2">
      <w:pPr>
        <w:spacing w:before="60" w:after="60"/>
      </w:pPr>
    </w:p>
    <w:p w14:paraId="6CFC1D3B" w14:textId="77777777" w:rsidR="009B5BC2" w:rsidRDefault="009B5BC2" w:rsidP="009B5BC2">
      <w:pPr>
        <w:pStyle w:val="Heading1"/>
      </w:pPr>
      <w:bookmarkStart w:id="15" w:name="_Toc231397034"/>
      <w:r>
        <w:rPr>
          <w:rFonts w:ascii="Arial" w:eastAsia="Arial" w:hAnsi="Arial" w:cs="Arial"/>
          <w:b/>
          <w:bCs/>
          <w:color w:val="1A3A5C"/>
          <w:sz w:val="28"/>
          <w:szCs w:val="28"/>
        </w:rPr>
        <w:t>7. Parcelas de Referencia — SRRG</w:t>
      </w:r>
      <w:bookmarkEnd w:id="15"/>
    </w:p>
    <w:p w14:paraId="1EFA4D02" w14:textId="77777777" w:rsidR="009B5BC2" w:rsidRDefault="009B5BC2" w:rsidP="009B5BC2">
      <w:pPr>
        <w:spacing w:before="80" w:after="80" w:line="276" w:lineRule="auto"/>
        <w:jc w:val="both"/>
      </w:pPr>
      <w:r>
        <w:t>La validación del OE1 fue realizada sobre las siguientes parcelas históricas del Sistema de Riego Río Guárico (SRRG), Calabozo, estado Guárico, Venezuela:</w:t>
      </w:r>
    </w:p>
    <w:p w14:paraId="036900D9" w14:textId="77777777" w:rsidR="009B5BC2" w:rsidRDefault="009B5BC2" w:rsidP="009B5BC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26"/>
        <w:gridCol w:w="2200"/>
        <w:gridCol w:w="1600"/>
        <w:gridCol w:w="2200"/>
      </w:tblGrid>
      <w:tr w:rsidR="009B5BC2" w14:paraId="41227E48" w14:textId="77777777" w:rsidTr="00702A69">
        <w:tc>
          <w:tcPr>
            <w:tcW w:w="1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E52445E" w14:textId="77777777" w:rsidR="009B5BC2" w:rsidRDefault="009B5BC2" w:rsidP="00702A69">
            <w:pPr>
              <w:jc w:val="center"/>
            </w:pPr>
            <w:r>
              <w:rPr>
                <w:b/>
                <w:bCs/>
                <w:color w:val="FFFFFF"/>
                <w:sz w:val="20"/>
                <w:szCs w:val="20"/>
              </w:rPr>
              <w:t>Parcela</w:t>
            </w:r>
          </w:p>
        </w:tc>
        <w:tc>
          <w:tcPr>
            <w:tcW w:w="202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515CB8C" w14:textId="77777777" w:rsidR="009B5BC2" w:rsidRDefault="009B5BC2" w:rsidP="00702A69">
            <w:pPr>
              <w:jc w:val="center"/>
            </w:pPr>
            <w:r>
              <w:rPr>
                <w:b/>
                <w:bCs/>
                <w:color w:val="FFFFFF"/>
                <w:sz w:val="20"/>
                <w:szCs w:val="20"/>
              </w:rPr>
              <w:t>Período</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102EAE60" w14:textId="77777777" w:rsidR="009B5BC2" w:rsidRDefault="009B5BC2" w:rsidP="00702A69">
            <w:pPr>
              <w:jc w:val="center"/>
            </w:pPr>
            <w:r>
              <w:rPr>
                <w:b/>
                <w:bCs/>
                <w:color w:val="FFFFFF"/>
                <w:sz w:val="20"/>
                <w:szCs w:val="20"/>
              </w:rPr>
              <w:t>Centroide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69E45DA8" w14:textId="77777777" w:rsidR="009B5BC2" w:rsidRDefault="009B5BC2" w:rsidP="00702A69">
            <w:pPr>
              <w:jc w:val="center"/>
            </w:pPr>
            <w:r>
              <w:rPr>
                <w:b/>
                <w:bCs/>
                <w:color w:val="FFFFFF"/>
                <w:sz w:val="20"/>
                <w:szCs w:val="20"/>
              </w:rPr>
              <w:t>Fechas aptas</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vAlign w:val="center"/>
          </w:tcPr>
          <w:p w14:paraId="78E9EC7D" w14:textId="77777777" w:rsidR="009B5BC2" w:rsidRDefault="009B5BC2" w:rsidP="00702A69">
            <w:pPr>
              <w:jc w:val="center"/>
            </w:pPr>
            <w:r>
              <w:rPr>
                <w:b/>
                <w:bCs/>
                <w:color w:val="FFFFFF"/>
                <w:sz w:val="20"/>
                <w:szCs w:val="20"/>
              </w:rPr>
              <w:t>Validación</w:t>
            </w:r>
          </w:p>
        </w:tc>
      </w:tr>
      <w:tr w:rsidR="009B5BC2" w14:paraId="14281467" w14:textId="77777777" w:rsidTr="00702A69">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536832" w14:textId="77777777" w:rsidR="009B5BC2" w:rsidRDefault="009B5BC2" w:rsidP="00702A69">
            <w:r>
              <w:rPr>
                <w:sz w:val="20"/>
                <w:szCs w:val="20"/>
              </w:rPr>
              <w:t>211</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D1306A" w14:textId="77777777" w:rsidR="009B5BC2" w:rsidRDefault="009B5BC2" w:rsidP="00702A69">
            <w:r>
              <w:rPr>
                <w:sz w:val="20"/>
                <w:szCs w:val="20"/>
              </w:rPr>
              <w:t>2024-2025</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3B1BB7" w14:textId="77777777" w:rsidR="009B5BC2" w:rsidRDefault="009B5BC2" w:rsidP="00702A69">
            <w:r>
              <w:rPr>
                <w:sz w:val="20"/>
                <w:szCs w:val="20"/>
              </w:rPr>
              <w:t>−67.519°, 8.844° (WGS84)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A300B6" w14:textId="77777777" w:rsidR="009B5BC2" w:rsidRDefault="009B5BC2" w:rsidP="00702A69">
            <w:r>
              <w:rPr>
                <w:sz w:val="20"/>
                <w:szCs w:val="20"/>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5F4006" w14:textId="77777777" w:rsidR="009B5BC2" w:rsidRDefault="009B5BC2" w:rsidP="00702A69">
            <w:pPr>
              <w:jc w:val="center"/>
            </w:pPr>
            <w:r>
              <w:rPr>
                <w:b/>
                <w:bCs/>
                <w:color w:val="2E7D32"/>
                <w:sz w:val="20"/>
                <w:szCs w:val="20"/>
              </w:rPr>
              <w:t>✅ Principal</w:t>
            </w:r>
          </w:p>
        </w:tc>
      </w:tr>
      <w:tr w:rsidR="009B5BC2" w14:paraId="686442BE" w14:textId="77777777" w:rsidTr="00702A69">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36E4F" w14:textId="77777777" w:rsidR="009B5BC2" w:rsidRDefault="009B5BC2" w:rsidP="00702A69">
            <w:r>
              <w:rPr>
                <w:sz w:val="20"/>
                <w:szCs w:val="20"/>
              </w:rPr>
              <w:t>217</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C40F" w14:textId="77777777" w:rsidR="009B5BC2" w:rsidRDefault="009B5BC2" w:rsidP="00702A69">
            <w:r>
              <w:rPr>
                <w:sz w:val="20"/>
                <w:szCs w:val="20"/>
              </w:rPr>
              <w:t>Invierno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5ADA" w14:textId="77777777" w:rsidR="009B5BC2" w:rsidRDefault="009B5BC2" w:rsidP="00702A69">
            <w:r>
              <w:rPr>
                <w:sz w:val="20"/>
                <w:szCs w:val="20"/>
              </w:rPr>
              <w:t>−67.531°, 8.806° (WGS84)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32A26" w14:textId="77777777" w:rsidR="009B5BC2" w:rsidRDefault="009B5BC2" w:rsidP="00702A69">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BC30" w14:textId="77777777" w:rsidR="009B5BC2" w:rsidRDefault="009B5BC2" w:rsidP="00702A69">
            <w:pPr>
              <w:jc w:val="center"/>
            </w:pPr>
            <w:r>
              <w:rPr>
                <w:b/>
                <w:bCs/>
                <w:color w:val="2E7D32"/>
                <w:sz w:val="20"/>
                <w:szCs w:val="20"/>
              </w:rPr>
              <w:t>✅ Referencia</w:t>
            </w:r>
          </w:p>
        </w:tc>
      </w:tr>
      <w:tr w:rsidR="009B5BC2" w14:paraId="1436A23F" w14:textId="77777777" w:rsidTr="00702A69">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6173E6" w14:textId="77777777" w:rsidR="009B5BC2" w:rsidRDefault="009B5BC2" w:rsidP="00702A69">
            <w:r>
              <w:rPr>
                <w:sz w:val="20"/>
                <w:szCs w:val="20"/>
              </w:rPr>
              <w:t>85</w:t>
            </w:r>
          </w:p>
        </w:tc>
        <w:tc>
          <w:tcPr>
            <w:tcW w:w="2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A82894" w14:textId="77777777" w:rsidR="009B5BC2" w:rsidRDefault="009B5BC2" w:rsidP="00702A69">
            <w:r>
              <w:rPr>
                <w:sz w:val="20"/>
                <w:szCs w:val="20"/>
              </w:rPr>
              <w:t>2025-2026</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29906F" w14:textId="77777777" w:rsidR="009B5BC2" w:rsidRDefault="009B5BC2" w:rsidP="00702A69">
            <w:r>
              <w:rPr>
                <w:sz w:val="20"/>
                <w:szCs w:val="20"/>
              </w:rPr>
              <w:t>−67.588°, 8.858° (WGS84)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969D8F" w14:textId="77777777" w:rsidR="009B5BC2" w:rsidRDefault="009B5BC2" w:rsidP="00702A69">
            <w:r>
              <w:rPr>
                <w:sz w:val="20"/>
                <w:szCs w:val="20"/>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274960" w14:textId="77777777" w:rsidR="009B5BC2" w:rsidRDefault="009B5BC2" w:rsidP="00702A69">
            <w:pPr>
              <w:jc w:val="center"/>
            </w:pPr>
            <w:r>
              <w:rPr>
                <w:b/>
                <w:bCs/>
                <w:color w:val="2E7D32"/>
                <w:sz w:val="20"/>
                <w:szCs w:val="20"/>
              </w:rPr>
              <w:t>✅ Referencia</w:t>
            </w:r>
          </w:p>
        </w:tc>
      </w:tr>
    </w:tbl>
    <w:p w14:paraId="0EFB1179" w14:textId="77777777" w:rsidR="009B5BC2" w:rsidRDefault="009B5BC2" w:rsidP="009B5BC2">
      <w:pPr>
        <w:spacing w:before="60" w:after="60"/>
      </w:pPr>
    </w:p>
    <w:p w14:paraId="50DA067A" w14:textId="77777777" w:rsidR="009B5BC2" w:rsidRDefault="009B5BC2" w:rsidP="009B5BC2">
      <w:pPr>
        <w:pStyle w:val="Heading1"/>
      </w:pPr>
      <w:bookmarkStart w:id="16" w:name="_Toc231397035"/>
      <w:r>
        <w:rPr>
          <w:rFonts w:ascii="Arial" w:eastAsia="Arial" w:hAnsi="Arial" w:cs="Arial"/>
          <w:b/>
          <w:bCs/>
          <w:color w:val="1A3A5C"/>
          <w:sz w:val="28"/>
          <w:szCs w:val="28"/>
        </w:rPr>
        <w:lastRenderedPageBreak/>
        <w:t>8. Conclusiones</w:t>
      </w:r>
      <w:bookmarkEnd w:id="16"/>
    </w:p>
    <w:p w14:paraId="0377BF20" w14:textId="77777777" w:rsidR="009B5BC2" w:rsidRDefault="009B5BC2" w:rsidP="009B5BC2">
      <w:pPr>
        <w:spacing w:before="60" w:after="60"/>
      </w:pPr>
    </w:p>
    <w:p w14:paraId="23EBEAB8" w14:textId="77777777" w:rsidR="009B5BC2" w:rsidRDefault="009B5BC2" w:rsidP="009B5BC2">
      <w:pPr>
        <w:pStyle w:val="ListParagraph"/>
        <w:numPr>
          <w:ilvl w:val="0"/>
          <w:numId w:val="2"/>
        </w:numPr>
        <w:spacing w:before="60" w:after="60"/>
        <w:contextualSpacing w:val="0"/>
      </w:pPr>
      <w:r>
        <w:t>La integración con el STAC API de Copernicus DataSpace permite identificar eficientemente las escenas Sentinel-2 aptas para el análisis, sin requerir autenticación y con tiempos de respuesta adecuados para la interacción en tiempo real con el usuario.</w:t>
      </w:r>
    </w:p>
    <w:p w14:paraId="2C98623F" w14:textId="77777777" w:rsidR="009B5BC2" w:rsidRDefault="009B5BC2" w:rsidP="009B5BC2">
      <w:pPr>
        <w:pStyle w:val="ListParagraph"/>
        <w:numPr>
          <w:ilvl w:val="0"/>
          <w:numId w:val="2"/>
        </w:numPr>
        <w:spacing w:before="60" w:after="60"/>
        <w:contextualSpacing w:val="0"/>
      </w:pPr>
      <w:r>
        <w:t>El criterio de filtrado por cobertura de nubosidad (cloud_cover ≤ 20%) opera de forma transparente al usuario. De un total de 1.398 días consultados sobre tres parcelas del SRRG, se identificaron 64 fechas aptas, confirmando la disponibilidad suficiente de datos para el análisis temporal del cultivo de arroz.</w:t>
      </w:r>
    </w:p>
    <w:p w14:paraId="6CFDD6B6" w14:textId="77777777" w:rsidR="009B5BC2" w:rsidRDefault="009B5BC2" w:rsidP="009B5BC2">
      <w:pPr>
        <w:pStyle w:val="ListParagraph"/>
        <w:numPr>
          <w:ilvl w:val="0"/>
          <w:numId w:val="2"/>
        </w:numPr>
        <w:spacing w:before="60" w:after="60"/>
        <w:contextualSpacing w:val="0"/>
      </w:pPr>
      <w:r>
        <w:t>La distribución mensual de las fechas aptas es coherente con el régimen climático de la zona tropical del Guárico, con mayor concentración de imágenes útiles durante la temporada seca (enero-marzo).</w:t>
      </w:r>
    </w:p>
    <w:p w14:paraId="6122FD6D" w14:textId="77777777" w:rsidR="009B5BC2" w:rsidRDefault="009B5BC2" w:rsidP="009B5BC2">
      <w:pPr>
        <w:pStyle w:val="ListParagraph"/>
        <w:numPr>
          <w:ilvl w:val="0"/>
          <w:numId w:val="2"/>
        </w:numPr>
        <w:spacing w:before="60" w:after="60"/>
        <w:contextualSpacing w:val="0"/>
      </w:pPr>
      <w:r>
        <w:t>Las bandas espectrales B04 y B08 del producto L2A quedan correctamente adquiridas y persistidas en la base de datos, habilitando el procesamiento definido en el OE2.</w:t>
      </w:r>
    </w:p>
    <w:p w14:paraId="16611B70" w14:textId="77777777" w:rsidR="009B5BC2" w:rsidRDefault="009B5BC2" w:rsidP="009B5BC2">
      <w:pPr>
        <w:pStyle w:val="ListParagraph"/>
        <w:numPr>
          <w:ilvl w:val="0"/>
          <w:numId w:val="2"/>
        </w:numPr>
        <w:spacing w:before="60" w:after="60"/>
        <w:contextualSpacing w:val="0"/>
      </w:pPr>
      <w:r>
        <w:t>La interfaz de usuario implementa el flujo completo de forma intuitiva y sin exposición de términos técnicos, accesible desde dispositivos móviles y de escritorio.</w:t>
      </w:r>
    </w:p>
    <w:p w14:paraId="26664D30" w14:textId="77777777" w:rsidR="009B5BC2" w:rsidRDefault="009B5BC2" w:rsidP="009B5BC2">
      <w:pPr>
        <w:spacing w:before="60" w:after="60"/>
      </w:pPr>
    </w:p>
    <w:p w14:paraId="34C4C74C" w14:textId="77777777" w:rsidR="002904C7" w:rsidRDefault="002904C7"/>
    <w:sectPr w:rsidR="002904C7" w:rsidSect="009B5B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B2599"/>
    <w:multiLevelType w:val="hybridMultilevel"/>
    <w:tmpl w:val="173804B6"/>
    <w:lvl w:ilvl="0" w:tplc="028E495E">
      <w:start w:val="1"/>
      <w:numFmt w:val="decimal"/>
      <w:lvlText w:val="%1."/>
      <w:lvlJc w:val="left"/>
      <w:pPr>
        <w:ind w:left="720" w:hanging="360"/>
      </w:pPr>
    </w:lvl>
    <w:lvl w:ilvl="1" w:tplc="221E2868">
      <w:numFmt w:val="decimal"/>
      <w:lvlText w:val=""/>
      <w:lvlJc w:val="left"/>
    </w:lvl>
    <w:lvl w:ilvl="2" w:tplc="607CD2DA">
      <w:numFmt w:val="decimal"/>
      <w:lvlText w:val=""/>
      <w:lvlJc w:val="left"/>
    </w:lvl>
    <w:lvl w:ilvl="3" w:tplc="73589550">
      <w:numFmt w:val="decimal"/>
      <w:lvlText w:val=""/>
      <w:lvlJc w:val="left"/>
    </w:lvl>
    <w:lvl w:ilvl="4" w:tplc="AB8A6840">
      <w:numFmt w:val="decimal"/>
      <w:lvlText w:val=""/>
      <w:lvlJc w:val="left"/>
    </w:lvl>
    <w:lvl w:ilvl="5" w:tplc="C0389FCC">
      <w:numFmt w:val="decimal"/>
      <w:lvlText w:val=""/>
      <w:lvlJc w:val="left"/>
    </w:lvl>
    <w:lvl w:ilvl="6" w:tplc="D92E5556">
      <w:numFmt w:val="decimal"/>
      <w:lvlText w:val=""/>
      <w:lvlJc w:val="left"/>
    </w:lvl>
    <w:lvl w:ilvl="7" w:tplc="523C5A12">
      <w:numFmt w:val="decimal"/>
      <w:lvlText w:val=""/>
      <w:lvlJc w:val="left"/>
    </w:lvl>
    <w:lvl w:ilvl="8" w:tplc="EE6ADFF6">
      <w:numFmt w:val="decimal"/>
      <w:lvlText w:val=""/>
      <w:lvlJc w:val="left"/>
    </w:lvl>
  </w:abstractNum>
  <w:abstractNum w:abstractNumId="1" w15:restartNumberingAfterBreak="0">
    <w:nsid w:val="56F831D1"/>
    <w:multiLevelType w:val="hybridMultilevel"/>
    <w:tmpl w:val="BF9EA3FC"/>
    <w:lvl w:ilvl="0" w:tplc="99C23C94">
      <w:start w:val="1"/>
      <w:numFmt w:val="bullet"/>
      <w:lvlText w:val="•"/>
      <w:lvlJc w:val="left"/>
      <w:pPr>
        <w:ind w:left="720" w:hanging="360"/>
      </w:pPr>
    </w:lvl>
    <w:lvl w:ilvl="1" w:tplc="6DFCE7FC">
      <w:numFmt w:val="decimal"/>
      <w:lvlText w:val=""/>
      <w:lvlJc w:val="left"/>
    </w:lvl>
    <w:lvl w:ilvl="2" w:tplc="2BF24FA6">
      <w:numFmt w:val="decimal"/>
      <w:lvlText w:val=""/>
      <w:lvlJc w:val="left"/>
    </w:lvl>
    <w:lvl w:ilvl="3" w:tplc="E26032C6">
      <w:numFmt w:val="decimal"/>
      <w:lvlText w:val=""/>
      <w:lvlJc w:val="left"/>
    </w:lvl>
    <w:lvl w:ilvl="4" w:tplc="38ACA368">
      <w:numFmt w:val="decimal"/>
      <w:lvlText w:val=""/>
      <w:lvlJc w:val="left"/>
    </w:lvl>
    <w:lvl w:ilvl="5" w:tplc="62F60E1C">
      <w:numFmt w:val="decimal"/>
      <w:lvlText w:val=""/>
      <w:lvlJc w:val="left"/>
    </w:lvl>
    <w:lvl w:ilvl="6" w:tplc="B00410A0">
      <w:numFmt w:val="decimal"/>
      <w:lvlText w:val=""/>
      <w:lvlJc w:val="left"/>
    </w:lvl>
    <w:lvl w:ilvl="7" w:tplc="3052299E">
      <w:numFmt w:val="decimal"/>
      <w:lvlText w:val=""/>
      <w:lvlJc w:val="left"/>
    </w:lvl>
    <w:lvl w:ilvl="8" w:tplc="1BE47B4C">
      <w:numFmt w:val="decimal"/>
      <w:lvlText w:val=""/>
      <w:lvlJc w:val="left"/>
    </w:lvl>
  </w:abstractNum>
  <w:num w:numId="1" w16cid:durableId="934247022">
    <w:abstractNumId w:val="0"/>
    <w:lvlOverride w:ilvl="0">
      <w:startOverride w:val="1"/>
    </w:lvlOverride>
  </w:num>
  <w:num w:numId="2" w16cid:durableId="2093813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C2"/>
    <w:rsid w:val="00012FF8"/>
    <w:rsid w:val="00085172"/>
    <w:rsid w:val="002904C7"/>
    <w:rsid w:val="009026A2"/>
    <w:rsid w:val="009B5BC2"/>
    <w:rsid w:val="00CE0CF0"/>
    <w:rsid w:val="00D70663"/>
    <w:rsid w:val="00FC215B"/>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A6CE176"/>
  <w15:chartTrackingRefBased/>
  <w15:docId w15:val="{FBA69EDE-8479-3B41-82EE-7DE9E10C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BC2"/>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B5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5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C2"/>
    <w:rPr>
      <w:rFonts w:eastAsiaTheme="majorEastAsia" w:cstheme="majorBidi"/>
      <w:color w:val="272727" w:themeColor="text1" w:themeTint="D8"/>
    </w:rPr>
  </w:style>
  <w:style w:type="paragraph" w:styleId="Title">
    <w:name w:val="Title"/>
    <w:basedOn w:val="Normal"/>
    <w:next w:val="Normal"/>
    <w:link w:val="TitleChar"/>
    <w:uiPriority w:val="10"/>
    <w:qFormat/>
    <w:rsid w:val="009B5B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C2"/>
    <w:pPr>
      <w:spacing w:before="160"/>
      <w:jc w:val="center"/>
    </w:pPr>
    <w:rPr>
      <w:i/>
      <w:iCs/>
      <w:color w:val="404040" w:themeColor="text1" w:themeTint="BF"/>
    </w:rPr>
  </w:style>
  <w:style w:type="character" w:customStyle="1" w:styleId="QuoteChar">
    <w:name w:val="Quote Char"/>
    <w:basedOn w:val="DefaultParagraphFont"/>
    <w:link w:val="Quote"/>
    <w:uiPriority w:val="29"/>
    <w:rsid w:val="009B5BC2"/>
    <w:rPr>
      <w:i/>
      <w:iCs/>
      <w:color w:val="404040" w:themeColor="text1" w:themeTint="BF"/>
    </w:rPr>
  </w:style>
  <w:style w:type="paragraph" w:styleId="ListParagraph">
    <w:name w:val="List Paragraph"/>
    <w:basedOn w:val="Normal"/>
    <w:qFormat/>
    <w:rsid w:val="009B5BC2"/>
    <w:pPr>
      <w:ind w:left="720"/>
      <w:contextualSpacing/>
    </w:pPr>
  </w:style>
  <w:style w:type="character" w:styleId="IntenseEmphasis">
    <w:name w:val="Intense Emphasis"/>
    <w:basedOn w:val="DefaultParagraphFont"/>
    <w:uiPriority w:val="21"/>
    <w:qFormat/>
    <w:rsid w:val="009B5BC2"/>
    <w:rPr>
      <w:i/>
      <w:iCs/>
      <w:color w:val="0F4761" w:themeColor="accent1" w:themeShade="BF"/>
    </w:rPr>
  </w:style>
  <w:style w:type="paragraph" w:styleId="IntenseQuote">
    <w:name w:val="Intense Quote"/>
    <w:basedOn w:val="Normal"/>
    <w:next w:val="Normal"/>
    <w:link w:val="IntenseQuoteChar"/>
    <w:uiPriority w:val="30"/>
    <w:qFormat/>
    <w:rsid w:val="009B5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C2"/>
    <w:rPr>
      <w:i/>
      <w:iCs/>
      <w:color w:val="0F4761" w:themeColor="accent1" w:themeShade="BF"/>
    </w:rPr>
  </w:style>
  <w:style w:type="character" w:styleId="IntenseReference">
    <w:name w:val="Intense Reference"/>
    <w:basedOn w:val="DefaultParagraphFont"/>
    <w:uiPriority w:val="32"/>
    <w:qFormat/>
    <w:rsid w:val="009B5BC2"/>
    <w:rPr>
      <w:b/>
      <w:bCs/>
      <w:smallCaps/>
      <w:color w:val="0F4761" w:themeColor="accent1" w:themeShade="BF"/>
      <w:spacing w:val="5"/>
    </w:rPr>
  </w:style>
  <w:style w:type="paragraph" w:styleId="TOCHeading">
    <w:name w:val="TOC Heading"/>
    <w:basedOn w:val="Heading1"/>
    <w:next w:val="Normal"/>
    <w:uiPriority w:val="39"/>
    <w:unhideWhenUsed/>
    <w:qFormat/>
    <w:rsid w:val="00CE0CF0"/>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CE0CF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E0CF0"/>
    <w:pPr>
      <w:spacing w:before="120"/>
      <w:ind w:left="220"/>
    </w:pPr>
    <w:rPr>
      <w:rFonts w:asciiTheme="minorHAnsi" w:hAnsiTheme="minorHAnsi"/>
      <w:b/>
      <w:bCs/>
    </w:rPr>
  </w:style>
  <w:style w:type="character" w:styleId="Hyperlink">
    <w:name w:val="Hyperlink"/>
    <w:basedOn w:val="DefaultParagraphFont"/>
    <w:uiPriority w:val="99"/>
    <w:unhideWhenUsed/>
    <w:rsid w:val="00CE0CF0"/>
    <w:rPr>
      <w:color w:val="467886" w:themeColor="hyperlink"/>
      <w:u w:val="single"/>
    </w:rPr>
  </w:style>
  <w:style w:type="paragraph" w:styleId="TOC3">
    <w:name w:val="toc 3"/>
    <w:basedOn w:val="Normal"/>
    <w:next w:val="Normal"/>
    <w:autoRedefine/>
    <w:uiPriority w:val="39"/>
    <w:semiHidden/>
    <w:unhideWhenUsed/>
    <w:rsid w:val="00CE0CF0"/>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E0CF0"/>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E0CF0"/>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E0CF0"/>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E0CF0"/>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E0CF0"/>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E0CF0"/>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BDFD6-3DD3-4D49-81B6-0BC79D1B3D3F}">
  <we:reference id="0712333e-3078-4353-bc6c-307328446e34" version="1.3.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91514-1617-E749-849F-292D20CE9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Jhonattan Escorihuela</dc:creator>
  <cp:keywords/>
  <dc:description/>
  <cp:lastModifiedBy>Jhonattan Escorihuela</cp:lastModifiedBy>
  <cp:revision>5</cp:revision>
  <dcterms:created xsi:type="dcterms:W3CDTF">2026-06-03T21:28:00Z</dcterms:created>
  <dcterms:modified xsi:type="dcterms:W3CDTF">2026-06-03T21:36:00Z</dcterms:modified>
</cp:coreProperties>
</file>