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bidi w:val="0"/>
        <w:spacing w:lineRule="auto" w:line="276" w:before="0" w:after="140"/>
        <w:jc w:val="left"/>
        <w:rPr/>
      </w:pPr>
      <w:r>
        <w:rPr>
          <w:rStyle w:val="Destaquemayor"/>
        </w:rPr>
        <w:t>Informe de Caso: Evolución Digital en Grupo Nutresa (2023-2025)</w:t>
      </w:r>
    </w:p>
    <w:p>
      <w:pPr>
        <w:pStyle w:val="Cuerpodetexto"/>
        <w:bidi w:val="0"/>
        <w:jc w:val="left"/>
        <w:rPr/>
      </w:pPr>
      <w:r>
        <w:rPr>
          <w:rStyle w:val="Destaquemayor"/>
        </w:rPr>
        <w:t>1. Marco Estratégico</w:t>
      </w:r>
      <w:r>
        <w:rPr/>
        <w:br/>
        <w:t>Grupo Nutresa ha evolucionado de ser una compañía tradicional dedicada a la producción de alimentos a consolidarse como una organización guiada por la innovación tecnológica. Su meta de duplicar las ventas hacia 2030 se apoya principalmente en un proceso de transformación digital que busca fortalecer la conexión con los canales de distribución —en especial las tiendas de barrio— y con el consumidor final.</w:t>
      </w:r>
    </w:p>
    <w:p>
      <w:pPr>
        <w:pStyle w:val="Cuerpodetexto"/>
        <w:bidi w:val="0"/>
        <w:jc w:val="left"/>
        <w:rPr/>
      </w:pPr>
      <w:r>
        <w:rPr>
          <w:rStyle w:val="Destaquemayor"/>
        </w:rPr>
        <w:t>2. Tecnologías Implementadas y su Impacto en los Ingresos</w:t>
      </w:r>
      <w:r>
        <w:rPr/>
        <w:br/>
        <w:t>La adopción de tecnologías de la información y la comunicación (TIC) en Nutresa va más allá de la optimización interna, ya que ha permitido construir un ecosistema digital que incide directamente en el crecimiento de sus ventas:</w:t>
      </w:r>
    </w:p>
    <w:p>
      <w:pPr>
        <w:pStyle w:val="Cuerpodetexto"/>
        <w:numPr>
          <w:ilvl w:val="0"/>
          <w:numId w:val="1"/>
        </w:numPr>
        <w:tabs>
          <w:tab w:val="clear" w:pos="709"/>
          <w:tab w:val="left" w:pos="709" w:leader="none"/>
        </w:tabs>
        <w:bidi w:val="0"/>
        <w:ind w:left="709" w:hanging="283"/>
        <w:jc w:val="left"/>
        <w:rPr/>
      </w:pPr>
      <w:r>
        <w:rPr>
          <w:rStyle w:val="Destaquemayor"/>
        </w:rPr>
        <w:t>Plataforma Pideky (Ecosistema B2B):</w:t>
      </w:r>
      <w:r>
        <w:rPr/>
        <w:t xml:space="preserve"> Considerada su principal apuesta tecnológica, al cierre de 2024 alcanzó más de 85.000 clientes activos entre tenderos y pequeños comercios, procesando más de 160.000 pedidos mensuales en Colombia.</w:t>
      </w:r>
    </w:p>
    <w:p>
      <w:pPr>
        <w:pStyle w:val="Cuerpodetexto"/>
        <w:numPr>
          <w:ilvl w:val="1"/>
          <w:numId w:val="1"/>
        </w:numPr>
        <w:tabs>
          <w:tab w:val="clear" w:pos="709"/>
          <w:tab w:val="left" w:pos="1418" w:leader="none"/>
        </w:tabs>
        <w:bidi w:val="0"/>
        <w:ind w:left="1418" w:hanging="283"/>
        <w:jc w:val="left"/>
        <w:rPr/>
      </w:pPr>
      <w:r>
        <w:rPr>
          <w:rStyle w:val="Destaquemayor"/>
        </w:rPr>
        <w:t>Impacto:</w:t>
      </w:r>
      <w:r>
        <w:rPr/>
        <w:t xml:space="preserve"> Esta herramienta representa el 6,2% de las ventas totales de la compañía, con transacciones superiores a los COP 200.000 millones.</w:t>
      </w:r>
    </w:p>
    <w:p>
      <w:pPr>
        <w:pStyle w:val="Cuerpodetexto"/>
        <w:numPr>
          <w:ilvl w:val="0"/>
          <w:numId w:val="1"/>
        </w:numPr>
        <w:tabs>
          <w:tab w:val="clear" w:pos="709"/>
          <w:tab w:val="left" w:pos="709" w:leader="none"/>
        </w:tabs>
        <w:bidi w:val="0"/>
        <w:ind w:left="709" w:hanging="283"/>
        <w:jc w:val="left"/>
        <w:rPr/>
      </w:pPr>
      <w:r>
        <w:rPr>
          <w:rStyle w:val="Destaquemayor"/>
        </w:rPr>
        <w:t>Inteligencia Artificial y Analítica de Datos:</w:t>
      </w:r>
      <w:r>
        <w:rPr/>
        <w:t xml:space="preserve"> Entre 2024 y 2025, la empresa integró soluciones de IA enfocadas en:</w:t>
      </w:r>
    </w:p>
    <w:p>
      <w:pPr>
        <w:pStyle w:val="Cuerpodetexto"/>
        <w:numPr>
          <w:ilvl w:val="1"/>
          <w:numId w:val="1"/>
        </w:numPr>
        <w:tabs>
          <w:tab w:val="clear" w:pos="709"/>
          <w:tab w:val="left" w:pos="1418" w:leader="none"/>
        </w:tabs>
        <w:bidi w:val="0"/>
        <w:ind w:left="1418" w:hanging="283"/>
        <w:jc w:val="left"/>
        <w:rPr/>
      </w:pPr>
      <w:r>
        <w:rPr>
          <w:rStyle w:val="Destaquemayor"/>
        </w:rPr>
        <w:t>Pronóstico de demanda:</w:t>
      </w:r>
      <w:r>
        <w:rPr/>
        <w:t xml:space="preserve"> Determinar con mayor precisión qué productos distribuir en cada región, disminuyendo mermas.</w:t>
      </w:r>
    </w:p>
    <w:p>
      <w:pPr>
        <w:pStyle w:val="Cuerpodetexto"/>
        <w:numPr>
          <w:ilvl w:val="1"/>
          <w:numId w:val="1"/>
        </w:numPr>
        <w:tabs>
          <w:tab w:val="clear" w:pos="709"/>
          <w:tab w:val="left" w:pos="1418" w:leader="none"/>
        </w:tabs>
        <w:bidi w:val="0"/>
        <w:ind w:left="1418" w:hanging="283"/>
        <w:jc w:val="left"/>
        <w:rPr/>
      </w:pPr>
      <w:r>
        <w:rPr>
          <w:rStyle w:val="Destaquemayor"/>
        </w:rPr>
        <w:t>Personalización:</w:t>
      </w:r>
      <w:r>
        <w:rPr/>
        <w:t xml:space="preserve"> Generar recomendaciones automatizadas para tenderos según su comportamiento de compra.</w:t>
      </w:r>
    </w:p>
    <w:p>
      <w:pPr>
        <w:pStyle w:val="Cuerpodetexto"/>
        <w:numPr>
          <w:ilvl w:val="1"/>
          <w:numId w:val="1"/>
        </w:numPr>
        <w:tabs>
          <w:tab w:val="clear" w:pos="709"/>
          <w:tab w:val="left" w:pos="1418" w:leader="none"/>
        </w:tabs>
        <w:bidi w:val="0"/>
        <w:ind w:left="1418" w:hanging="283"/>
        <w:jc w:val="left"/>
        <w:rPr/>
      </w:pPr>
      <w:r>
        <w:rPr>
          <w:rStyle w:val="Destaquemayor"/>
        </w:rPr>
        <w:t>Impacto:</w:t>
      </w:r>
      <w:r>
        <w:rPr/>
        <w:t xml:space="preserve"> Estas iniciativas contribuyeron a un aumento del 15% en las ventas de los negocios que forman parte del ecosistema digital.</w:t>
      </w:r>
    </w:p>
    <w:p>
      <w:pPr>
        <w:pStyle w:val="Cuerpodetexto"/>
        <w:numPr>
          <w:ilvl w:val="0"/>
          <w:numId w:val="1"/>
        </w:numPr>
        <w:tabs>
          <w:tab w:val="clear" w:pos="709"/>
          <w:tab w:val="left" w:pos="709" w:leader="none"/>
        </w:tabs>
        <w:bidi w:val="0"/>
        <w:ind w:left="709" w:hanging="283"/>
        <w:jc w:val="left"/>
        <w:rPr/>
      </w:pPr>
      <w:r>
        <w:rPr>
          <w:rStyle w:val="Destaquemayor"/>
        </w:rPr>
        <w:t>Ventas a través de Canales Digitales:</w:t>
      </w:r>
      <w:r>
        <w:rPr/>
        <w:t xml:space="preserve"> Para finales de 2024, los ingresos provenientes de medios digitales —incluyendo plataformas como Novaventa y tiendas en línea— alcanzaron los COP 1,25 billones, evidenciando un crecimiento significativo frente a años anteriores.</w:t>
      </w:r>
    </w:p>
    <w:p>
      <w:pPr>
        <w:pStyle w:val="Cuerpodetexto"/>
        <w:bidi w:val="0"/>
        <w:jc w:val="left"/>
        <w:rPr/>
      </w:pPr>
      <w:r>
        <w:rPr>
          <w:rStyle w:val="Destaquemayor"/>
        </w:rPr>
        <w:t>3. Relevancia para el Sector</w:t>
      </w:r>
      <w:r>
        <w:rPr/>
        <w:br/>
        <w:t>El caso de Nutresa se ha convertido en un referente para la industria de alimentos en Colombia por varias razones:</w:t>
      </w:r>
    </w:p>
    <w:p>
      <w:pPr>
        <w:pStyle w:val="Cuerpodetexto"/>
        <w:numPr>
          <w:ilvl w:val="0"/>
          <w:numId w:val="2"/>
        </w:numPr>
        <w:tabs>
          <w:tab w:val="clear" w:pos="709"/>
          <w:tab w:val="left" w:pos="709" w:leader="none"/>
        </w:tabs>
        <w:bidi w:val="0"/>
        <w:ind w:left="709" w:hanging="283"/>
        <w:jc w:val="left"/>
        <w:rPr/>
      </w:pPr>
      <w:r>
        <w:rPr>
          <w:rStyle w:val="Destaquemayor"/>
        </w:rPr>
        <w:t>Digitalización del Canal Tradicional:</w:t>
      </w:r>
      <w:r>
        <w:rPr/>
        <w:t xml:space="preserve"> Al integrar tecnológicamente a los tenderos, la compañía ha impulsado la inclusión de miles de pequeños negocios en la economía digital, brindándoles herramientas de gestión e inventario antes reservadas para grandes cadenas.</w:t>
      </w:r>
    </w:p>
    <w:p>
      <w:pPr>
        <w:pStyle w:val="Cuerpodetexto"/>
        <w:numPr>
          <w:ilvl w:val="0"/>
          <w:numId w:val="2"/>
        </w:numPr>
        <w:tabs>
          <w:tab w:val="clear" w:pos="709"/>
          <w:tab w:val="left" w:pos="709" w:leader="none"/>
        </w:tabs>
        <w:bidi w:val="0"/>
        <w:ind w:left="709" w:hanging="283"/>
        <w:jc w:val="left"/>
        <w:rPr/>
      </w:pPr>
      <w:r>
        <w:rPr>
          <w:rStyle w:val="Destaquemayor"/>
        </w:rPr>
        <w:t>Optimización Logística:</w:t>
      </w:r>
      <w:r>
        <w:rPr/>
        <w:t xml:space="preserve"> La implementación de automatización robótica de procesos (RPA) y gemelos digitales en la cadena de suministro ha permitido sostener la rentabilidad en un contexto inflacionario, mejorando rutas de distribución y reduciendo costos.</w:t>
      </w:r>
    </w:p>
    <w:p>
      <w:pPr>
        <w:pStyle w:val="Cuerpodetexto"/>
        <w:numPr>
          <w:ilvl w:val="0"/>
          <w:numId w:val="2"/>
        </w:numPr>
        <w:tabs>
          <w:tab w:val="clear" w:pos="709"/>
          <w:tab w:val="left" w:pos="709" w:leader="none"/>
        </w:tabs>
        <w:bidi w:val="0"/>
        <w:ind w:left="709" w:hanging="283"/>
        <w:jc w:val="left"/>
        <w:rPr/>
      </w:pPr>
      <w:r>
        <w:rPr>
          <w:rStyle w:val="Destaquemayor"/>
        </w:rPr>
        <w:t>Trazabilidad y Sostenibilidad:</w:t>
      </w:r>
      <w:r>
        <w:rPr/>
        <w:t xml:space="preserve"> El uso de TIC facilita el seguimiento del origen de materias primas como cacao y café, garantizando que el 68% del abastecimiento cumpla con criterios de sostenibilidad, una demanda creciente en mercados internacionales.</w:t>
      </w:r>
    </w:p>
    <w:p>
      <w:pPr>
        <w:pStyle w:val="Cuerpodetexto"/>
        <w:bidi w:val="0"/>
        <w:jc w:val="left"/>
        <w:rPr/>
      </w:pPr>
      <w:r>
        <w:rPr>
          <w:rStyle w:val="Destaquemayor"/>
        </w:rPr>
        <w:t>4. Cierre</w:t>
      </w:r>
      <w:r>
        <w:rPr/>
        <w:br/>
        <w:t>El caso de Nutresa evidencia que la transformación digital no es exclusiva de las empresas tecnológicas. Mediante la integración de IA, Big Data y soluciones móviles, la organización ha logrado que el 60% de sus ventas en Colombia sean más eficientes y precisas. Su experiencia establece un referente para la industria, demostrando que la digitalización es clave para sostener el liderazgo en un mercado tan competitivo como el de alimentos.</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C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CO" w:eastAsia="zh-CN" w:bidi="hi-IN"/>
    </w:rPr>
  </w:style>
  <w:style w:type="paragraph" w:styleId="Ttulo1">
    <w:name w:val="Heading 1"/>
    <w:basedOn w:val="Ttulo"/>
    <w:next w:val="Cuerpodetexto"/>
    <w:qFormat/>
    <w:pPr>
      <w:spacing w:before="240" w:after="120"/>
      <w:outlineLvl w:val="0"/>
    </w:pPr>
    <w:rPr>
      <w:rFonts w:ascii="Liberation Serif" w:hAnsi="Liberation Serif" w:eastAsia="Noto Serif CJK SC" w:cs="Lohit Devanagari"/>
      <w:b/>
      <w:bCs/>
      <w:sz w:val="48"/>
      <w:szCs w:val="48"/>
    </w:rPr>
  </w:style>
  <w:style w:type="paragraph" w:styleId="Ttulo2">
    <w:name w:val="Heading 2"/>
    <w:basedOn w:val="Ttulo"/>
    <w:next w:val="Cuerpodetexto"/>
    <w:qFormat/>
    <w:pPr>
      <w:spacing w:before="200" w:after="120"/>
      <w:outlineLvl w:val="1"/>
    </w:pPr>
    <w:rPr>
      <w:rFonts w:ascii="Liberation Serif" w:hAnsi="Liberation Serif" w:eastAsia="Noto Serif CJK SC" w:cs="Lohit Devanagari"/>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oto Serif CJK SC" w:cs="Lohit Devanagari"/>
      <w:b/>
      <w:bCs/>
      <w:sz w:val="28"/>
      <w:szCs w:val="28"/>
    </w:rPr>
  </w:style>
  <w:style w:type="character" w:styleId="Vietas">
    <w:name w:val="Viñetas"/>
    <w:qFormat/>
    <w:rPr>
      <w:rFonts w:ascii="OpenSymbol" w:hAnsi="OpenSymbol" w:eastAsia="OpenSymbol" w:cs="OpenSymbol"/>
    </w:rPr>
  </w:style>
  <w:style w:type="character" w:styleId="Destaquemayor">
    <w:name w:val="Destaque mayor"/>
    <w:qFormat/>
    <w:rPr>
      <w:b/>
      <w:bCs/>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Pages>
  <Words>489</Words>
  <Characters>2790</Characters>
  <CharactersWithSpaces>3254</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2026-02-12T14:52:36Z</dcterms:created>
  <dc:creator/>
  <dc:description/>
  <dc:language>es-CO</dc:language>
  <cp:lastModifiedBy/>
  <dcterms:modified xsi:type="dcterms:W3CDTF">2026-02-12T15:05:42Z</dcterms:modified>
  <cp:revision>1</cp:revision>
  <dc:subject/>
  <dc:title/>
</cp:coreProperties>
</file>