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Diego Cruz Medina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21.575.964-4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Cristóbal Irarrázabal</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21.612.496-0</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Jhonny Silva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21.761.174-1</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Plaza Norte</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sz w:val="20"/>
                <w:szCs w:val="20"/>
                <w:rtl w:val="0"/>
              </w:rPr>
              <w:t xml:space="preserve">CarteraX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i w:val="1"/>
                <w:iCs w:val="1"/>
                <w:sz w:val="20"/>
                <w:szCs w:val="20"/>
                <w:rtl w:val="0"/>
              </w:rPr>
              <w:t xml:space="preserve">Desarrollo de software y sistemas de información, con énfasis en ingeniería de software, bases de datos y automatización de procesos de negocio.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i w:val="1"/>
                <w:iCs w:val="1"/>
                <w:sz w:val="20"/>
                <w:szCs w:val="20"/>
                <w:rtl w:val="0"/>
              </w:rPr>
              <w:t xml:space="preserve">Diseñar y desarrollar aplicaciones de software; modelar y administrar bases de datos; aplicar metodologías de ingeniería de software y buenas prácticas de desarrollo; trabajar en equipo aplicando control de versiones; y elaborar soluciones tecnológicas orientadas a resolver problemáticas reales de una organización.</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Phoenix Service, unidad de Santander Consumer Finance Chile encargada de recuperar carteras morosas de créditos automotrices, cuenta con un equipo de 20 ejecutivos que gestiona mensualmente cerca de 200 clientes cada uno utilizando archivos Excel con formatos inconsistentes y sistemas internos del banco. Esto genera pérdida de horas en formateo manual de datos, falta de visualización en tiempo real de metas e indicadores, y errores en la priorización de casos críticos. El proyecto CarteraX busca solucionar esta problemática mediante una aplicación local que organiza, valida y visualiza automáticamente la información de cartera, siendo un aporte directo a la eficiencia operativa del área de cobranza.</w:t>
            </w:r>
          </w:p>
          <w:p w:rsidR="00000000" w:rsidDel="00000000" w:rsidP="00000000" w:rsidRDefault="00000000" w:rsidRPr="00000000" w14:paraId="000000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Escogimos este tema porque combina desarrollo de software, gestión de datos y automatización de procesos, competencias centrales de Ingeniería en Informática. Es relevante para el campo laboral porque la mayoría de las organizaciones financieras aún dependen de procesos manuales en Excel, y solucionar esa brecha con una herramienta a medida representa una necesidad real y transferible a otras industrias.</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La situación se ubica en Chile, específicamente en Phoenix Service, unidad interna de Santander Consumer Finance Chile dedicada a la cobranza de carteras morosas de créditos automotrices. Es un entorno corporativo bancario con altos estándares de seguridad, por lo que la solución debe operar de forma local, sin depender de servicios en la nube.</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Afecta directamente a los 20 ejecutivos de cobranza y a los supervisores de cartera de Phoenix Service, quienes hoy pierden entre 3 y 4 horas diarias formateando datos en Excel, e indirectamente a la jefatura de Phoenix Service, responsable de los resultados de recuperación de la cartera.</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El aporte de valor es reducir de 3-4 horas a menos de 1 hora diaria el tiempo dedicado a ordenar datos, entregar visibilidad en tiempo real de los indicadores de gestión y metas, y mejorar la priorización de casos críticos, aumentando la eficiencia y efectividad del proceso de cobranza sin exponer datos sensibles a servicios externos.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Se espera diseñar e implementar CarteraX, una aplicación local (on-premise) que permita a los ejecutivos de Phoenix Service arrastrar y soltar (drag &amp; drop) sus archivos Excel/CSV de cartera para que el sistema los limpie, normalice y organice automáticamente en un panel de indicadores navegable. El sistema se construirá con un frontend en React/TypeScript, un backend en Python/FastAPI, un motor ETL con Pandas/OpenPyXL y una base de datos PostgreSQL local, sin depender de servicios en la nube.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CarteraX se relaciona directamente con el perfil de egreso de Ingeniería en Informática, pues integra el diseño y desarrollo de software, el modelamiento y administración de bases de datos, y la aplicación de buenas prácticas de ingeniería para resolver un problema real de negocio, competencias evaluadas a lo largo de la carrera.</w:t>
            </w:r>
          </w:p>
          <w:p w:rsidR="00000000" w:rsidDel="00000000" w:rsidP="00000000" w:rsidRDefault="00000000" w:rsidRPr="00000000" w14:paraId="00000041">
            <w:pPr>
              <w:jc w:val="both"/>
              <w:rPr>
                <w:rFonts w:ascii="Calibri" w:cs="Calibri" w:eastAsia="Calibri" w:hAnsi="Calibri"/>
                <w:i w:val="1"/>
                <w:iCs w:val="1"/>
                <w:sz w:val="20"/>
                <w:szCs w:val="20"/>
                <w:highlight w:val="yellow"/>
              </w:rPr>
            </w:pPr>
            <w:r w:rsidDel="00000000" w:rsidR="00000000" w:rsidRPr="00000000">
              <w:rPr>
                <w:rFonts w:ascii="Calibri" w:cs="Calibri" w:eastAsia="Calibri" w:hAnsi="Calibri"/>
                <w:i w:val="1"/>
                <w:iCs w:val="1"/>
                <w:sz w:val="20"/>
                <w:szCs w:val="20"/>
                <w:rtl w:val="0"/>
              </w:rPr>
              <w:t xml:space="preserve">Las competencias de diseño de software, gestión de bases de datos y trabajo en equipo bajo control de versiones son indispensables para construir el motor ETL, el backend, el frontend y la base de datos de CarteraX, y para coordinar el trabajo entre los tres integrantes del equipo de desarrollo.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Como equipo, tenemos interés en el desarrollo de software empresarial, la ingeniería de datos y la construcción de soluciones full-stack, áreas que se ven directamente reflejadas en CarteraX.</w:t>
            </w:r>
          </w:p>
          <w:p w:rsidR="00000000" w:rsidDel="00000000" w:rsidP="00000000" w:rsidRDefault="00000000" w:rsidRPr="00000000" w14:paraId="00000044">
            <w:pPr>
              <w:jc w:val="both"/>
              <w:rPr>
                <w:rFonts w:ascii="Calibri" w:cs="Calibri" w:eastAsia="Calibri" w:hAnsi="Calibri"/>
                <w:i w:val="1"/>
                <w:iCs w:val="1"/>
                <w:sz w:val="20"/>
                <w:szCs w:val="20"/>
                <w:highlight w:val="yellow"/>
              </w:rPr>
            </w:pPr>
            <w:r w:rsidDel="00000000" w:rsidR="00000000" w:rsidRPr="00000000">
              <w:rPr>
                <w:rFonts w:ascii="Calibri" w:cs="Calibri" w:eastAsia="Calibri" w:hAnsi="Calibri"/>
                <w:i w:val="1"/>
                <w:iCs w:val="1"/>
                <w:sz w:val="20"/>
                <w:szCs w:val="20"/>
                <w:rtl w:val="0"/>
              </w:rPr>
              <w:t xml:space="preserve">Nuestros intereses profesionales se centran en el desarrollo de aplicaciones web, el diseño de bases de datos y la automatización de procesos con Python. Desarrollar CarteraX nos permite aplicar estas áreas en un caso real de negocio bancario, fortaleciendo nuestra experiencia en proyectos de software de principio a fin, desde el levantamiento de requerimientos hasta la puesta en marcha.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desarrollo de CarteraX es factible porque el equipo cuenta con las competencias técnicas necesarias, el cronograma se ajusta al periodo académico (18 semanas) y el stack tecnológico seleccionado (React, Python/FastAPI, PostgreSQL, Docker) es de código abierto y ya conocido por el equipo.</w:t>
            </w:r>
          </w:p>
          <w:p w:rsidR="00000000" w:rsidDel="00000000" w:rsidP="00000000" w:rsidRDefault="00000000" w:rsidRPr="00000000" w14:paraId="00000047">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 posible desarrollar el Proyecto APT considerando lo siguiente:</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Duración del semestre: 18 semanas, que coinciden con las tres fases de la asignatura de Portafolio de Título.</w:t>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Horas asignadas a la asignatura: las horas de la asignatura Evaluación de Proyectos, distribuidas entre las 6 fases del cronograma preliminar del proyecto.</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Materiales requeridos: equipos con Docker, acceso a datos de ejemplo anonimizados de Phoenix Service, y licencias de las herramientas de desarrollo (todas de código abierto).</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facilitan su desarrollo: el apoyo de la jefatura de Phoenix Service, el acceso a información del proceso actual, y el dominio previo del equipo sobre el stack tecnológico definido.</w:t>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Factores externos que dificultan su desarrollo y maneras en que podrías solucionarlos: la variabilidad de formatos de Excel entre ejecutivos, que se mitiga con un motor de validación flexible probado con archivos reales desde la fase 1; y la resistencia al cambio de herramienta, que se aborda con capacitación temprana y un focus group de validación.</w:t>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Diseñar e implementar una aplicación local de escritorio</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local que permita a los ejecutivos de Phoenix Service cargar mediante arrastre (drag &amp; drop) sus archivos Excel de cartera, y visualizar de forma automática, ordenada y en tiempo real sus indicadores de gestión y cumplimiento de metas, sin depender de servicios en la nube.</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 Reducir a menos de 1 hora diaria el tiempo dedicado a ordenar y formatear datos de cartera. (2) Automatizar la validación y normalización de los Excel cargados mediante un módulo ETL basado en Pandas/OpenPyXL. (3) Entregar un dashboard con indicadores clave en tiempo real (tasa de recuperación, días de morosidad, % cumplimiento de metas). (4) Incorporar filtros y alertas que prioricen automáticamente los casos críticos. (5) Garantizar que la solución funcione de forma local, sin conexión permanente a internet ni almacenamiento en la nube. (6) Validar la usabilidad de la herramienta con al menos un grupo de ejecutivos antes de la puesta en marcha.</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abordará con una metodología tradicional (predictiva), de tipo cascada, basada en los lineamientos del PMBOK, con fases secuenciales que se completan en su totalidad antes de iniciar la siguiente: (1) Inicio, donde se elabora el Acta de Constitución del Proyecto que autoriza formalmente su ejecución y define objetivos, alcance preliminar e interesados; (2) Planificación, donde se definen el alcance detallado, la EDT (Estructura de Desglose del Trabajo), el cronograma (Carta Gantt), los recursos y los riesgos del proyecto; (3) Ejecución, donde se desarrollan el motor de carga ETL (Pandas/OpenPyXL), el dashboard de indicadores (React/Recharts) y la base de datos, conforme a lo planificado; (4) Monitoreo y Control, donde se realizan las pruebas automatizadas (Pytest/Vitest) y se verifica el cumplimiento del alcance, cronograma y calidad frente a la línea base; y (5) Cierre, donde se entrega la aplicación, el manual de usuario, se realiza la capacitación y se firma el Acta de cierre del proyecto. La planificación se define de forma anticipada y detallada al inicio, minimizando los cambios de alcance una vez aprobada la documentación base del proyecto.</w:t>
            </w:r>
          </w:p>
          <w:p w:rsidR="00000000" w:rsidDel="00000000" w:rsidP="00000000" w:rsidRDefault="00000000" w:rsidRPr="00000000" w14:paraId="0000005D">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20"/>
                <w:szCs w:val="20"/>
                <w:rtl w:val="0"/>
              </w:rPr>
              <w:t xml:space="preserve">El equipo se organiza de la siguiente forma: Jhonny Silva como Project Lead, encargado de la planificación y coordinación general; Diego Cruz Medina, a cargo del desarrollo (frontend, backend y motor ETL); y Cristóbal Irarrázabal como Analista QA, responsable de las pruebas automatizadas y la validación con los usuarios.</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Acta de Constitución del Proyecto</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Documento formal que autoriza el inicio del proyecto, definiendo objetivos, alcance preliminar, interesados clave y patrocinador.</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inicio formal del proyecto y el compromiso del patrocinador (Phoenix Service) con el alcance definido.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EDT (Estructura de Desglose del Trabajo)</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Descomposición jerárquica del trabajo del proyecto en fases y paquetes de trabajo (levantamiento, diseño, ETL, dashboard, pruebas, capacitación).</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planificar el alcance detallado, asignar responsables y controlar el trabajo antes de iniciar la ejecución.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Cronograma (Carta Gantt) y matriz de riesgos</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Programación detallada de actividades por fase, junto con la matriz de riesgos y sus estrategias de mitigación.</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la planificación predictiva propia de la metodología tradicional y el control anticipado de tiempos y riesgos.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Aplicación funcional, manual de usuario, informe de pruebas y Acta de cierre del proyecto</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Sistema completo instalado localmente, documentación de uso, resultados de pruebas y cierre formal del proyecto.</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Sistema completo instalado localmente, con pruebas Pytest/Vitest documentadas, manual de instalación/uso y Acta de cierre firmada por el patrocinador.</w:t>
            </w: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t xml:space="preserve">Corresponde al entregable final que certifica el cumplimiento de los objetivos y la puesta en marcha del proyecto.</w:t>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t xml:space="preserve">Análisis de requerimientos y modelamiento de procesos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t xml:space="preserve">Levantamiento y análisis funcional</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t xml:space="preserve">Reunión con Phoenix Service para definir requerimientos, KPIs y roles de usuario (ejecutivo/supervisor).</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t xml:space="preserve">Equipos del equipo, acceso a datos de ejemplo, plantillas Excel actuales</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t xml:space="preserve">Jhonny Silva</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Riesgo de formatos de Excel muy variables; se mitiga con entrevistas y muestras reales desde el inicio.</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t xml:space="preserve">Diseño de software y experiencia de usuario</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t xml:space="preserve">Diseño de arquitectura y UX/UI</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t xml:space="preserve">Definición de la arquitectura del sistema y prototipado navegable en Figma del dashboard y la zona de arrastre.</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t xml:space="preserve">Figma, diagramas de arquitectura</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t xml:space="preserve">El prototipo debe ser validado con el docente antes de avanzar al desarrollo.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t xml:space="preserve">Desarrollo de software y procesamiento de datos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t xml:space="preserve">Desarrollo del motor de carga (ETL)</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t xml:space="preserve">Implementación del módulo drag &amp; drop y del motor de limpieza/normalización con Pandas y OpenPyXL.</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t xml:space="preserve">Python, FastAPI, Pandas, OpenPyXL,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t xml:space="preserve">Requiere pruebas con archivos reales para validar la flexibilidad del motor.</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t xml:space="preserve">Desarrollo frontend y visualización de datos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t xml:space="preserve">Desarrollo del dashboard</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t xml:space="preserve">Construcción del panel de indicadores, filtros y alertas de casos críticos con React y Recharts.</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t xml:space="preserve">React, TypeScript, Recharts, JWT</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t xml:space="preserve">Diego Cruz Medina</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t xml:space="preserve">Integración con el backend a través de REST/OpenAPI.</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t xml:space="preserve">Aseguramiento de calidad y validación con usuarios</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t xml:space="preserve">Pruebas y validación con usuarios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t xml:space="preserve">Ejecución de pruebas automatizadas (Pytest/Vitest) y un focus group con ejecutivos de Phoenix Service.</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t xml:space="preserve">Pytest, Vitest, grupo de ejecutivos voluntarios</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t xml:space="preserve">Cristóbal Irarrázabal</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t xml:space="preserve">Los resultados alimentan los ajustes finales antes de la puesta en marcha.</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t xml:space="preserve">Gestión del cambio y soporte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t xml:space="preserve">Capacitación y puesta en marcha</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Elaboración del manual de usuario e instalación de la aplicación en los equipos de Phoenix Service, con capacitación a ejecutivos y supervisores.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t xml:space="preserve">Docker, manual de usuario, sesión de capacitación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t xml:space="preserve">Jhonny Silva</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Clave para reducir la resistencia al cambio de herramienta.</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5" w:val="single"/>
              <w:right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jc w:val="both"/>
              <w:rPr>
                <w:b w:val="1"/>
                <w:bCs w:val="1"/>
                <w:sz w:val="15"/>
                <w:szCs w:val="15"/>
              </w:rPr>
            </w:pPr>
            <w:r w:rsidDel="00000000" w:rsidR="00000000" w:rsidRPr="00000000">
              <w:rPr>
                <w:b w:val="1"/>
                <w:bCs w:val="1"/>
                <w:sz w:val="15"/>
                <w:szCs w:val="15"/>
                <w:rtl w:val="0"/>
              </w:rPr>
              <w:t xml:space="preserve">Gestión del Proyecto</w:t>
            </w: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Borders>
              <w:top w:color="000000" w:space="0" w:sz="4" w:val="single"/>
            </w:tcBorders>
            <w:shd w:fill="4472c4"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tcBorders>
              <w:top w:color="000000" w:space="0" w:sz="4" w:val="single"/>
            </w:tcBorders>
            <w:shd w:fill="4472c4" w:val="clear"/>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jc w:val="both"/>
              <w:rPr>
                <w:b w:val="1"/>
                <w:bCs w:val="1"/>
                <w:sz w:val="15"/>
                <w:szCs w:val="15"/>
              </w:rPr>
            </w:pPr>
            <w:r w:rsidDel="00000000" w:rsidR="00000000" w:rsidRPr="00000000">
              <w:rPr>
                <w:b w:val="1"/>
                <w:bCs w:val="1"/>
                <w:sz w:val="15"/>
                <w:szCs w:val="15"/>
                <w:rtl w:val="0"/>
              </w:rPr>
              <w:t xml:space="preserve">Levantamiento y Análisis</w:t>
            </w:r>
          </w:p>
        </w:tc>
        <w:tc>
          <w:tcPr>
            <w:shd w:fill="4472c4" w:val="clear"/>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jc w:val="both"/>
              <w:rPr>
                <w:b w:val="1"/>
                <w:bCs w:val="1"/>
                <w:sz w:val="15"/>
                <w:szCs w:val="15"/>
              </w:rPr>
            </w:pPr>
            <w:r w:rsidDel="00000000" w:rsidR="00000000" w:rsidRPr="00000000">
              <w:rPr>
                <w:b w:val="1"/>
                <w:bCs w:val="1"/>
                <w:sz w:val="15"/>
                <w:szCs w:val="15"/>
                <w:rtl w:val="0"/>
              </w:rPr>
              <w:t xml:space="preserve">Diseño de la Solución</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jc w:val="both"/>
              <w:rPr>
                <w:b w:val="1"/>
                <w:bCs w:val="1"/>
                <w:sz w:val="15"/>
                <w:szCs w:val="15"/>
              </w:rPr>
            </w:pPr>
            <w:r w:rsidDel="00000000" w:rsidR="00000000" w:rsidRPr="00000000">
              <w:rPr>
                <w:b w:val="1"/>
                <w:bCs w:val="1"/>
                <w:sz w:val="15"/>
                <w:szCs w:val="15"/>
                <w:rtl w:val="0"/>
              </w:rPr>
              <w:t xml:space="preserve">Configuración del Entorno</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jc w:val="both"/>
              <w:rPr>
                <w:b w:val="1"/>
                <w:bCs w:val="1"/>
                <w:sz w:val="15"/>
                <w:szCs w:val="15"/>
              </w:rPr>
            </w:pPr>
            <w:r w:rsidDel="00000000" w:rsidR="00000000" w:rsidRPr="00000000">
              <w:rPr>
                <w:b w:val="1"/>
                <w:bCs w:val="1"/>
                <w:sz w:val="15"/>
                <w:szCs w:val="15"/>
                <w:rtl w:val="0"/>
              </w:rPr>
              <w:t xml:space="preserve">Base de Datos</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jc w:val="both"/>
              <w:rPr>
                <w:b w:val="1"/>
                <w:bCs w:val="1"/>
                <w:sz w:val="15"/>
                <w:szCs w:val="15"/>
              </w:rPr>
            </w:pPr>
            <w:r w:rsidDel="00000000" w:rsidR="00000000" w:rsidRPr="00000000">
              <w:rPr>
                <w:b w:val="1"/>
                <w:bCs w:val="1"/>
                <w:sz w:val="15"/>
                <w:szCs w:val="15"/>
                <w:rtl w:val="0"/>
              </w:rPr>
              <w:t xml:space="preserve">Motor de Carga y ETL</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jc w:val="both"/>
              <w:rPr>
                <w:b w:val="1"/>
                <w:bCs w:val="1"/>
                <w:sz w:val="15"/>
                <w:szCs w:val="15"/>
              </w:rPr>
            </w:pPr>
            <w:r w:rsidDel="00000000" w:rsidR="00000000" w:rsidRPr="00000000">
              <w:rPr>
                <w:b w:val="1"/>
                <w:bCs w:val="1"/>
                <w:sz w:val="15"/>
                <w:szCs w:val="15"/>
                <w:rtl w:val="0"/>
              </w:rPr>
              <w:t xml:space="preserve">Backend y API</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jc w:val="both"/>
              <w:rPr>
                <w:b w:val="1"/>
                <w:bCs w:val="1"/>
                <w:sz w:val="15"/>
                <w:szCs w:val="15"/>
              </w:rPr>
            </w:pPr>
            <w:r w:rsidDel="00000000" w:rsidR="00000000" w:rsidRPr="00000000">
              <w:rPr>
                <w:b w:val="1"/>
                <w:bCs w:val="1"/>
                <w:sz w:val="15"/>
                <w:szCs w:val="15"/>
                <w:rtl w:val="0"/>
              </w:rPr>
              <w:t xml:space="preserve">Frontend y Dashboard</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jc w:val="both"/>
              <w:rPr>
                <w:b w:val="1"/>
                <w:bCs w:val="1"/>
                <w:sz w:val="15"/>
                <w:szCs w:val="15"/>
              </w:rPr>
            </w:pPr>
            <w:r w:rsidDel="00000000" w:rsidR="00000000" w:rsidRPr="00000000">
              <w:rPr>
                <w:b w:val="1"/>
                <w:bCs w:val="1"/>
                <w:sz w:val="15"/>
                <w:szCs w:val="15"/>
                <w:rtl w:val="0"/>
              </w:rPr>
              <w:t xml:space="preserve">Seguridad y Control de Acceso</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jc w:val="both"/>
              <w:rPr>
                <w:b w:val="1"/>
                <w:bCs w:val="1"/>
                <w:sz w:val="15"/>
                <w:szCs w:val="15"/>
              </w:rPr>
            </w:pPr>
            <w:r w:rsidDel="00000000" w:rsidR="00000000" w:rsidRPr="00000000">
              <w:rPr>
                <w:b w:val="1"/>
                <w:bCs w:val="1"/>
                <w:sz w:val="15"/>
                <w:szCs w:val="15"/>
                <w:rtl w:val="0"/>
              </w:rPr>
              <w:t xml:space="preserve">Integración del Sistema</w:t>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jc w:val="both"/>
              <w:rPr>
                <w:b w:val="1"/>
                <w:bCs w:val="1"/>
                <w:sz w:val="15"/>
                <w:szCs w:val="15"/>
              </w:rPr>
            </w:pPr>
            <w:r w:rsidDel="00000000" w:rsidR="00000000" w:rsidRPr="00000000">
              <w:rPr>
                <w:b w:val="1"/>
                <w:bCs w:val="1"/>
                <w:sz w:val="15"/>
                <w:szCs w:val="15"/>
                <w:rtl w:val="0"/>
              </w:rPr>
              <w:t xml:space="preserve">Pruebas y Validación</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jc w:val="both"/>
              <w:rPr>
                <w:b w:val="1"/>
                <w:bCs w:val="1"/>
                <w:sz w:val="15"/>
                <w:szCs w:val="15"/>
              </w:rPr>
            </w:pPr>
            <w:r w:rsidDel="00000000" w:rsidR="00000000" w:rsidRPr="00000000">
              <w:rPr>
                <w:b w:val="1"/>
                <w:bCs w:val="1"/>
                <w:sz w:val="15"/>
                <w:szCs w:val="15"/>
                <w:rtl w:val="0"/>
              </w:rPr>
              <w:t xml:space="preserve">Empaquetado e Implementación Local</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jc w:val="both"/>
              <w:rPr>
                <w:b w:val="1"/>
                <w:bCs w:val="1"/>
                <w:sz w:val="15"/>
                <w:szCs w:val="15"/>
              </w:rPr>
            </w:pPr>
            <w:r w:rsidDel="00000000" w:rsidR="00000000" w:rsidRPr="00000000">
              <w:rPr>
                <w:b w:val="1"/>
                <w:bCs w:val="1"/>
                <w:sz w:val="15"/>
                <w:szCs w:val="15"/>
                <w:rtl w:val="0"/>
              </w:rPr>
              <w:t xml:space="preserve">Documentación</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jc w:val="both"/>
              <w:rPr>
                <w:b w:val="1"/>
                <w:bCs w:val="1"/>
                <w:sz w:val="15"/>
                <w:szCs w:val="15"/>
              </w:rPr>
            </w:pPr>
            <w:r w:rsidDel="00000000" w:rsidR="00000000" w:rsidRPr="00000000">
              <w:rPr>
                <w:b w:val="1"/>
                <w:bCs w:val="1"/>
                <w:sz w:val="15"/>
                <w:szCs w:val="15"/>
                <w:rtl w:val="0"/>
              </w:rPr>
              <w:t xml:space="preserve">Capacitación y Puesta en Marcha</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gridSpan w:val="2"/>
            <w:shd w:fill="4472c4"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4472c4"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YQy1X7AxkxcpKlPwtkE9WeF14Q==">CgMxLjA4AHIhMV9LWGd2WkliUUdWNG4tUVhGck0yWDI1RmdUUDJRODdK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