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2"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5" name="Shape 5"/>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7" name="Shape 7"/>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9" name="Shape 9"/>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Diego Cruz Medina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21.575.964-4</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Duoc UC Plaza Norte</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Cristóbal Irarrázabal</w:t>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21.612.496-0</w:t>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Duoc UC Plaza Norte</w:t>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F">
            <w:pPr>
              <w:rPr>
                <w:b w:val="1"/>
                <w:bCs w:val="1"/>
              </w:rPr>
            </w:pPr>
            <w:r w:rsidDel="00000000" w:rsidR="00000000" w:rsidRPr="00000000">
              <w:rPr>
                <w:b w:val="1"/>
                <w:bCs w:val="1"/>
                <w:rtl w:val="0"/>
              </w:rPr>
              <w:t xml:space="preserve">Jhonny Silva</w:t>
            </w:r>
          </w:p>
        </w:tc>
      </w:tr>
      <w:tr>
        <w:trPr>
          <w:cantSplit w:val="0"/>
          <w:trHeight w:val="418"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21.761.174-1</w:t>
            </w:r>
          </w:p>
        </w:tc>
      </w:tr>
      <w:tr>
        <w:trPr>
          <w:cantSplit w:val="0"/>
          <w:trHeight w:val="425"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3">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Duoc UC Plaza Norte</w:t>
            </w:r>
          </w:p>
        </w:tc>
      </w:tr>
    </w:tbl>
    <w:p w:rsidR="00000000" w:rsidDel="00000000" w:rsidP="00000000" w:rsidRDefault="00000000" w:rsidRPr="00000000" w14:paraId="00000026">
      <w:pPr>
        <w:rPr>
          <w:b w:val="1"/>
          <w:bCs w:val="1"/>
          <w:color w:val="4472c4"/>
          <w:sz w:val="24"/>
          <w:szCs w:val="24"/>
        </w:rPr>
      </w:pPr>
      <w:r w:rsidDel="00000000" w:rsidR="00000000" w:rsidRPr="00000000">
        <w:rPr>
          <w:rtl w:val="0"/>
        </w:rPr>
      </w:r>
    </w:p>
    <w:p w:rsidR="00000000" w:rsidDel="00000000" w:rsidP="00000000" w:rsidRDefault="00000000" w:rsidRPr="00000000" w14:paraId="00000027">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A">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C">
            <w:pPr>
              <w:rPr>
                <w:b w:val="1"/>
                <w:bCs w:val="1"/>
              </w:rPr>
            </w:pPr>
            <w:r w:rsidDel="00000000" w:rsidR="00000000" w:rsidRPr="00000000">
              <w:rPr>
                <w:i w:val="1"/>
                <w:iCs w:val="1"/>
                <w:sz w:val="20"/>
                <w:szCs w:val="20"/>
                <w:rtl w:val="0"/>
              </w:rPr>
              <w:t xml:space="preserve">CarteraX</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E">
            <w:pPr>
              <w:rPr>
                <w:b w:val="1"/>
                <w:bCs w:val="1"/>
              </w:rPr>
            </w:pPr>
            <w:r w:rsidDel="00000000" w:rsidR="00000000" w:rsidRPr="00000000">
              <w:rPr>
                <w:rFonts w:ascii="Calibri" w:cs="Calibri" w:eastAsia="Calibri" w:hAnsi="Calibri"/>
                <w:i w:val="1"/>
                <w:iCs w:val="1"/>
                <w:sz w:val="20"/>
                <w:szCs w:val="20"/>
                <w:rtl w:val="0"/>
              </w:rPr>
              <w:t xml:space="preserve">Desarrollo de software y sistemas de información, con énfasis en ingeniería de software, bases de datos y automatización de procesos de negocio.</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1">
            <w:pPr>
              <w:rPr>
                <w:b w:val="1"/>
                <w:bCs w:val="1"/>
              </w:rPr>
            </w:pPr>
            <w:r w:rsidDel="00000000" w:rsidR="00000000" w:rsidRPr="00000000">
              <w:rPr>
                <w:rFonts w:ascii="Calibri" w:cs="Calibri" w:eastAsia="Calibri" w:hAnsi="Calibri"/>
                <w:i w:val="1"/>
                <w:iCs w:val="1"/>
                <w:sz w:val="20"/>
                <w:szCs w:val="20"/>
                <w:rtl w:val="0"/>
              </w:rPr>
              <w:t xml:space="preserve">Diseñar y desarrollar aplicaciones de software; modelar y administrar bases de datos; aplicar metodologías de ingeniería de software y buenas prácticas de desarrollo; trabajar en equipo aplicando control de versiones; y elaborar soluciones tecnológicas orientadas a resolver problemáticas reales de una organización.</w:t>
            </w:r>
            <w:r w:rsidDel="00000000" w:rsidR="00000000" w:rsidRPr="00000000">
              <w:rPr>
                <w:rtl w:val="0"/>
              </w:rPr>
            </w:r>
          </w:p>
        </w:tc>
      </w:tr>
    </w:tbl>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4">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8">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Phoenix Service, unidad de Santander Consumer Finance Chile encargada de recuperar carteras morosas de créditos automotrices, cuenta con un equipo de 20 ejecutivos que gestiona mensualmente cerca de 200 clientes cada uno utilizando archivos Excel con formatos inconsistentes y sistemas internos del banco. Esto genera pérdida de horas en formateo manual de datos, falta de visualización en tiempo real de metas e indicadores, y errores en la priorización de casos críticos. El proyecto CarteraX busca solucionar esta problemática mediante una aplicación local que organiza, </w:t>
            </w:r>
            <w:r w:rsidDel="00000000" w:rsidR="00000000" w:rsidRPr="00000000">
              <w:rPr>
                <w:i w:val="1"/>
                <w:iCs w:val="1"/>
                <w:sz w:val="20"/>
                <w:szCs w:val="20"/>
                <w:rtl w:val="0"/>
              </w:rPr>
              <w:t xml:space="preserve">válida</w:t>
            </w:r>
            <w:r w:rsidDel="00000000" w:rsidR="00000000" w:rsidRPr="00000000">
              <w:rPr>
                <w:rFonts w:ascii="Calibri" w:cs="Calibri" w:eastAsia="Calibri" w:hAnsi="Calibri"/>
                <w:i w:val="1"/>
                <w:iCs w:val="1"/>
                <w:sz w:val="20"/>
                <w:szCs w:val="20"/>
                <w:rtl w:val="0"/>
              </w:rPr>
              <w:t xml:space="preserve"> y visualiza automáticamente la información de cartera, siendo un aporte directo a la eficiencia operativa del área de cobranza.</w:t>
            </w:r>
          </w:p>
          <w:p w:rsidR="00000000" w:rsidDel="00000000" w:rsidP="00000000" w:rsidRDefault="00000000" w:rsidRPr="00000000" w14:paraId="0000003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sz w:val="20"/>
                <w:szCs w:val="20"/>
                <w:shd w:fill="auto" w:val="clear"/>
                <w:vertAlign w:val="baseline"/>
              </w:rPr>
            </w:pPr>
            <w:r w:rsidDel="00000000" w:rsidR="00000000" w:rsidRPr="00000000">
              <w:rPr>
                <w:rFonts w:ascii="Calibri" w:cs="Calibri" w:eastAsia="Calibri" w:hAnsi="Calibri"/>
                <w:b w:val="0"/>
                <w:bCs w:val="0"/>
                <w:i w:val="1"/>
                <w:iCs w:val="1"/>
                <w:smallCaps w:val="0"/>
                <w:strike w:val="0"/>
                <w:sz w:val="20"/>
                <w:szCs w:val="20"/>
                <w:u w:val="none"/>
                <w:shd w:fill="auto" w:val="clear"/>
                <w:vertAlign w:val="baseline"/>
                <w:rtl w:val="0"/>
              </w:rPr>
              <w:t xml:space="preserve">Escogimos este tema porque combina desarrollo de software, gestión de datos y automatización de procesos, competencias centrales de Ingeniería en Informática. Es relevante para el campo laboral porque la mayoría de las organizaciones financieras aún dependen de procesos manuales en Excel, y solucionar esa brecha con una herramienta a medida representa una necesidad real y transferible a otras industrias.</w:t>
            </w:r>
            <w:r w:rsidDel="00000000" w:rsidR="00000000" w:rsidRPr="00000000">
              <w:rPr>
                <w:rtl w:val="0"/>
              </w:rPr>
            </w:r>
          </w:p>
          <w:p w:rsidR="00000000" w:rsidDel="00000000" w:rsidP="00000000" w:rsidRDefault="00000000" w:rsidRPr="00000000" w14:paraId="0000003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1"/>
                <w:iCs w:val="1"/>
                <w:smallCaps w:val="0"/>
                <w:strike w:val="0"/>
                <w:sz w:val="20"/>
                <w:szCs w:val="20"/>
                <w:shd w:fill="auto" w:val="clear"/>
                <w:vertAlign w:val="baseline"/>
              </w:rPr>
            </w:pPr>
            <w:r w:rsidDel="00000000" w:rsidR="00000000" w:rsidRPr="00000000">
              <w:rPr>
                <w:rFonts w:ascii="Calibri" w:cs="Calibri" w:eastAsia="Calibri" w:hAnsi="Calibri"/>
                <w:b w:val="0"/>
                <w:bCs w:val="0"/>
                <w:i w:val="1"/>
                <w:iCs w:val="1"/>
                <w:smallCaps w:val="0"/>
                <w:strike w:val="0"/>
                <w:sz w:val="20"/>
                <w:szCs w:val="20"/>
                <w:u w:val="none"/>
                <w:shd w:fill="auto" w:val="clear"/>
                <w:vertAlign w:val="baseline"/>
                <w:rtl w:val="0"/>
              </w:rPr>
              <w:t xml:space="preserve">La situación se ubica en Chile, específicamente en Phoenix Service, unidad interna de Santander Consumer Finance Chile dedicada a la cobranza de carteras morosas de créditos automotrices. Es un entorno corporativo bancario con altos estándares de seguridad, por lo que la solución debe operar de forma local, sin depender de servicios en la nube.</w:t>
            </w:r>
            <w:r w:rsidDel="00000000" w:rsidR="00000000" w:rsidRPr="00000000">
              <w:rPr>
                <w:rtl w:val="0"/>
              </w:rPr>
            </w:r>
          </w:p>
          <w:p w:rsidR="00000000" w:rsidDel="00000000" w:rsidP="00000000" w:rsidRDefault="00000000" w:rsidRPr="00000000" w14:paraId="0000003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sz w:val="20"/>
                <w:szCs w:val="20"/>
                <w:shd w:fill="auto" w:val="clear"/>
                <w:vertAlign w:val="baseline"/>
              </w:rPr>
            </w:pPr>
            <w:r w:rsidDel="00000000" w:rsidR="00000000" w:rsidRPr="00000000">
              <w:rPr>
                <w:rFonts w:ascii="Calibri" w:cs="Calibri" w:eastAsia="Calibri" w:hAnsi="Calibri"/>
                <w:b w:val="0"/>
                <w:bCs w:val="0"/>
                <w:i w:val="1"/>
                <w:iCs w:val="1"/>
                <w:smallCaps w:val="0"/>
                <w:strike w:val="0"/>
                <w:sz w:val="20"/>
                <w:szCs w:val="20"/>
                <w:u w:val="none"/>
                <w:shd w:fill="auto" w:val="clear"/>
                <w:vertAlign w:val="baseline"/>
                <w:rtl w:val="0"/>
              </w:rPr>
              <w:t xml:space="preserve">Afecta directamente a los 20 ejecutivos de cobranza y a los supervisores de cartera de Phoenix Service, quienes hoy pierden entre 3 y 4 horas diarias formateando datos en Excel, e indirectamente a la jefatura de Phoenix Service, responsable de los resultados de recuperación de la cartera.</w:t>
            </w:r>
            <w:r w:rsidDel="00000000" w:rsidR="00000000" w:rsidRPr="00000000">
              <w:rPr>
                <w:rtl w:val="0"/>
              </w:rPr>
            </w:r>
          </w:p>
          <w:p w:rsidR="00000000" w:rsidDel="00000000" w:rsidP="00000000" w:rsidRDefault="00000000" w:rsidRPr="00000000" w14:paraId="0000003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sz w:val="20"/>
                <w:szCs w:val="20"/>
                <w:shd w:fill="auto" w:val="clear"/>
                <w:vertAlign w:val="baseline"/>
              </w:rPr>
            </w:pPr>
            <w:r w:rsidDel="00000000" w:rsidR="00000000" w:rsidRPr="00000000">
              <w:rPr>
                <w:rFonts w:ascii="Calibri" w:cs="Calibri" w:eastAsia="Calibri" w:hAnsi="Calibri"/>
                <w:b w:val="0"/>
                <w:bCs w:val="0"/>
                <w:i w:val="1"/>
                <w:iCs w:val="1"/>
                <w:smallCaps w:val="0"/>
                <w:strike w:val="0"/>
                <w:sz w:val="20"/>
                <w:szCs w:val="20"/>
                <w:u w:val="none"/>
                <w:shd w:fill="auto" w:val="clear"/>
                <w:vertAlign w:val="baseline"/>
                <w:rtl w:val="0"/>
              </w:rPr>
              <w:t xml:space="preserve">El aporte de valor es reducir de 3-4 horas a menos de 1 hora diaria el tiempo dedicado a ordenar datos, entregar visibilidad en tiempo real de los indicadores de gestión y metas, mejorar la priorización de casos críticos mediante alarmas y estados de gestión (Gestionado, En progreso, Alerta, Normalizado) con trazabilidad por comentarios, agilizar el contacto con los clientes a través de mensajería automatizada por Gmail y WhatsApp, y optimizar la gestión telefónica mediante un marcador automático de números que conecta la llamada directamente al ejecutivo, aumentando la eficiencia y efectividad del proceso de cobranza sin exponer datos sensibles a servicios externos.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E">
            <w:pPr>
              <w:jc w:val="both"/>
              <w:rPr>
                <w:rFonts w:ascii="Calibri" w:cs="Calibri" w:eastAsia="Calibri" w:hAnsi="Calibri"/>
                <w:i w:val="1"/>
                <w:iCs w:val="1"/>
                <w:sz w:val="20"/>
                <w:szCs w:val="20"/>
                <w:highlight w:val="cyan"/>
              </w:rPr>
            </w:pPr>
            <w:r w:rsidDel="00000000" w:rsidR="00000000" w:rsidRPr="00000000">
              <w:rPr>
                <w:rFonts w:ascii="Calibri" w:cs="Calibri" w:eastAsia="Calibri" w:hAnsi="Calibri"/>
                <w:i w:val="1"/>
                <w:iCs w:val="1"/>
                <w:sz w:val="20"/>
                <w:szCs w:val="20"/>
                <w:rtl w:val="0"/>
              </w:rPr>
              <w:t xml:space="preserve">Se espera diseñar e implementar CarteraX, una aplicación local (on-premise) que permita a los ejecutivos de Phoenix Service arrastrar y soltar (drag &amp; drop) sus archivos Excel/CSV de cartera para que el sistema los limpie, normalice y organice automáticamente en un panel de indicadores navegable, con filtros y buscador de casos. El sistema incorporará un dashboard configurable según metas de gestión definidas por el usuario, alarmas por fechas para notificaciones recordatorias, y un módulo de gestión de casos que permite marcar cada cliente en un estado (Gestionado, En progreso, Alerta o Normalizado) dejando un comentario asociado. Además, contará con envío de mensajes automatizados por correo (Gmail) y WhatsApp a partir de los datos de contacto del Excel, y un módulo adicional de marcado telefónico automático, que permite ingresar números y marcar de forma automática al teléfono del ejecutivo, quien contesta y gestiona la llamada de manera manual una vez establecida la conexión. El sistema se construirá con un frontend en React/TypeScript, un backend en Python/FastAPI, un motor ETL con Pandas/OpenPyXL, integraciones con APIs de Gmail, WhatsApp Business y telefonía (marcación automática), y una base de datos PostgreSQL local, sin depender de servicios en la nube.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0">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CarteraX se relaciona directamente con el perfil de egreso de Ingeniería en Informática, pues integra el diseño y desarrollo de software, el modelamiento y administración de bases de datos, y la aplicación de buenas prácticas de ingeniería para resolver un problema real de negocio, competencias evaluadas a lo largo de la carrera.</w:t>
            </w:r>
          </w:p>
          <w:p w:rsidR="00000000" w:rsidDel="00000000" w:rsidP="00000000" w:rsidRDefault="00000000" w:rsidRPr="00000000" w14:paraId="00000041">
            <w:pPr>
              <w:jc w:val="both"/>
              <w:rPr>
                <w:rFonts w:ascii="Calibri" w:cs="Calibri" w:eastAsia="Calibri" w:hAnsi="Calibri"/>
                <w:i w:val="1"/>
                <w:iCs w:val="1"/>
                <w:sz w:val="20"/>
                <w:szCs w:val="20"/>
                <w:highlight w:val="yellow"/>
              </w:rPr>
            </w:pPr>
            <w:r w:rsidDel="00000000" w:rsidR="00000000" w:rsidRPr="00000000">
              <w:rPr>
                <w:rFonts w:ascii="Calibri" w:cs="Calibri" w:eastAsia="Calibri" w:hAnsi="Calibri"/>
                <w:i w:val="1"/>
                <w:iCs w:val="1"/>
                <w:sz w:val="20"/>
                <w:szCs w:val="20"/>
                <w:rtl w:val="0"/>
              </w:rPr>
              <w:t xml:space="preserve">Las competencias de diseño de software, gestión de bases de datos y trabajo en equipo bajo control de versiones son indispensables para construir el motor ETL, el backend, el frontend y la base de datos de CarteraX, y para coordinar el trabajo entre los tres integrantes del equipo de desarrollo.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3">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Como equipo, tenemos interés en el desarrollo de software empresarial, la ingeniería de datos y la construcción de soluciones full-stack, áreas que se ven directamente reflejadas en CarteraX.</w:t>
            </w:r>
          </w:p>
          <w:p w:rsidR="00000000" w:rsidDel="00000000" w:rsidP="00000000" w:rsidRDefault="00000000" w:rsidRPr="00000000" w14:paraId="00000044">
            <w:pPr>
              <w:jc w:val="both"/>
              <w:rPr>
                <w:rFonts w:ascii="Calibri" w:cs="Calibri" w:eastAsia="Calibri" w:hAnsi="Calibri"/>
                <w:i w:val="1"/>
                <w:iCs w:val="1"/>
                <w:sz w:val="20"/>
                <w:szCs w:val="20"/>
                <w:highlight w:val="yellow"/>
              </w:rPr>
            </w:pPr>
            <w:r w:rsidDel="00000000" w:rsidR="00000000" w:rsidRPr="00000000">
              <w:rPr>
                <w:rFonts w:ascii="Calibri" w:cs="Calibri" w:eastAsia="Calibri" w:hAnsi="Calibri"/>
                <w:i w:val="1"/>
                <w:iCs w:val="1"/>
                <w:sz w:val="20"/>
                <w:szCs w:val="20"/>
                <w:rtl w:val="0"/>
              </w:rPr>
              <w:t xml:space="preserve">Nuestros intereses profesionales se centran en el desarrollo de aplicaciones web, el diseño de bases de datos y la automatización de procesos con Python. Desarrollar CarteraX nos permite aplicar estas áreas en un caso real de negocio bancario, fortaleciendo nuestra experiencia en proyectos de software de principio a fin, desde el levantamiento de requerimientos hasta la puesta en marcha.</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6">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El desarrollo de CarteraX es factible porque el equipo cuenta con las competencias técnicas necesarias, el cronograma se ajusta al periodo académico (18 semanas) y el stack tecnológico seleccionado (React, Python/FastAPI, PostgreSQL, Docker) es de código abierto y ya conocido por el equipo.</w:t>
            </w:r>
          </w:p>
          <w:p w:rsidR="00000000" w:rsidDel="00000000" w:rsidP="00000000" w:rsidRDefault="00000000" w:rsidRPr="00000000" w14:paraId="00000047">
            <w:pP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Es posible desarrollar el Proyecto APT considerando lo siguiente:</w:t>
            </w:r>
          </w:p>
          <w:p w:rsidR="00000000" w:rsidDel="00000000" w:rsidP="00000000" w:rsidRDefault="00000000" w:rsidRPr="00000000" w14:paraId="0000004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sz w:val="20"/>
                <w:szCs w:val="20"/>
                <w:shd w:fill="auto" w:val="clear"/>
                <w:vertAlign w:val="baseline"/>
              </w:rPr>
            </w:pPr>
            <w:r w:rsidDel="00000000" w:rsidR="00000000" w:rsidRPr="00000000">
              <w:rPr>
                <w:rFonts w:ascii="Calibri" w:cs="Calibri" w:eastAsia="Calibri" w:hAnsi="Calibri"/>
                <w:b w:val="0"/>
                <w:bCs w:val="0"/>
                <w:i w:val="1"/>
                <w:iCs w:val="1"/>
                <w:smallCaps w:val="0"/>
                <w:strike w:val="0"/>
                <w:sz w:val="20"/>
                <w:szCs w:val="20"/>
                <w:u w:val="none"/>
                <w:shd w:fill="auto" w:val="clear"/>
                <w:vertAlign w:val="baseline"/>
                <w:rtl w:val="0"/>
              </w:rPr>
              <w:t xml:space="preserve">Duración del semestre: 18 semanas, que coinciden con las tres fases de la asignatura de Portafolio de Título.</w:t>
            </w:r>
            <w:r w:rsidDel="00000000" w:rsidR="00000000" w:rsidRPr="00000000">
              <w:rPr>
                <w:rtl w:val="0"/>
              </w:rPr>
            </w:r>
          </w:p>
          <w:p w:rsidR="00000000" w:rsidDel="00000000" w:rsidP="00000000" w:rsidRDefault="00000000" w:rsidRPr="00000000" w14:paraId="0000004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sz w:val="20"/>
                <w:szCs w:val="20"/>
                <w:shd w:fill="auto" w:val="clear"/>
                <w:vertAlign w:val="baseline"/>
              </w:rPr>
            </w:pPr>
            <w:r w:rsidDel="00000000" w:rsidR="00000000" w:rsidRPr="00000000">
              <w:rPr>
                <w:rFonts w:ascii="Calibri" w:cs="Calibri" w:eastAsia="Calibri" w:hAnsi="Calibri"/>
                <w:b w:val="0"/>
                <w:bCs w:val="0"/>
                <w:i w:val="1"/>
                <w:iCs w:val="1"/>
                <w:smallCaps w:val="0"/>
                <w:strike w:val="0"/>
                <w:sz w:val="20"/>
                <w:szCs w:val="20"/>
                <w:u w:val="none"/>
                <w:shd w:fill="auto" w:val="clear"/>
                <w:vertAlign w:val="baseline"/>
                <w:rtl w:val="0"/>
              </w:rPr>
              <w:t xml:space="preserve">Horas asignadas a la asignatura: las horas de la asignatura Evaluación de Proyectos, distribuidas entre las 6 fases del cronograma preliminar del proyecto.</w:t>
            </w:r>
            <w:r w:rsidDel="00000000" w:rsidR="00000000" w:rsidRPr="00000000">
              <w:rPr>
                <w:rtl w:val="0"/>
              </w:rPr>
            </w:r>
          </w:p>
          <w:p w:rsidR="00000000" w:rsidDel="00000000" w:rsidP="00000000" w:rsidRDefault="00000000" w:rsidRPr="00000000" w14:paraId="0000004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sz w:val="20"/>
                <w:szCs w:val="20"/>
                <w:shd w:fill="auto" w:val="clear"/>
                <w:vertAlign w:val="baseline"/>
              </w:rPr>
            </w:pPr>
            <w:r w:rsidDel="00000000" w:rsidR="00000000" w:rsidRPr="00000000">
              <w:rPr>
                <w:rFonts w:ascii="Calibri" w:cs="Calibri" w:eastAsia="Calibri" w:hAnsi="Calibri"/>
                <w:b w:val="0"/>
                <w:bCs w:val="0"/>
                <w:i w:val="1"/>
                <w:iCs w:val="1"/>
                <w:smallCaps w:val="0"/>
                <w:strike w:val="0"/>
                <w:sz w:val="20"/>
                <w:szCs w:val="20"/>
                <w:u w:val="none"/>
                <w:shd w:fill="auto" w:val="clear"/>
                <w:vertAlign w:val="baseline"/>
                <w:rtl w:val="0"/>
              </w:rPr>
              <w:t xml:space="preserve">Materiales requeridos: equipos con Docker, acceso a datos de ejemplo anonimizados de Phoenix Service, y licencias de las herramientas de desarrollo (todas de código abierto).</w:t>
            </w:r>
            <w:r w:rsidDel="00000000" w:rsidR="00000000" w:rsidRPr="00000000">
              <w:rPr>
                <w:rtl w:val="0"/>
              </w:rPr>
            </w:r>
          </w:p>
          <w:p w:rsidR="00000000" w:rsidDel="00000000" w:rsidP="00000000" w:rsidRDefault="00000000" w:rsidRPr="00000000" w14:paraId="0000004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sz w:val="20"/>
                <w:szCs w:val="20"/>
                <w:shd w:fill="auto" w:val="clear"/>
                <w:vertAlign w:val="baseline"/>
              </w:rPr>
            </w:pPr>
            <w:r w:rsidDel="00000000" w:rsidR="00000000" w:rsidRPr="00000000">
              <w:rPr>
                <w:rFonts w:ascii="Calibri" w:cs="Calibri" w:eastAsia="Calibri" w:hAnsi="Calibri"/>
                <w:b w:val="0"/>
                <w:bCs w:val="0"/>
                <w:i w:val="1"/>
                <w:iCs w:val="1"/>
                <w:smallCaps w:val="0"/>
                <w:strike w:val="0"/>
                <w:sz w:val="20"/>
                <w:szCs w:val="20"/>
                <w:u w:val="none"/>
                <w:shd w:fill="auto" w:val="clear"/>
                <w:vertAlign w:val="baseline"/>
                <w:rtl w:val="0"/>
              </w:rPr>
              <w:t xml:space="preserve">Factores externos que facilitan su desarrollo: el apoyo de la jefatura de Phoenix Service, el acceso a información del proceso actual, y el dominio previo del equipo sobre el stack tecnológico definido.</w:t>
            </w:r>
            <w:r w:rsidDel="00000000" w:rsidR="00000000" w:rsidRPr="00000000">
              <w:rPr>
                <w:rtl w:val="0"/>
              </w:rPr>
            </w:r>
          </w:p>
          <w:p w:rsidR="00000000" w:rsidDel="00000000" w:rsidP="00000000" w:rsidRDefault="00000000" w:rsidRPr="00000000" w14:paraId="0000004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sz w:val="20"/>
                <w:szCs w:val="20"/>
                <w:shd w:fill="auto" w:val="clear"/>
                <w:vertAlign w:val="baseline"/>
              </w:rPr>
            </w:pPr>
            <w:r w:rsidDel="00000000" w:rsidR="00000000" w:rsidRPr="00000000">
              <w:rPr>
                <w:rFonts w:ascii="Calibri" w:cs="Calibri" w:eastAsia="Calibri" w:hAnsi="Calibri"/>
                <w:b w:val="0"/>
                <w:bCs w:val="0"/>
                <w:i w:val="1"/>
                <w:iCs w:val="1"/>
                <w:smallCaps w:val="0"/>
                <w:strike w:val="0"/>
                <w:sz w:val="20"/>
                <w:szCs w:val="20"/>
                <w:u w:val="none"/>
                <w:shd w:fill="auto" w:val="clear"/>
                <w:vertAlign w:val="baseline"/>
                <w:rtl w:val="0"/>
              </w:rPr>
              <w:t xml:space="preserve">Factores externos que dificultan su desarrollo y maneras en que podrías solucionarlos: la variabilidad de formatos de Excel entre ejecutivos, que se mitiga con un motor de validación flexible probado con archivos reales desde la fase 1; y la resistencia al cambio de herramienta, que se aborda con capacitación temprana y un focus group de validación.</w:t>
            </w:r>
            <w:r w:rsidDel="00000000" w:rsidR="00000000" w:rsidRPr="00000000">
              <w:rPr>
                <w:rtl w:val="0"/>
              </w:rPr>
            </w:r>
          </w:p>
        </w:tc>
      </w:tr>
    </w:tbl>
    <w:p w:rsidR="00000000" w:rsidDel="00000000" w:rsidP="00000000" w:rsidRDefault="00000000" w:rsidRPr="00000000" w14:paraId="0000004D">
      <w:pPr>
        <w:rPr>
          <w:b w:val="1"/>
          <w:bCs w:val="1"/>
          <w:color w:val="4472c4"/>
          <w:sz w:val="32"/>
          <w:szCs w:val="32"/>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F">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3">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Diseñar e implementar una aplicación local de escritorio</w:t>
            </w:r>
            <w:r w:rsidDel="00000000" w:rsidR="00000000" w:rsidRPr="00000000">
              <w:rPr>
                <w:i w:val="1"/>
                <w:iCs w:val="1"/>
                <w:sz w:val="20"/>
                <w:szCs w:val="20"/>
                <w:rtl w:val="0"/>
              </w:rPr>
              <w:t xml:space="preserve"> </w:t>
            </w:r>
            <w:r w:rsidDel="00000000" w:rsidR="00000000" w:rsidRPr="00000000">
              <w:rPr>
                <w:rFonts w:ascii="Calibri" w:cs="Calibri" w:eastAsia="Calibri" w:hAnsi="Calibri"/>
                <w:i w:val="1"/>
                <w:iCs w:val="1"/>
                <w:sz w:val="20"/>
                <w:szCs w:val="20"/>
                <w:rtl w:val="0"/>
              </w:rPr>
              <w:t xml:space="preserve">local que permita a los ejecutivos de Phoenix Service cargar mediante arrastre (drag &amp; drop) sus archivos Excel de cartera, visualizar de forma automática, ordenada y en tiempo real sus indicadores de gestión y cumplimiento de metas, gestionar el estado de cada caso mediante alarmas y notificaciones, y comunicarse con los clientes a través de mensajería automatizada y marcación telefónica automática, sin depender de servicios en la nube.</w:t>
            </w:r>
          </w:p>
        </w:tc>
      </w:tr>
      <w:tr>
        <w:trPr>
          <w:cantSplit w:val="0"/>
          <w:trHeight w:val="834" w:hRule="atLeast"/>
          <w:tblHeader w:val="0"/>
        </w:trPr>
        <w:tc>
          <w:tcPr>
            <w:vAlign w:val="center"/>
          </w:tcPr>
          <w:p w:rsidR="00000000" w:rsidDel="00000000" w:rsidP="00000000" w:rsidRDefault="00000000" w:rsidRPr="00000000" w14:paraId="0000005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5">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(1) Reducir a menos de 1 hora diaria el tiempo dedicado a ordenar y formatear datos de cartera. (2) Automatizar la validación y normalización de los Excel cargados mediante un módulo ETL basado en Pandas/OpenPyXL. (3) Entregar un dashboard con indicadores clave en tiempo real (tasa de recuperación, días de morosidad, % cumplimiento de metas), configurable según las metas de gestión definidas por el usuario. (4) Incorporar filtros, buscador y alertas que prioricen automáticamente los casos críticos. (5) Implementar un módulo de gestión de casos que permita registrar el estado de cada cliente (Gestionado, En progreso, Alerta o Normalizado) junto con un comentario, y generar alarmas según fechas para notificaciones recordatorias. (6) Integrar el envío de mensajes automatizados por correo (Gmail) y WhatsApp a partir de los datos de contacto del Excel. (7) Desarrollar un módulo de marcado telefónico automático que permita ingresar números y marcarlos de forma automática al teléfono del ejecutivo, quien atiende y gestiona la llamada manualmente una vez contestada. (8) Garantizar que la solución funcione de forma local, sin conexión permanente a internet ni almacenamiento en la nube. (9) Validar la usabilidad de la herramienta con al menos un grupo de ejecutivos antes de la puesta en marcha.</w:t>
            </w:r>
          </w:p>
        </w:tc>
      </w:tr>
    </w:tbl>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8">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C">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El proyecto se abordará con una metodología tradicional (predictiva), de tipo cascada, basada en los lineamientos del PMBOK, con fases secuenciales que se completan en su totalidad antes de iniciar la siguiente: (1) Inicio, donde se elabora el Acta de Constitución del Proyecto que autoriza formalmente su ejecución y define objetivos, alcance preliminar e interesados; (2) Planificación, donde se definen el alcance detallado, la EDT (Estructura de Desglose del Trabajo), el cronograma (Carta Gantt), los recursos y los riesgos del proyecto; (3) Ejecución, donde se desarrollan el motor de carga ETL (Pandas/OpenPyXL), el dashboard de indicadores (React/Recharts) configurable según metas, el módulo de gestión de casos con estados y alarmas, las integraciones de mensajería automatizada (Gmail y WhatsApp), el módulo de marcado telefónico automático y la base de datos, conforme a lo planificado; (4) Monitoreo y Control, donde se realizan las pruebas automatizadas (Pytest/Vitest) y se verifica el cumplimiento del alcance, cronograma y calidad frente a la línea base; y (5) Cierre, donde se entrega la aplicación, el manual de usuario, se realiza la capacitación y se firma el Acta de cierre del proyecto. La planificación se define de forma anticipada y detallada al inicio, minimizando los cambios de alcance una vez aprobada la documentación base del proyecto.</w:t>
            </w:r>
          </w:p>
          <w:p w:rsidR="00000000" w:rsidDel="00000000" w:rsidP="00000000" w:rsidRDefault="00000000" w:rsidRPr="00000000" w14:paraId="0000005D">
            <w:pPr>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20"/>
                <w:szCs w:val="20"/>
                <w:rtl w:val="0"/>
              </w:rPr>
              <w:t xml:space="preserve">El equipo se organiza de la siguiente forma: Jhonny Silva como Project Lead, encargado de la planificación y coordinación general; Diego Cruz Medina, a cargo del desarrollo (frontend, backend y motor ETL); y Cristóbal Irarrázabal como Analista QA, responsable de las pruebas automatizadas y la validación con los usuarios.</w:t>
            </w:r>
            <w:r w:rsidDel="00000000" w:rsidR="00000000" w:rsidRPr="00000000">
              <w:rPr>
                <w:rtl w:val="0"/>
              </w:rPr>
            </w:r>
          </w:p>
        </w:tc>
      </w:tr>
    </w:tbl>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0">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1">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Acta de Constitución del Proyecto</w:t>
            </w:r>
            <w:r w:rsidDel="00000000" w:rsidR="00000000" w:rsidRPr="00000000">
              <w:rPr>
                <w:rtl w:val="0"/>
              </w:rPr>
            </w:r>
          </w:p>
        </w:tc>
        <w:tc>
          <w:tcPr/>
          <w:p w:rsidR="00000000" w:rsidDel="00000000" w:rsidP="00000000" w:rsidRDefault="00000000" w:rsidRPr="00000000" w14:paraId="0000006A">
            <w:pPr>
              <w:jc w:val="both"/>
              <w:rPr>
                <w:rFonts w:ascii="Calibri" w:cs="Calibri" w:eastAsia="Calibri" w:hAnsi="Calibri"/>
              </w:rPr>
            </w:pPr>
            <w:r w:rsidDel="00000000" w:rsidR="00000000" w:rsidRPr="00000000">
              <w:rPr>
                <w:rFonts w:ascii="Calibri" w:cs="Calibri" w:eastAsia="Calibri" w:hAnsi="Calibri"/>
                <w:rtl w:val="0"/>
              </w:rPr>
              <w:t xml:space="preserve">Documento formal que autoriza el inicio del proyecto, definiendo objetivos, alcance preliminar, interesados clave y patrocinador.</w:t>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Evidencia el inicio formal del proyecto y el compromiso del patrocinador (Phoenix Service) con el alcance definido.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EDT (Estructura de Desglose del Trabajo)</w:t>
            </w:r>
            <w:r w:rsidDel="00000000" w:rsidR="00000000" w:rsidRPr="00000000">
              <w:rPr>
                <w:rtl w:val="0"/>
              </w:rPr>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Descomposición jerárquica del trabajo del proyecto en fases y paquetes de trabajo (levantamiento, diseño, ETL, dashboard, pruebas, capacitación).</w:t>
            </w:r>
            <w:r w:rsidDel="00000000" w:rsidR="00000000" w:rsidRPr="00000000">
              <w:rPr>
                <w:rtl w:val="0"/>
              </w:rPr>
            </w:r>
          </w:p>
        </w:tc>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Permite planificar el alcance detallado, asignar responsables y controlar el trabajo antes de iniciar la ejecución.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Cronograma (Carta Gantt) y matriz de riesgos</w:t>
            </w:r>
            <w:r w:rsidDel="00000000" w:rsidR="00000000" w:rsidRPr="00000000">
              <w:rPr>
                <w:rtl w:val="0"/>
              </w:rPr>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Programación detallada de actividades por fase, junto con la matriz de riesgos y sus estrategias de mitigación.</w:t>
            </w:r>
            <w:r w:rsidDel="00000000" w:rsidR="00000000" w:rsidRPr="00000000">
              <w:rPr>
                <w:rtl w:val="0"/>
              </w:rPr>
            </w:r>
          </w:p>
        </w:tc>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Evidencia la planificación predictiva propia de la metodología tradicional y el control anticipado de tiempos y riesgos.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Final</w:t>
            </w:r>
            <w:r w:rsidDel="00000000" w:rsidR="00000000" w:rsidRPr="00000000">
              <w:rPr>
                <w:rtl w:val="0"/>
              </w:rPr>
            </w:r>
          </w:p>
        </w:tc>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Aplicación funcional, manual de usuario, informe de pruebas y Acta de cierre del proyecto</w:t>
            </w:r>
            <w:r w:rsidDel="00000000" w:rsidR="00000000" w:rsidRPr="00000000">
              <w:rPr>
                <w:rtl w:val="0"/>
              </w:rPr>
            </w:r>
          </w:p>
        </w:tc>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Sistema completo instalado localmente, documentación de uso, resultados de pruebas y cierre formal del proyecto.</w:t>
            </w:r>
            <w:r w:rsidDel="00000000" w:rsidR="00000000" w:rsidRPr="00000000">
              <w:rPr>
                <w:rtl w:val="0"/>
              </w:rPr>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Sistema completo instalado localmente, con pruebas Pytest/Vitest documentadas, manual de instalación/uso y Acta de cierre firmada por el patrocinador.</w:t>
            </w:r>
            <w:r w:rsidDel="00000000" w:rsidR="00000000" w:rsidRPr="00000000">
              <w:rPr>
                <w:rtl w:val="0"/>
              </w:rPr>
            </w:r>
          </w:p>
        </w:tc>
      </w:tr>
    </w:tbl>
    <w:p w:rsidR="00000000" w:rsidDel="00000000" w:rsidP="00000000" w:rsidRDefault="00000000" w:rsidRPr="00000000" w14:paraId="00000078">
      <w:pPr>
        <w:spacing w:after="0" w:line="360" w:lineRule="auto"/>
        <w:jc w:val="both"/>
        <w:rPr>
          <w:b w:val="1"/>
          <w:bCs w:val="1"/>
          <w:sz w:val="24"/>
          <w:szCs w:val="24"/>
        </w:rPr>
      </w:pPr>
      <w:r w:rsidDel="00000000" w:rsidR="00000000" w:rsidRPr="00000000">
        <w:rPr>
          <w:rtl w:val="0"/>
        </w:rPr>
        <w:t xml:space="preserve">Corresponde al entregable final que certifica el cumplimiento de los objetivos y la puesta en marcha del proyecto.</w:t>
      </w: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9">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B">
      <w:pPr>
        <w:spacing w:after="0" w:line="360" w:lineRule="auto"/>
        <w:jc w:val="both"/>
        <w:rPr>
          <w:b w:val="1"/>
          <w:bCs w:val="1"/>
          <w:sz w:val="24"/>
          <w:szCs w:val="24"/>
        </w:rPr>
      </w:pPr>
      <w:r w:rsidDel="00000000" w:rsidR="00000000" w:rsidRPr="00000000">
        <w:rPr>
          <w:rtl w:val="0"/>
        </w:rPr>
      </w:r>
    </w:p>
    <w:tbl>
      <w:tblPr>
        <w:tblStyle w:val="Table16"/>
        <w:tblW w:w="1104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90"/>
        <w:gridCol w:w="1575"/>
        <w:gridCol w:w="1575"/>
        <w:gridCol w:w="1575"/>
        <w:gridCol w:w="1575"/>
        <w:gridCol w:w="1575"/>
        <w:gridCol w:w="1575"/>
        <w:tblGridChange w:id="0">
          <w:tblGrid>
            <w:gridCol w:w="1590"/>
            <w:gridCol w:w="1575"/>
            <w:gridCol w:w="1575"/>
            <w:gridCol w:w="1575"/>
            <w:gridCol w:w="1575"/>
            <w:gridCol w:w="1575"/>
            <w:gridCol w:w="1575"/>
          </w:tblGrid>
        </w:tblGridChange>
      </w:tblGrid>
      <w:tr>
        <w:trPr>
          <w:cantSplit w:val="0"/>
          <w:tblHeader w:val="0"/>
        </w:trPr>
        <w:tc>
          <w:tcPr>
            <w:gridSpan w:val="7"/>
          </w:tcPr>
          <w:p w:rsidR="00000000" w:rsidDel="00000000" w:rsidP="00000000" w:rsidRDefault="00000000" w:rsidRPr="00000000" w14:paraId="0000007C">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8">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p>
        </w:tc>
        <w:tc>
          <w:tcPr>
            <w:vAlign w:val="center"/>
          </w:tcPr>
          <w:p w:rsidR="00000000" w:rsidDel="00000000" w:rsidP="00000000" w:rsidRDefault="00000000" w:rsidRPr="00000000" w14:paraId="0000008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8C">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8D">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8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8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90">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1">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92">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93">
            <w:pPr>
              <w:jc w:val="both"/>
              <w:rPr>
                <w:rFonts w:ascii="Calibri" w:cs="Calibri" w:eastAsia="Calibri" w:hAnsi="Calibri"/>
                <w:i w:val="1"/>
                <w:iCs w:val="1"/>
                <w:color w:val="548dd4"/>
                <w:sz w:val="18"/>
                <w:szCs w:val="18"/>
              </w:rPr>
            </w:pPr>
            <w:r w:rsidDel="00000000" w:rsidR="00000000" w:rsidRPr="00000000">
              <w:rPr>
                <w:rtl w:val="0"/>
              </w:rPr>
              <w:t xml:space="preserve">Análisis de requerimientos y modelamiento de procesos</w:t>
            </w:r>
            <w:r w:rsidDel="00000000" w:rsidR="00000000" w:rsidRPr="00000000">
              <w:rPr>
                <w:rtl w:val="0"/>
              </w:rPr>
            </w:r>
          </w:p>
        </w:tc>
        <w:tc>
          <w:tcPr/>
          <w:p w:rsidR="00000000" w:rsidDel="00000000" w:rsidP="00000000" w:rsidRDefault="00000000" w:rsidRPr="00000000" w14:paraId="00000094">
            <w:pPr>
              <w:jc w:val="both"/>
              <w:rPr>
                <w:rFonts w:ascii="Calibri" w:cs="Calibri" w:eastAsia="Calibri" w:hAnsi="Calibri"/>
                <w:i w:val="1"/>
                <w:iCs w:val="1"/>
                <w:color w:val="548dd4"/>
                <w:sz w:val="18"/>
                <w:szCs w:val="18"/>
              </w:rPr>
            </w:pPr>
            <w:r w:rsidDel="00000000" w:rsidR="00000000" w:rsidRPr="00000000">
              <w:rPr>
                <w:rtl w:val="0"/>
              </w:rPr>
              <w:t xml:space="preserve">Levantamiento y análisis funcional</w:t>
            </w:r>
            <w:r w:rsidDel="00000000" w:rsidR="00000000" w:rsidRPr="00000000">
              <w:rPr>
                <w:rtl w:val="0"/>
              </w:rPr>
            </w:r>
          </w:p>
        </w:tc>
        <w:tc>
          <w:tcPr/>
          <w:p w:rsidR="00000000" w:rsidDel="00000000" w:rsidP="00000000" w:rsidRDefault="00000000" w:rsidRPr="00000000" w14:paraId="00000095">
            <w:pPr>
              <w:jc w:val="both"/>
              <w:rPr>
                <w:rFonts w:ascii="Calibri" w:cs="Calibri" w:eastAsia="Calibri" w:hAnsi="Calibri"/>
                <w:i w:val="1"/>
                <w:iCs w:val="1"/>
                <w:color w:val="548dd4"/>
                <w:sz w:val="18"/>
                <w:szCs w:val="18"/>
              </w:rPr>
            </w:pPr>
            <w:r w:rsidDel="00000000" w:rsidR="00000000" w:rsidRPr="00000000">
              <w:rPr>
                <w:rtl w:val="0"/>
              </w:rPr>
              <w:t xml:space="preserve">Reunión con Phoenix Service para definir requerimientos, KPIs y roles de usuario (ejecutivo/supervisor).</w:t>
            </w:r>
            <w:r w:rsidDel="00000000" w:rsidR="00000000" w:rsidRPr="00000000">
              <w:rPr>
                <w:rtl w:val="0"/>
              </w:rPr>
            </w:r>
          </w:p>
        </w:tc>
        <w:tc>
          <w:tcPr/>
          <w:p w:rsidR="00000000" w:rsidDel="00000000" w:rsidP="00000000" w:rsidRDefault="00000000" w:rsidRPr="00000000" w14:paraId="00000096">
            <w:pPr>
              <w:jc w:val="both"/>
              <w:rPr>
                <w:rFonts w:ascii="Calibri" w:cs="Calibri" w:eastAsia="Calibri" w:hAnsi="Calibri"/>
                <w:i w:val="1"/>
                <w:iCs w:val="1"/>
                <w:color w:val="548dd4"/>
                <w:sz w:val="18"/>
                <w:szCs w:val="18"/>
              </w:rPr>
            </w:pPr>
            <w:r w:rsidDel="00000000" w:rsidR="00000000" w:rsidRPr="00000000">
              <w:rPr>
                <w:rtl w:val="0"/>
              </w:rPr>
              <w:t xml:space="preserve">Equipos del equipo, acceso a datos de ejemplo, plantillas Excel actuales</w:t>
            </w:r>
            <w:r w:rsidDel="00000000" w:rsidR="00000000" w:rsidRPr="00000000">
              <w:rPr>
                <w:rtl w:val="0"/>
              </w:rPr>
            </w:r>
          </w:p>
        </w:tc>
        <w:tc>
          <w:tcPr>
            <w:tcBorders>
              <w:right w:color="ffffff" w:space="0" w:sz="4" w:val="single"/>
            </w:tcBorders>
          </w:tcPr>
          <w:p w:rsidR="00000000" w:rsidDel="00000000" w:rsidP="00000000" w:rsidRDefault="00000000" w:rsidRPr="00000000" w14:paraId="00000097">
            <w:pPr>
              <w:jc w:val="both"/>
              <w:rPr>
                <w:rFonts w:ascii="Calibri" w:cs="Calibri" w:eastAsia="Calibri" w:hAnsi="Calibri"/>
                <w:i w:val="1"/>
                <w:iCs w:val="1"/>
                <w:color w:val="548dd4"/>
                <w:sz w:val="18"/>
                <w:szCs w:val="18"/>
              </w:rPr>
            </w:pPr>
            <w:r w:rsidDel="00000000" w:rsidR="00000000" w:rsidRPr="00000000">
              <w:rPr>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8">
            <w:pPr>
              <w:jc w:val="both"/>
              <w:rPr>
                <w:rFonts w:ascii="Calibri" w:cs="Calibri" w:eastAsia="Calibri" w:hAnsi="Calibri"/>
                <w:i w:val="1"/>
                <w:iCs w:val="1"/>
                <w:color w:val="548dd4"/>
                <w:sz w:val="18"/>
                <w:szCs w:val="18"/>
              </w:rPr>
            </w:pPr>
            <w:r w:rsidDel="00000000" w:rsidR="00000000" w:rsidRPr="00000000">
              <w:rPr>
                <w:rtl w:val="0"/>
              </w:rPr>
              <w:t xml:space="preserve">Jhonny Silva</w:t>
            </w:r>
            <w:r w:rsidDel="00000000" w:rsidR="00000000" w:rsidRPr="00000000">
              <w:rPr>
                <w:rtl w:val="0"/>
              </w:rPr>
            </w:r>
          </w:p>
        </w:tc>
        <w:tc>
          <w:tcPr/>
          <w:p w:rsidR="00000000" w:rsidDel="00000000" w:rsidP="00000000" w:rsidRDefault="00000000" w:rsidRPr="00000000" w14:paraId="00000099">
            <w:pPr>
              <w:jc w:val="both"/>
              <w:rPr>
                <w:rFonts w:ascii="Calibri" w:cs="Calibri" w:eastAsia="Calibri" w:hAnsi="Calibri"/>
                <w:i w:val="1"/>
                <w:iCs w:val="1"/>
                <w:color w:val="548dd4"/>
                <w:sz w:val="18"/>
                <w:szCs w:val="18"/>
              </w:rPr>
            </w:pPr>
            <w:r w:rsidDel="00000000" w:rsidR="00000000" w:rsidRPr="00000000">
              <w:rPr>
                <w:rtl w:val="0"/>
              </w:rPr>
              <w:t xml:space="preserve">Riesgo de formatos de Excel muy variables; se mitiga con entrevistas y muestras reales desde el inicio.</w:t>
            </w:r>
            <w:r w:rsidDel="00000000" w:rsidR="00000000" w:rsidRPr="00000000">
              <w:rPr>
                <w:rtl w:val="0"/>
              </w:rPr>
            </w:r>
          </w:p>
        </w:tc>
      </w:tr>
      <w:tr>
        <w:trPr>
          <w:cantSplit w:val="0"/>
          <w:tblHeader w:val="0"/>
        </w:trPr>
        <w:tc>
          <w:tcPr/>
          <w:p w:rsidR="00000000" w:rsidDel="00000000" w:rsidP="00000000" w:rsidRDefault="00000000" w:rsidRPr="00000000" w14:paraId="0000009A">
            <w:pPr>
              <w:jc w:val="both"/>
              <w:rPr>
                <w:rFonts w:ascii="Calibri" w:cs="Calibri" w:eastAsia="Calibri" w:hAnsi="Calibri"/>
                <w:i w:val="1"/>
                <w:iCs w:val="1"/>
                <w:color w:val="548dd4"/>
                <w:sz w:val="18"/>
                <w:szCs w:val="18"/>
              </w:rPr>
            </w:pPr>
            <w:r w:rsidDel="00000000" w:rsidR="00000000" w:rsidRPr="00000000">
              <w:rPr>
                <w:rtl w:val="0"/>
              </w:rPr>
              <w:t xml:space="preserve">Diseño de software y experiencia de usuario</w:t>
            </w:r>
            <w:r w:rsidDel="00000000" w:rsidR="00000000" w:rsidRPr="00000000">
              <w:rPr>
                <w:rtl w:val="0"/>
              </w:rPr>
            </w:r>
          </w:p>
        </w:tc>
        <w:tc>
          <w:tcPr/>
          <w:p w:rsidR="00000000" w:rsidDel="00000000" w:rsidP="00000000" w:rsidRDefault="00000000" w:rsidRPr="00000000" w14:paraId="0000009B">
            <w:pPr>
              <w:jc w:val="both"/>
              <w:rPr>
                <w:rFonts w:ascii="Calibri" w:cs="Calibri" w:eastAsia="Calibri" w:hAnsi="Calibri"/>
                <w:i w:val="1"/>
                <w:iCs w:val="1"/>
                <w:color w:val="548dd4"/>
                <w:sz w:val="18"/>
                <w:szCs w:val="18"/>
              </w:rPr>
            </w:pPr>
            <w:r w:rsidDel="00000000" w:rsidR="00000000" w:rsidRPr="00000000">
              <w:rPr>
                <w:rtl w:val="0"/>
              </w:rPr>
              <w:t xml:space="preserve">Diseño de arquitectura y UX/UI</w:t>
            </w:r>
            <w:r w:rsidDel="00000000" w:rsidR="00000000" w:rsidRPr="00000000">
              <w:rPr>
                <w:rtl w:val="0"/>
              </w:rPr>
            </w:r>
          </w:p>
        </w:tc>
        <w:tc>
          <w:tcPr/>
          <w:p w:rsidR="00000000" w:rsidDel="00000000" w:rsidP="00000000" w:rsidRDefault="00000000" w:rsidRPr="00000000" w14:paraId="0000009C">
            <w:pPr>
              <w:jc w:val="both"/>
              <w:rPr>
                <w:rFonts w:ascii="Calibri" w:cs="Calibri" w:eastAsia="Calibri" w:hAnsi="Calibri"/>
                <w:i w:val="1"/>
                <w:iCs w:val="1"/>
                <w:color w:val="548dd4"/>
                <w:sz w:val="18"/>
                <w:szCs w:val="18"/>
              </w:rPr>
            </w:pPr>
            <w:r w:rsidDel="00000000" w:rsidR="00000000" w:rsidRPr="00000000">
              <w:rPr>
                <w:rtl w:val="0"/>
              </w:rPr>
              <w:t xml:space="preserve">Definición de la arquitectura del sistema y prototipo navegable en Figma del dashboard y la zona de arrastre.</w:t>
            </w:r>
            <w:r w:rsidDel="00000000" w:rsidR="00000000" w:rsidRPr="00000000">
              <w:rPr>
                <w:rtl w:val="0"/>
              </w:rPr>
            </w:r>
          </w:p>
        </w:tc>
        <w:tc>
          <w:tcPr/>
          <w:p w:rsidR="00000000" w:rsidDel="00000000" w:rsidP="00000000" w:rsidRDefault="00000000" w:rsidRPr="00000000" w14:paraId="0000009D">
            <w:pPr>
              <w:jc w:val="both"/>
              <w:rPr>
                <w:rFonts w:ascii="Calibri" w:cs="Calibri" w:eastAsia="Calibri" w:hAnsi="Calibri"/>
                <w:i w:val="1"/>
                <w:iCs w:val="1"/>
                <w:color w:val="548dd4"/>
                <w:sz w:val="18"/>
                <w:szCs w:val="18"/>
              </w:rPr>
            </w:pPr>
            <w:r w:rsidDel="00000000" w:rsidR="00000000" w:rsidRPr="00000000">
              <w:rPr>
                <w:rtl w:val="0"/>
              </w:rPr>
              <w:t xml:space="preserve">Figma, diagramas de arquitectura</w:t>
            </w:r>
            <w:r w:rsidDel="00000000" w:rsidR="00000000" w:rsidRPr="00000000">
              <w:rPr>
                <w:rtl w:val="0"/>
              </w:rPr>
            </w:r>
          </w:p>
        </w:tc>
        <w:tc>
          <w:tcPr>
            <w:tcBorders>
              <w:right w:color="ffffff" w:space="0" w:sz="4" w:val="single"/>
            </w:tcBorders>
          </w:tcPr>
          <w:p w:rsidR="00000000" w:rsidDel="00000000" w:rsidP="00000000" w:rsidRDefault="00000000" w:rsidRPr="00000000" w14:paraId="0000009E">
            <w:pPr>
              <w:jc w:val="both"/>
              <w:rPr>
                <w:rFonts w:ascii="Calibri" w:cs="Calibri" w:eastAsia="Calibri" w:hAnsi="Calibri"/>
                <w:i w:val="1"/>
                <w:iCs w:val="1"/>
                <w:color w:val="548dd4"/>
                <w:sz w:val="18"/>
                <w:szCs w:val="18"/>
              </w:rPr>
            </w:pPr>
            <w:r w:rsidDel="00000000" w:rsidR="00000000" w:rsidRPr="00000000">
              <w:rPr>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F">
            <w:pPr>
              <w:jc w:val="both"/>
              <w:rPr>
                <w:rFonts w:ascii="Calibri" w:cs="Calibri" w:eastAsia="Calibri" w:hAnsi="Calibri"/>
                <w:i w:val="1"/>
                <w:iCs w:val="1"/>
                <w:color w:val="548dd4"/>
                <w:sz w:val="18"/>
                <w:szCs w:val="18"/>
              </w:rPr>
            </w:pPr>
            <w:r w:rsidDel="00000000" w:rsidR="00000000" w:rsidRPr="00000000">
              <w:rPr>
                <w:rtl w:val="0"/>
              </w:rPr>
              <w:t xml:space="preserve">Diego Cruz Medina</w:t>
            </w:r>
            <w:r w:rsidDel="00000000" w:rsidR="00000000" w:rsidRPr="00000000">
              <w:rPr>
                <w:rtl w:val="0"/>
              </w:rPr>
            </w:r>
          </w:p>
        </w:tc>
        <w:tc>
          <w:tcPr/>
          <w:p w:rsidR="00000000" w:rsidDel="00000000" w:rsidP="00000000" w:rsidRDefault="00000000" w:rsidRPr="00000000" w14:paraId="000000A0">
            <w:pPr>
              <w:jc w:val="both"/>
              <w:rPr>
                <w:rFonts w:ascii="Calibri" w:cs="Calibri" w:eastAsia="Calibri" w:hAnsi="Calibri"/>
                <w:i w:val="1"/>
                <w:iCs w:val="1"/>
                <w:color w:val="548dd4"/>
                <w:sz w:val="18"/>
                <w:szCs w:val="18"/>
              </w:rPr>
            </w:pPr>
            <w:r w:rsidDel="00000000" w:rsidR="00000000" w:rsidRPr="00000000">
              <w:rPr>
                <w:rtl w:val="0"/>
              </w:rPr>
              <w:t xml:space="preserve">El prototipo debe ser validado con el docente antes de avanzar al desarrollo.</w:t>
            </w:r>
            <w:r w:rsidDel="00000000" w:rsidR="00000000" w:rsidRPr="00000000">
              <w:rPr>
                <w:rtl w:val="0"/>
              </w:rPr>
            </w:r>
          </w:p>
        </w:tc>
      </w:tr>
      <w:tr>
        <w:trPr>
          <w:cantSplit w:val="0"/>
          <w:tblHeader w:val="0"/>
        </w:trPr>
        <w:tc>
          <w:tcPr/>
          <w:p w:rsidR="00000000" w:rsidDel="00000000" w:rsidP="00000000" w:rsidRDefault="00000000" w:rsidRPr="00000000" w14:paraId="000000A1">
            <w:pPr>
              <w:jc w:val="both"/>
              <w:rPr>
                <w:rFonts w:ascii="Calibri" w:cs="Calibri" w:eastAsia="Calibri" w:hAnsi="Calibri"/>
                <w:i w:val="1"/>
                <w:iCs w:val="1"/>
                <w:color w:val="548dd4"/>
                <w:sz w:val="18"/>
                <w:szCs w:val="18"/>
              </w:rPr>
            </w:pPr>
            <w:r w:rsidDel="00000000" w:rsidR="00000000" w:rsidRPr="00000000">
              <w:rPr>
                <w:rtl w:val="0"/>
              </w:rPr>
              <w:t xml:space="preserve">Desarrollo de software y procesamiento de datos</w:t>
            </w: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i w:val="1"/>
                <w:iCs w:val="1"/>
                <w:color w:val="548dd4"/>
                <w:sz w:val="18"/>
                <w:szCs w:val="18"/>
              </w:rPr>
            </w:pPr>
            <w:r w:rsidDel="00000000" w:rsidR="00000000" w:rsidRPr="00000000">
              <w:rPr>
                <w:rtl w:val="0"/>
              </w:rPr>
              <w:t xml:space="preserve">Desarrollo del motor de carga (ETL)</w:t>
            </w:r>
            <w:r w:rsidDel="00000000" w:rsidR="00000000" w:rsidRPr="00000000">
              <w:rPr>
                <w:rtl w:val="0"/>
              </w:rPr>
            </w:r>
          </w:p>
        </w:tc>
        <w:tc>
          <w:tcPr/>
          <w:p w:rsidR="00000000" w:rsidDel="00000000" w:rsidP="00000000" w:rsidRDefault="00000000" w:rsidRPr="00000000" w14:paraId="000000A3">
            <w:pPr>
              <w:jc w:val="both"/>
              <w:rPr>
                <w:rFonts w:ascii="Calibri" w:cs="Calibri" w:eastAsia="Calibri" w:hAnsi="Calibri"/>
                <w:i w:val="1"/>
                <w:iCs w:val="1"/>
                <w:color w:val="548dd4"/>
                <w:sz w:val="18"/>
                <w:szCs w:val="18"/>
              </w:rPr>
            </w:pPr>
            <w:r w:rsidDel="00000000" w:rsidR="00000000" w:rsidRPr="00000000">
              <w:rPr>
                <w:rtl w:val="0"/>
              </w:rPr>
              <w:t xml:space="preserve">Implementación del módulo drag &amp; drop y del motor de limpieza/normalización con Pandas y OpenPyXL.</w:t>
            </w:r>
            <w:r w:rsidDel="00000000" w:rsidR="00000000" w:rsidRPr="00000000">
              <w:rPr>
                <w:rtl w:val="0"/>
              </w:rPr>
            </w:r>
          </w:p>
        </w:tc>
        <w:tc>
          <w:tcPr/>
          <w:p w:rsidR="00000000" w:rsidDel="00000000" w:rsidP="00000000" w:rsidRDefault="00000000" w:rsidRPr="00000000" w14:paraId="000000A4">
            <w:pPr>
              <w:jc w:val="both"/>
              <w:rPr>
                <w:rFonts w:ascii="Calibri" w:cs="Calibri" w:eastAsia="Calibri" w:hAnsi="Calibri"/>
                <w:i w:val="1"/>
                <w:iCs w:val="1"/>
                <w:color w:val="548dd4"/>
                <w:sz w:val="18"/>
                <w:szCs w:val="18"/>
              </w:rPr>
            </w:pPr>
            <w:r w:rsidDel="00000000" w:rsidR="00000000" w:rsidRPr="00000000">
              <w:rPr>
                <w:rtl w:val="0"/>
              </w:rPr>
              <w:t xml:space="preserve">TypeScript FastAPI, Pandas, OpenPyXL, SQlite</w:t>
            </w:r>
            <w:r w:rsidDel="00000000" w:rsidR="00000000" w:rsidRPr="00000000">
              <w:rPr>
                <w:rtl w:val="0"/>
              </w:rPr>
            </w:r>
          </w:p>
        </w:tc>
        <w:tc>
          <w:tcPr>
            <w:tcBorders>
              <w:right w:color="ffffff" w:space="0" w:sz="4" w:val="single"/>
            </w:tcBorders>
          </w:tcPr>
          <w:p w:rsidR="00000000" w:rsidDel="00000000" w:rsidP="00000000" w:rsidRDefault="00000000" w:rsidRPr="00000000" w14:paraId="000000A5">
            <w:pPr>
              <w:jc w:val="both"/>
              <w:rPr>
                <w:rFonts w:ascii="Calibri" w:cs="Calibri" w:eastAsia="Calibri" w:hAnsi="Calibri"/>
                <w:i w:val="1"/>
                <w:iCs w:val="1"/>
                <w:color w:val="548dd4"/>
                <w:sz w:val="18"/>
                <w:szCs w:val="18"/>
              </w:rPr>
            </w:pPr>
            <w:r w:rsidDel="00000000" w:rsidR="00000000" w:rsidRPr="00000000">
              <w:rPr>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6">
            <w:pPr>
              <w:jc w:val="both"/>
              <w:rPr>
                <w:rFonts w:ascii="Calibri" w:cs="Calibri" w:eastAsia="Calibri" w:hAnsi="Calibri"/>
                <w:i w:val="1"/>
                <w:iCs w:val="1"/>
                <w:color w:val="548dd4"/>
                <w:sz w:val="18"/>
                <w:szCs w:val="18"/>
              </w:rPr>
            </w:pPr>
            <w:r w:rsidDel="00000000" w:rsidR="00000000" w:rsidRPr="00000000">
              <w:rPr>
                <w:rtl w:val="0"/>
              </w:rPr>
              <w:t xml:space="preserve">Diego Cruz Medina</w:t>
            </w:r>
            <w:r w:rsidDel="00000000" w:rsidR="00000000" w:rsidRPr="00000000">
              <w:rPr>
                <w:rtl w:val="0"/>
              </w:rPr>
            </w:r>
          </w:p>
        </w:tc>
        <w:tc>
          <w:tcPr/>
          <w:p w:rsidR="00000000" w:rsidDel="00000000" w:rsidP="00000000" w:rsidRDefault="00000000" w:rsidRPr="00000000" w14:paraId="000000A7">
            <w:pPr>
              <w:jc w:val="both"/>
              <w:rPr>
                <w:rFonts w:ascii="Calibri" w:cs="Calibri" w:eastAsia="Calibri" w:hAnsi="Calibri"/>
                <w:i w:val="1"/>
                <w:iCs w:val="1"/>
                <w:color w:val="548dd4"/>
                <w:sz w:val="18"/>
                <w:szCs w:val="18"/>
              </w:rPr>
            </w:pPr>
            <w:r w:rsidDel="00000000" w:rsidR="00000000" w:rsidRPr="00000000">
              <w:rPr>
                <w:rtl w:val="0"/>
              </w:rPr>
              <w:t xml:space="preserve">Requiere pruebas con archivos reales para validar la flexibilidad del motor.</w:t>
            </w:r>
            <w:r w:rsidDel="00000000" w:rsidR="00000000" w:rsidRPr="00000000">
              <w:rPr>
                <w:rtl w:val="0"/>
              </w:rPr>
            </w:r>
          </w:p>
        </w:tc>
      </w:tr>
      <w:tr>
        <w:trPr>
          <w:cantSplit w:val="0"/>
          <w:tblHeader w:val="0"/>
        </w:trPr>
        <w:tc>
          <w:tcPr/>
          <w:p w:rsidR="00000000" w:rsidDel="00000000" w:rsidP="00000000" w:rsidRDefault="00000000" w:rsidRPr="00000000" w14:paraId="000000A8">
            <w:pPr>
              <w:jc w:val="both"/>
              <w:rPr>
                <w:rFonts w:ascii="Calibri" w:cs="Calibri" w:eastAsia="Calibri" w:hAnsi="Calibri"/>
                <w:i w:val="1"/>
                <w:iCs w:val="1"/>
                <w:color w:val="548dd4"/>
                <w:sz w:val="18"/>
                <w:szCs w:val="18"/>
              </w:rPr>
            </w:pPr>
            <w:r w:rsidDel="00000000" w:rsidR="00000000" w:rsidRPr="00000000">
              <w:rPr>
                <w:rtl w:val="0"/>
              </w:rPr>
              <w:t xml:space="preserve">Gestión de casos y comunicaciones</w:t>
            </w:r>
            <w:r w:rsidDel="00000000" w:rsidR="00000000" w:rsidRPr="00000000">
              <w:rPr>
                <w:rtl w:val="0"/>
              </w:rPr>
            </w:r>
          </w:p>
        </w:tc>
        <w:tc>
          <w:tcPr/>
          <w:p w:rsidR="00000000" w:rsidDel="00000000" w:rsidP="00000000" w:rsidRDefault="00000000" w:rsidRPr="00000000" w14:paraId="000000A9">
            <w:pPr>
              <w:jc w:val="both"/>
              <w:rPr>
                <w:rFonts w:ascii="Calibri" w:cs="Calibri" w:eastAsia="Calibri" w:hAnsi="Calibri"/>
                <w:i w:val="1"/>
                <w:iCs w:val="1"/>
                <w:color w:val="548dd4"/>
                <w:sz w:val="18"/>
                <w:szCs w:val="18"/>
              </w:rPr>
            </w:pPr>
            <w:r w:rsidDel="00000000" w:rsidR="00000000" w:rsidRPr="00000000">
              <w:rPr>
                <w:rtl w:val="0"/>
              </w:rPr>
              <w:t xml:space="preserve">Desarrollo del módulo de gestión, alarmas y mensajería automatizada</w:t>
            </w:r>
            <w:r w:rsidDel="00000000" w:rsidR="00000000" w:rsidRPr="00000000">
              <w:rPr>
                <w:rtl w:val="0"/>
              </w:rPr>
            </w:r>
          </w:p>
        </w:tc>
        <w:tc>
          <w:tcPr/>
          <w:p w:rsidR="00000000" w:rsidDel="00000000" w:rsidP="00000000" w:rsidRDefault="00000000" w:rsidRPr="00000000" w14:paraId="000000AA">
            <w:pPr>
              <w:jc w:val="both"/>
              <w:rPr>
                <w:rFonts w:ascii="Calibri" w:cs="Calibri" w:eastAsia="Calibri" w:hAnsi="Calibri"/>
                <w:i w:val="1"/>
                <w:iCs w:val="1"/>
                <w:color w:val="548dd4"/>
                <w:sz w:val="18"/>
                <w:szCs w:val="18"/>
              </w:rPr>
            </w:pPr>
            <w:r w:rsidDel="00000000" w:rsidR="00000000" w:rsidRPr="00000000">
              <w:rPr>
                <w:rtl w:val="0"/>
              </w:rPr>
              <w:t xml:space="preserve">Implementación del módulo de estados de gestión (Gestionado, En progreso, Alerta, Normalizado) con comentarios, alarmas por fecha, y envío de mensajes automatizados por Gmail y WhatsApp según los datos de contacto del Excel.</w:t>
            </w:r>
            <w:r w:rsidDel="00000000" w:rsidR="00000000" w:rsidRPr="00000000">
              <w:rPr>
                <w:rtl w:val="0"/>
              </w:rPr>
            </w:r>
          </w:p>
        </w:tc>
        <w:tc>
          <w:tcPr/>
          <w:p w:rsidR="00000000" w:rsidDel="00000000" w:rsidP="00000000" w:rsidRDefault="00000000" w:rsidRPr="00000000" w14:paraId="000000AB">
            <w:pPr>
              <w:jc w:val="both"/>
              <w:rPr>
                <w:rFonts w:ascii="Calibri" w:cs="Calibri" w:eastAsia="Calibri" w:hAnsi="Calibri"/>
                <w:i w:val="1"/>
                <w:iCs w:val="1"/>
                <w:color w:val="548dd4"/>
                <w:sz w:val="18"/>
                <w:szCs w:val="18"/>
              </w:rPr>
            </w:pPr>
            <w:r w:rsidDel="00000000" w:rsidR="00000000" w:rsidRPr="00000000">
              <w:rPr>
                <w:rtl w:val="0"/>
              </w:rPr>
              <w:t xml:space="preserve">TypeScript, FastAPI, API Gmail, API WhatsApp Business, PostgreSQL</w:t>
            </w:r>
            <w:r w:rsidDel="00000000" w:rsidR="00000000" w:rsidRPr="00000000">
              <w:rPr>
                <w:rtl w:val="0"/>
              </w:rPr>
            </w:r>
          </w:p>
        </w:tc>
        <w:tc>
          <w:tcPr>
            <w:tcBorders>
              <w:right w:color="ffffff" w:space="0" w:sz="4" w:val="single"/>
            </w:tcBorders>
          </w:tcPr>
          <w:p w:rsidR="00000000" w:rsidDel="00000000" w:rsidP="00000000" w:rsidRDefault="00000000" w:rsidRPr="00000000" w14:paraId="000000AC">
            <w:pPr>
              <w:jc w:val="both"/>
              <w:rPr>
                <w:rFonts w:ascii="Calibri" w:cs="Calibri" w:eastAsia="Calibri" w:hAnsi="Calibri"/>
                <w:i w:val="1"/>
                <w:iCs w:val="1"/>
                <w:color w:val="548dd4"/>
                <w:sz w:val="18"/>
                <w:szCs w:val="18"/>
              </w:rPr>
            </w:pPr>
            <w:r w:rsidDel="00000000" w:rsidR="00000000" w:rsidRPr="00000000">
              <w:rPr>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D">
            <w:pPr>
              <w:jc w:val="both"/>
              <w:rPr>
                <w:rFonts w:ascii="Calibri" w:cs="Calibri" w:eastAsia="Calibri" w:hAnsi="Calibri"/>
                <w:i w:val="1"/>
                <w:iCs w:val="1"/>
                <w:color w:val="548dd4"/>
                <w:sz w:val="18"/>
                <w:szCs w:val="18"/>
              </w:rPr>
            </w:pPr>
            <w:r w:rsidDel="00000000" w:rsidR="00000000" w:rsidRPr="00000000">
              <w:rPr>
                <w:rtl w:val="0"/>
              </w:rPr>
              <w:t xml:space="preserve">Diego Cruz Medina</w:t>
            </w:r>
            <w:r w:rsidDel="00000000" w:rsidR="00000000" w:rsidRPr="00000000">
              <w:rPr>
                <w:rtl w:val="0"/>
              </w:rPr>
            </w:r>
          </w:p>
        </w:tc>
        <w:tc>
          <w:tcPr/>
          <w:p w:rsidR="00000000" w:rsidDel="00000000" w:rsidP="00000000" w:rsidRDefault="00000000" w:rsidRPr="00000000" w14:paraId="000000AE">
            <w:pPr>
              <w:jc w:val="both"/>
              <w:rPr>
                <w:rFonts w:ascii="Calibri" w:cs="Calibri" w:eastAsia="Calibri" w:hAnsi="Calibri"/>
                <w:i w:val="1"/>
                <w:iCs w:val="1"/>
                <w:color w:val="548dd4"/>
                <w:sz w:val="18"/>
                <w:szCs w:val="18"/>
              </w:rPr>
            </w:pPr>
            <w:r w:rsidDel="00000000" w:rsidR="00000000" w:rsidRPr="00000000">
              <w:rPr>
                <w:rtl w:val="0"/>
              </w:rPr>
              <w:t xml:space="preserve">Requiere definir límites de envío y plantillas de mensajes junto al área de cobranza.</w:t>
            </w:r>
            <w:r w:rsidDel="00000000" w:rsidR="00000000" w:rsidRPr="00000000">
              <w:rPr>
                <w:rtl w:val="0"/>
              </w:rPr>
            </w:r>
          </w:p>
        </w:tc>
      </w:tr>
      <w:tr>
        <w:trPr>
          <w:cantSplit w:val="0"/>
          <w:tblHeader w:val="0"/>
        </w:trPr>
        <w:tc>
          <w:tcPr/>
          <w:p w:rsidR="00000000" w:rsidDel="00000000" w:rsidP="00000000" w:rsidRDefault="00000000" w:rsidRPr="00000000" w14:paraId="000000AF">
            <w:pPr>
              <w:jc w:val="both"/>
              <w:rPr>
                <w:rFonts w:ascii="Calibri" w:cs="Calibri" w:eastAsia="Calibri" w:hAnsi="Calibri"/>
                <w:i w:val="1"/>
                <w:iCs w:val="1"/>
                <w:color w:val="548dd4"/>
                <w:sz w:val="18"/>
                <w:szCs w:val="18"/>
              </w:rPr>
            </w:pPr>
            <w:r w:rsidDel="00000000" w:rsidR="00000000" w:rsidRPr="00000000">
              <w:rPr>
                <w:rtl w:val="0"/>
              </w:rPr>
              <w:t xml:space="preserve">Automatización de procesos y telefonía</w:t>
            </w:r>
            <w:r w:rsidDel="00000000" w:rsidR="00000000" w:rsidRPr="00000000">
              <w:rPr>
                <w:rtl w:val="0"/>
              </w:rPr>
            </w:r>
          </w:p>
        </w:tc>
        <w:tc>
          <w:tcPr/>
          <w:p w:rsidR="00000000" w:rsidDel="00000000" w:rsidP="00000000" w:rsidRDefault="00000000" w:rsidRPr="00000000" w14:paraId="000000B0">
            <w:pPr>
              <w:jc w:val="both"/>
              <w:rPr>
                <w:rFonts w:ascii="Calibri" w:cs="Calibri" w:eastAsia="Calibri" w:hAnsi="Calibri"/>
                <w:i w:val="1"/>
                <w:iCs w:val="1"/>
                <w:color w:val="548dd4"/>
                <w:sz w:val="18"/>
                <w:szCs w:val="18"/>
              </w:rPr>
            </w:pPr>
            <w:r w:rsidDel="00000000" w:rsidR="00000000" w:rsidRPr="00000000">
              <w:rPr>
                <w:rtl w:val="0"/>
              </w:rPr>
              <w:t xml:space="preserve">Desarrollo del módulo de marcado automático de llamadas</w:t>
            </w:r>
            <w:r w:rsidDel="00000000" w:rsidR="00000000" w:rsidRPr="00000000">
              <w:rPr>
                <w:rtl w:val="0"/>
              </w:rPr>
            </w:r>
          </w:p>
        </w:tc>
        <w:tc>
          <w:tcPr/>
          <w:p w:rsidR="00000000" w:rsidDel="00000000" w:rsidP="00000000" w:rsidRDefault="00000000" w:rsidRPr="00000000" w14:paraId="000000B1">
            <w:pPr>
              <w:jc w:val="both"/>
              <w:rPr>
                <w:rFonts w:ascii="Calibri" w:cs="Calibri" w:eastAsia="Calibri" w:hAnsi="Calibri"/>
                <w:i w:val="1"/>
                <w:iCs w:val="1"/>
                <w:color w:val="548dd4"/>
                <w:sz w:val="18"/>
                <w:szCs w:val="18"/>
              </w:rPr>
            </w:pPr>
            <w:r w:rsidDel="00000000" w:rsidR="00000000" w:rsidRPr="00000000">
              <w:rPr>
                <w:rtl w:val="0"/>
              </w:rPr>
              <w:t xml:space="preserve">Construcción del módulo que permite ingresar números telefónicos y realizar el marcado automático hacia el teléfono del ejecutivo, quien contesta y gestiona la llamada de forma manual una vez conectada.</w:t>
            </w:r>
            <w:r w:rsidDel="00000000" w:rsidR="00000000" w:rsidRPr="00000000">
              <w:rPr>
                <w:rtl w:val="0"/>
              </w:rPr>
            </w:r>
          </w:p>
        </w:tc>
        <w:tc>
          <w:tcPr/>
          <w:p w:rsidR="00000000" w:rsidDel="00000000" w:rsidP="00000000" w:rsidRDefault="00000000" w:rsidRPr="00000000" w14:paraId="000000B2">
            <w:pPr>
              <w:jc w:val="both"/>
              <w:rPr>
                <w:rFonts w:ascii="Calibri" w:cs="Calibri" w:eastAsia="Calibri" w:hAnsi="Calibri"/>
                <w:i w:val="1"/>
                <w:iCs w:val="1"/>
                <w:color w:val="548dd4"/>
                <w:sz w:val="18"/>
                <w:szCs w:val="18"/>
              </w:rPr>
            </w:pPr>
            <w:r w:rsidDel="00000000" w:rsidR="00000000" w:rsidRPr="00000000">
              <w:rPr>
                <w:rtl w:val="0"/>
              </w:rPr>
              <w:t xml:space="preserve">Kotlin,, API/SDK de telefonía (marcación automática), SQlite</w:t>
            </w:r>
            <w:r w:rsidDel="00000000" w:rsidR="00000000" w:rsidRPr="00000000">
              <w:rPr>
                <w:rtl w:val="0"/>
              </w:rPr>
            </w:r>
          </w:p>
        </w:tc>
        <w:tc>
          <w:tcPr>
            <w:tcBorders>
              <w:right w:color="ffffff" w:space="0" w:sz="4" w:val="single"/>
            </w:tcBorders>
          </w:tcPr>
          <w:p w:rsidR="00000000" w:rsidDel="00000000" w:rsidP="00000000" w:rsidRDefault="00000000" w:rsidRPr="00000000" w14:paraId="000000B3">
            <w:pPr>
              <w:jc w:val="both"/>
              <w:rPr>
                <w:rFonts w:ascii="Calibri" w:cs="Calibri" w:eastAsia="Calibri" w:hAnsi="Calibri"/>
                <w:i w:val="1"/>
                <w:iCs w:val="1"/>
                <w:color w:val="548dd4"/>
                <w:sz w:val="18"/>
                <w:szCs w:val="18"/>
              </w:rPr>
            </w:pPr>
            <w:r w:rsidDel="00000000" w:rsidR="00000000" w:rsidRPr="00000000">
              <w:rPr>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4">
            <w:pPr>
              <w:jc w:val="both"/>
              <w:rPr>
                <w:rFonts w:ascii="Calibri" w:cs="Calibri" w:eastAsia="Calibri" w:hAnsi="Calibri"/>
                <w:i w:val="1"/>
                <w:iCs w:val="1"/>
                <w:color w:val="548dd4"/>
                <w:sz w:val="18"/>
                <w:szCs w:val="18"/>
              </w:rPr>
            </w:pPr>
            <w:r w:rsidDel="00000000" w:rsidR="00000000" w:rsidRPr="00000000">
              <w:rPr>
                <w:rtl w:val="0"/>
              </w:rPr>
              <w:t xml:space="preserve">Diego Cruz Medina</w:t>
            </w:r>
            <w:r w:rsidDel="00000000" w:rsidR="00000000" w:rsidRPr="00000000">
              <w:rPr>
                <w:rtl w:val="0"/>
              </w:rPr>
            </w:r>
          </w:p>
        </w:tc>
        <w:tc>
          <w:tcPr/>
          <w:p w:rsidR="00000000" w:rsidDel="00000000" w:rsidP="00000000" w:rsidRDefault="00000000" w:rsidRPr="00000000" w14:paraId="000000B5">
            <w:pPr>
              <w:jc w:val="both"/>
              <w:rPr>
                <w:rFonts w:ascii="Calibri" w:cs="Calibri" w:eastAsia="Calibri" w:hAnsi="Calibri"/>
                <w:i w:val="1"/>
                <w:iCs w:val="1"/>
                <w:color w:val="548dd4"/>
                <w:sz w:val="18"/>
                <w:szCs w:val="18"/>
              </w:rPr>
            </w:pPr>
            <w:r w:rsidDel="00000000" w:rsidR="00000000" w:rsidRPr="00000000">
              <w:rPr>
                <w:rtl w:val="0"/>
              </w:rPr>
              <w:t xml:space="preserve">Sujeto a la disponibilidad de una línea o proveedor de telefonía compatible con marcación automática.</w:t>
            </w:r>
            <w:r w:rsidDel="00000000" w:rsidR="00000000" w:rsidRPr="00000000">
              <w:rPr>
                <w:rtl w:val="0"/>
              </w:rPr>
            </w:r>
          </w:p>
        </w:tc>
      </w:tr>
      <w:tr>
        <w:trPr>
          <w:cantSplit w:val="0"/>
          <w:tblHeader w:val="0"/>
        </w:trPr>
        <w:tc>
          <w:tcPr/>
          <w:p w:rsidR="00000000" w:rsidDel="00000000" w:rsidP="00000000" w:rsidRDefault="00000000" w:rsidRPr="00000000" w14:paraId="000000B6">
            <w:pPr>
              <w:jc w:val="both"/>
              <w:rPr>
                <w:rFonts w:ascii="Calibri" w:cs="Calibri" w:eastAsia="Calibri" w:hAnsi="Calibri"/>
                <w:i w:val="1"/>
                <w:iCs w:val="1"/>
                <w:color w:val="548dd4"/>
                <w:sz w:val="18"/>
                <w:szCs w:val="18"/>
              </w:rPr>
            </w:pPr>
            <w:r w:rsidDel="00000000" w:rsidR="00000000" w:rsidRPr="00000000">
              <w:rPr>
                <w:rtl w:val="0"/>
              </w:rPr>
              <w:t xml:space="preserve">Desarrollo frontend y visualización de datos</w:t>
            </w:r>
            <w:r w:rsidDel="00000000" w:rsidR="00000000" w:rsidRPr="00000000">
              <w:rPr>
                <w:rtl w:val="0"/>
              </w:rPr>
            </w:r>
          </w:p>
        </w:tc>
        <w:tc>
          <w:tcPr/>
          <w:p w:rsidR="00000000" w:rsidDel="00000000" w:rsidP="00000000" w:rsidRDefault="00000000" w:rsidRPr="00000000" w14:paraId="000000B7">
            <w:pPr>
              <w:jc w:val="both"/>
              <w:rPr>
                <w:rFonts w:ascii="Calibri" w:cs="Calibri" w:eastAsia="Calibri" w:hAnsi="Calibri"/>
                <w:i w:val="1"/>
                <w:iCs w:val="1"/>
                <w:color w:val="548dd4"/>
                <w:sz w:val="18"/>
                <w:szCs w:val="18"/>
              </w:rPr>
            </w:pPr>
            <w:r w:rsidDel="00000000" w:rsidR="00000000" w:rsidRPr="00000000">
              <w:rPr>
                <w:rtl w:val="0"/>
              </w:rPr>
              <w:t xml:space="preserve">Desarrollo del dashboard</w:t>
            </w:r>
            <w:r w:rsidDel="00000000" w:rsidR="00000000" w:rsidRPr="00000000">
              <w:rPr>
                <w:rtl w:val="0"/>
              </w:rPr>
            </w:r>
          </w:p>
        </w:tc>
        <w:tc>
          <w:tcPr/>
          <w:p w:rsidR="00000000" w:rsidDel="00000000" w:rsidP="00000000" w:rsidRDefault="00000000" w:rsidRPr="00000000" w14:paraId="000000B8">
            <w:pPr>
              <w:jc w:val="both"/>
              <w:rPr>
                <w:rFonts w:ascii="Calibri" w:cs="Calibri" w:eastAsia="Calibri" w:hAnsi="Calibri"/>
                <w:i w:val="1"/>
                <w:iCs w:val="1"/>
                <w:color w:val="548dd4"/>
                <w:sz w:val="18"/>
                <w:szCs w:val="18"/>
              </w:rPr>
            </w:pPr>
            <w:r w:rsidDel="00000000" w:rsidR="00000000" w:rsidRPr="00000000">
              <w:rPr>
                <w:rtl w:val="0"/>
              </w:rPr>
              <w:t xml:space="preserve">Construcción del panel de indicadores configurable según metas de gestión, con filtros, buscador y alertas de casos críticos con React y Recharts.</w:t>
            </w:r>
            <w:r w:rsidDel="00000000" w:rsidR="00000000" w:rsidRPr="00000000">
              <w:rPr>
                <w:rtl w:val="0"/>
              </w:rPr>
            </w:r>
          </w:p>
        </w:tc>
        <w:tc>
          <w:tcPr/>
          <w:p w:rsidR="00000000" w:rsidDel="00000000" w:rsidP="00000000" w:rsidRDefault="00000000" w:rsidRPr="00000000" w14:paraId="000000B9">
            <w:pPr>
              <w:jc w:val="both"/>
              <w:rPr>
                <w:rFonts w:ascii="Calibri" w:cs="Calibri" w:eastAsia="Calibri" w:hAnsi="Calibri"/>
                <w:i w:val="1"/>
                <w:iCs w:val="1"/>
                <w:color w:val="548dd4"/>
                <w:sz w:val="18"/>
                <w:szCs w:val="18"/>
              </w:rPr>
            </w:pPr>
            <w:r w:rsidDel="00000000" w:rsidR="00000000" w:rsidRPr="00000000">
              <w:rPr>
                <w:rtl w:val="0"/>
              </w:rPr>
              <w:t xml:space="preserve">React, TypeScript, Recharts, JWT</w:t>
            </w:r>
            <w:r w:rsidDel="00000000" w:rsidR="00000000" w:rsidRPr="00000000">
              <w:rPr>
                <w:rtl w:val="0"/>
              </w:rPr>
            </w:r>
          </w:p>
        </w:tc>
        <w:tc>
          <w:tcPr>
            <w:tcBorders>
              <w:right w:color="ffffff" w:space="0" w:sz="4" w:val="single"/>
            </w:tcBorders>
          </w:tcPr>
          <w:p w:rsidR="00000000" w:rsidDel="00000000" w:rsidP="00000000" w:rsidRDefault="00000000" w:rsidRPr="00000000" w14:paraId="000000BA">
            <w:pPr>
              <w:jc w:val="both"/>
              <w:rPr>
                <w:rFonts w:ascii="Calibri" w:cs="Calibri" w:eastAsia="Calibri" w:hAnsi="Calibri"/>
                <w:i w:val="1"/>
                <w:iCs w:val="1"/>
                <w:color w:val="548dd4"/>
                <w:sz w:val="18"/>
                <w:szCs w:val="18"/>
              </w:rPr>
            </w:pPr>
            <w:r w:rsidDel="00000000" w:rsidR="00000000" w:rsidRPr="00000000">
              <w:rPr>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B">
            <w:pPr>
              <w:jc w:val="both"/>
              <w:rPr>
                <w:rFonts w:ascii="Calibri" w:cs="Calibri" w:eastAsia="Calibri" w:hAnsi="Calibri"/>
                <w:i w:val="1"/>
                <w:iCs w:val="1"/>
                <w:color w:val="548dd4"/>
                <w:sz w:val="18"/>
                <w:szCs w:val="18"/>
              </w:rPr>
            </w:pPr>
            <w:r w:rsidDel="00000000" w:rsidR="00000000" w:rsidRPr="00000000">
              <w:rPr>
                <w:rtl w:val="0"/>
              </w:rPr>
              <w:t xml:space="preserve">Diego Cruz Medina</w:t>
            </w:r>
            <w:r w:rsidDel="00000000" w:rsidR="00000000" w:rsidRPr="00000000">
              <w:rPr>
                <w:rtl w:val="0"/>
              </w:rPr>
            </w:r>
          </w:p>
        </w:tc>
        <w:tc>
          <w:tcPr/>
          <w:p w:rsidR="00000000" w:rsidDel="00000000" w:rsidP="00000000" w:rsidRDefault="00000000" w:rsidRPr="00000000" w14:paraId="000000BC">
            <w:pPr>
              <w:jc w:val="both"/>
              <w:rPr>
                <w:rFonts w:ascii="Calibri" w:cs="Calibri" w:eastAsia="Calibri" w:hAnsi="Calibri"/>
                <w:i w:val="1"/>
                <w:iCs w:val="1"/>
                <w:color w:val="548dd4"/>
                <w:sz w:val="18"/>
                <w:szCs w:val="18"/>
              </w:rPr>
            </w:pPr>
            <w:r w:rsidDel="00000000" w:rsidR="00000000" w:rsidRPr="00000000">
              <w:rPr>
                <w:rtl w:val="0"/>
              </w:rPr>
              <w:t xml:space="preserve">Integración con el backend a través de REST/OpenAPI.</w:t>
            </w:r>
            <w:r w:rsidDel="00000000" w:rsidR="00000000" w:rsidRPr="00000000">
              <w:rPr>
                <w:rtl w:val="0"/>
              </w:rPr>
            </w:r>
          </w:p>
        </w:tc>
      </w:tr>
      <w:tr>
        <w:trPr>
          <w:cantSplit w:val="0"/>
          <w:tblHeader w:val="0"/>
        </w:trPr>
        <w:tc>
          <w:tcPr/>
          <w:p w:rsidR="00000000" w:rsidDel="00000000" w:rsidP="00000000" w:rsidRDefault="00000000" w:rsidRPr="00000000" w14:paraId="000000BD">
            <w:pPr>
              <w:jc w:val="both"/>
              <w:rPr>
                <w:rFonts w:ascii="Calibri" w:cs="Calibri" w:eastAsia="Calibri" w:hAnsi="Calibri"/>
                <w:i w:val="1"/>
                <w:iCs w:val="1"/>
                <w:color w:val="548dd4"/>
                <w:sz w:val="18"/>
                <w:szCs w:val="18"/>
              </w:rPr>
            </w:pPr>
            <w:r w:rsidDel="00000000" w:rsidR="00000000" w:rsidRPr="00000000">
              <w:rPr>
                <w:rtl w:val="0"/>
              </w:rPr>
              <w:t xml:space="preserve">Aseguramiento de calidad y validación con usuarios</w:t>
            </w:r>
            <w:r w:rsidDel="00000000" w:rsidR="00000000" w:rsidRPr="00000000">
              <w:rPr>
                <w:rtl w:val="0"/>
              </w:rPr>
            </w:r>
          </w:p>
        </w:tc>
        <w:tc>
          <w:tcPr/>
          <w:p w:rsidR="00000000" w:rsidDel="00000000" w:rsidP="00000000" w:rsidRDefault="00000000" w:rsidRPr="00000000" w14:paraId="000000BE">
            <w:pPr>
              <w:jc w:val="both"/>
              <w:rPr>
                <w:rFonts w:ascii="Calibri" w:cs="Calibri" w:eastAsia="Calibri" w:hAnsi="Calibri"/>
                <w:i w:val="1"/>
                <w:iCs w:val="1"/>
                <w:color w:val="548dd4"/>
                <w:sz w:val="18"/>
                <w:szCs w:val="18"/>
              </w:rPr>
            </w:pPr>
            <w:r w:rsidDel="00000000" w:rsidR="00000000" w:rsidRPr="00000000">
              <w:rPr>
                <w:rtl w:val="0"/>
              </w:rPr>
              <w:t xml:space="preserve">Pruebas y validación con usuarios</w:t>
            </w:r>
            <w:r w:rsidDel="00000000" w:rsidR="00000000" w:rsidRPr="00000000">
              <w:rPr>
                <w:rtl w:val="0"/>
              </w:rPr>
            </w:r>
          </w:p>
        </w:tc>
        <w:tc>
          <w:tcPr/>
          <w:p w:rsidR="00000000" w:rsidDel="00000000" w:rsidP="00000000" w:rsidRDefault="00000000" w:rsidRPr="00000000" w14:paraId="000000BF">
            <w:pPr>
              <w:jc w:val="both"/>
              <w:rPr>
                <w:rFonts w:ascii="Calibri" w:cs="Calibri" w:eastAsia="Calibri" w:hAnsi="Calibri"/>
                <w:i w:val="1"/>
                <w:iCs w:val="1"/>
                <w:color w:val="548dd4"/>
                <w:sz w:val="18"/>
                <w:szCs w:val="18"/>
              </w:rPr>
            </w:pPr>
            <w:r w:rsidDel="00000000" w:rsidR="00000000" w:rsidRPr="00000000">
              <w:rPr>
                <w:rtl w:val="0"/>
              </w:rPr>
              <w:t xml:space="preserve">Ejecución de pruebas automatizadas (Vitest) y un focus group con ejecutivos de Phoenix Service.</w:t>
            </w:r>
            <w:r w:rsidDel="00000000" w:rsidR="00000000" w:rsidRPr="00000000">
              <w:rPr>
                <w:rtl w:val="0"/>
              </w:rPr>
            </w:r>
          </w:p>
        </w:tc>
        <w:tc>
          <w:tcPr/>
          <w:p w:rsidR="00000000" w:rsidDel="00000000" w:rsidP="00000000" w:rsidRDefault="00000000" w:rsidRPr="00000000" w14:paraId="000000C0">
            <w:pPr>
              <w:jc w:val="both"/>
              <w:rPr>
                <w:rFonts w:ascii="Calibri" w:cs="Calibri" w:eastAsia="Calibri" w:hAnsi="Calibri"/>
                <w:i w:val="1"/>
                <w:iCs w:val="1"/>
                <w:color w:val="548dd4"/>
                <w:sz w:val="18"/>
                <w:szCs w:val="18"/>
              </w:rPr>
            </w:pPr>
            <w:r w:rsidDel="00000000" w:rsidR="00000000" w:rsidRPr="00000000">
              <w:rPr>
                <w:rtl w:val="0"/>
              </w:rPr>
              <w:t xml:space="preserve">Vitest, grupo de ejecutivos voluntarios</w:t>
            </w:r>
            <w:r w:rsidDel="00000000" w:rsidR="00000000" w:rsidRPr="00000000">
              <w:rPr>
                <w:rtl w:val="0"/>
              </w:rPr>
            </w:r>
          </w:p>
        </w:tc>
        <w:tc>
          <w:tcPr>
            <w:tcBorders>
              <w:right w:color="ffffff" w:space="0" w:sz="4" w:val="single"/>
            </w:tcBorders>
          </w:tcPr>
          <w:p w:rsidR="00000000" w:rsidDel="00000000" w:rsidP="00000000" w:rsidRDefault="00000000" w:rsidRPr="00000000" w14:paraId="000000C1">
            <w:pPr>
              <w:jc w:val="both"/>
              <w:rPr>
                <w:rFonts w:ascii="Calibri" w:cs="Calibri" w:eastAsia="Calibri" w:hAnsi="Calibri"/>
                <w:i w:val="1"/>
                <w:iCs w:val="1"/>
                <w:color w:val="548dd4"/>
                <w:sz w:val="18"/>
                <w:szCs w:val="18"/>
              </w:rPr>
            </w:pPr>
            <w:r w:rsidDel="00000000" w:rsidR="00000000" w:rsidRPr="00000000">
              <w:rPr>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2">
            <w:pPr>
              <w:jc w:val="both"/>
              <w:rPr>
                <w:rFonts w:ascii="Calibri" w:cs="Calibri" w:eastAsia="Calibri" w:hAnsi="Calibri"/>
                <w:i w:val="1"/>
                <w:iCs w:val="1"/>
                <w:color w:val="548dd4"/>
                <w:sz w:val="18"/>
                <w:szCs w:val="18"/>
              </w:rPr>
            </w:pPr>
            <w:r w:rsidDel="00000000" w:rsidR="00000000" w:rsidRPr="00000000">
              <w:rPr>
                <w:rtl w:val="0"/>
              </w:rPr>
              <w:t xml:space="preserve">Cristóbal Irarrázabal</w:t>
            </w:r>
            <w:r w:rsidDel="00000000" w:rsidR="00000000" w:rsidRPr="00000000">
              <w:rPr>
                <w:rtl w:val="0"/>
              </w:rPr>
            </w:r>
          </w:p>
        </w:tc>
        <w:tc>
          <w:tcPr/>
          <w:p w:rsidR="00000000" w:rsidDel="00000000" w:rsidP="00000000" w:rsidRDefault="00000000" w:rsidRPr="00000000" w14:paraId="000000C3">
            <w:pPr>
              <w:jc w:val="both"/>
              <w:rPr>
                <w:rFonts w:ascii="Calibri" w:cs="Calibri" w:eastAsia="Calibri" w:hAnsi="Calibri"/>
                <w:i w:val="1"/>
                <w:iCs w:val="1"/>
                <w:color w:val="548dd4"/>
                <w:sz w:val="18"/>
                <w:szCs w:val="18"/>
              </w:rPr>
            </w:pPr>
            <w:r w:rsidDel="00000000" w:rsidR="00000000" w:rsidRPr="00000000">
              <w:rPr>
                <w:rtl w:val="0"/>
              </w:rPr>
              <w:t xml:space="preserve">Los resultados alimentan los ajustes finales antes de la puesta en marcha.</w:t>
            </w:r>
            <w:r w:rsidDel="00000000" w:rsidR="00000000" w:rsidRPr="00000000">
              <w:rPr>
                <w:rtl w:val="0"/>
              </w:rPr>
            </w:r>
          </w:p>
        </w:tc>
      </w:tr>
      <w:tr>
        <w:trPr>
          <w:cantSplit w:val="0"/>
          <w:tblHeader w:val="0"/>
        </w:trPr>
        <w:tc>
          <w:tcPr/>
          <w:p w:rsidR="00000000" w:rsidDel="00000000" w:rsidP="00000000" w:rsidRDefault="00000000" w:rsidRPr="00000000" w14:paraId="000000C4">
            <w:pPr>
              <w:jc w:val="both"/>
              <w:rPr>
                <w:rFonts w:ascii="Calibri" w:cs="Calibri" w:eastAsia="Calibri" w:hAnsi="Calibri"/>
                <w:i w:val="1"/>
                <w:iCs w:val="1"/>
                <w:color w:val="548dd4"/>
                <w:sz w:val="18"/>
                <w:szCs w:val="18"/>
              </w:rPr>
            </w:pPr>
            <w:r w:rsidDel="00000000" w:rsidR="00000000" w:rsidRPr="00000000">
              <w:rPr>
                <w:rtl w:val="0"/>
              </w:rPr>
              <w:t xml:space="preserve">Gestión del cambio y soporte</w:t>
            </w:r>
            <w:r w:rsidDel="00000000" w:rsidR="00000000" w:rsidRPr="00000000">
              <w:rPr>
                <w:rtl w:val="0"/>
              </w:rPr>
            </w:r>
          </w:p>
        </w:tc>
        <w:tc>
          <w:tcPr/>
          <w:p w:rsidR="00000000" w:rsidDel="00000000" w:rsidP="00000000" w:rsidRDefault="00000000" w:rsidRPr="00000000" w14:paraId="000000C5">
            <w:pPr>
              <w:jc w:val="both"/>
              <w:rPr>
                <w:rFonts w:ascii="Calibri" w:cs="Calibri" w:eastAsia="Calibri" w:hAnsi="Calibri"/>
                <w:i w:val="1"/>
                <w:iCs w:val="1"/>
                <w:color w:val="548dd4"/>
                <w:sz w:val="18"/>
                <w:szCs w:val="18"/>
              </w:rPr>
            </w:pPr>
            <w:r w:rsidDel="00000000" w:rsidR="00000000" w:rsidRPr="00000000">
              <w:rPr>
                <w:rtl w:val="0"/>
              </w:rPr>
              <w:t xml:space="preserve">Capacitación y puesta en marcha</w:t>
            </w:r>
            <w:r w:rsidDel="00000000" w:rsidR="00000000" w:rsidRPr="00000000">
              <w:rPr>
                <w:rtl w:val="0"/>
              </w:rPr>
            </w:r>
          </w:p>
        </w:tc>
        <w:tc>
          <w:tcPr/>
          <w:p w:rsidR="00000000" w:rsidDel="00000000" w:rsidP="00000000" w:rsidRDefault="00000000" w:rsidRPr="00000000" w14:paraId="000000C6">
            <w:pPr>
              <w:jc w:val="both"/>
              <w:rPr>
                <w:rFonts w:ascii="Calibri" w:cs="Calibri" w:eastAsia="Calibri" w:hAnsi="Calibri"/>
                <w:i w:val="1"/>
                <w:iCs w:val="1"/>
                <w:color w:val="548dd4"/>
                <w:sz w:val="18"/>
                <w:szCs w:val="18"/>
              </w:rPr>
            </w:pPr>
            <w:r w:rsidDel="00000000" w:rsidR="00000000" w:rsidRPr="00000000">
              <w:rPr>
                <w:rtl w:val="0"/>
              </w:rPr>
              <w:t xml:space="preserve">Elaboración del manual de usuario e instalación de la aplicación en los equipos de Phoenix Service, con capacitación a ejecutivos y supervisores.</w:t>
            </w:r>
            <w:r w:rsidDel="00000000" w:rsidR="00000000" w:rsidRPr="00000000">
              <w:rPr>
                <w:rtl w:val="0"/>
              </w:rPr>
            </w:r>
          </w:p>
        </w:tc>
        <w:tc>
          <w:tcPr/>
          <w:p w:rsidR="00000000" w:rsidDel="00000000" w:rsidP="00000000" w:rsidRDefault="00000000" w:rsidRPr="00000000" w14:paraId="000000C7">
            <w:pPr>
              <w:jc w:val="both"/>
              <w:rPr>
                <w:rFonts w:ascii="Calibri" w:cs="Calibri" w:eastAsia="Calibri" w:hAnsi="Calibri"/>
                <w:i w:val="1"/>
                <w:iCs w:val="1"/>
                <w:color w:val="548dd4"/>
                <w:sz w:val="18"/>
                <w:szCs w:val="18"/>
              </w:rPr>
            </w:pPr>
            <w:r w:rsidDel="00000000" w:rsidR="00000000" w:rsidRPr="00000000">
              <w:rPr>
                <w:rtl w:val="0"/>
              </w:rPr>
              <w:t xml:space="preserve">Docker, manual de usuario, sesión de capacitación</w:t>
            </w:r>
            <w:r w:rsidDel="00000000" w:rsidR="00000000" w:rsidRPr="00000000">
              <w:rPr>
                <w:rtl w:val="0"/>
              </w:rPr>
            </w:r>
          </w:p>
        </w:tc>
        <w:tc>
          <w:tcPr>
            <w:tcBorders>
              <w:right w:color="ffffff" w:space="0" w:sz="4" w:val="single"/>
            </w:tcBorders>
          </w:tcPr>
          <w:p w:rsidR="00000000" w:rsidDel="00000000" w:rsidP="00000000" w:rsidRDefault="00000000" w:rsidRPr="00000000" w14:paraId="000000C8">
            <w:pPr>
              <w:jc w:val="both"/>
              <w:rPr>
                <w:rFonts w:ascii="Calibri" w:cs="Calibri" w:eastAsia="Calibri" w:hAnsi="Calibri"/>
                <w:i w:val="1"/>
                <w:iCs w:val="1"/>
                <w:color w:val="548dd4"/>
                <w:sz w:val="18"/>
                <w:szCs w:val="18"/>
              </w:rPr>
            </w:pPr>
            <w:r w:rsidDel="00000000" w:rsidR="00000000" w:rsidRPr="00000000">
              <w:rPr>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9">
            <w:pPr>
              <w:jc w:val="both"/>
              <w:rPr>
                <w:rFonts w:ascii="Calibri" w:cs="Calibri" w:eastAsia="Calibri" w:hAnsi="Calibri"/>
                <w:i w:val="1"/>
                <w:iCs w:val="1"/>
                <w:color w:val="548dd4"/>
                <w:sz w:val="18"/>
                <w:szCs w:val="18"/>
              </w:rPr>
            </w:pPr>
            <w:r w:rsidDel="00000000" w:rsidR="00000000" w:rsidRPr="00000000">
              <w:rPr>
                <w:rtl w:val="0"/>
              </w:rPr>
              <w:t xml:space="preserve">Jhonny Silva</w:t>
            </w:r>
            <w:r w:rsidDel="00000000" w:rsidR="00000000" w:rsidRPr="00000000">
              <w:rPr>
                <w:rtl w:val="0"/>
              </w:rPr>
            </w:r>
          </w:p>
        </w:tc>
        <w:tc>
          <w:tcPr/>
          <w:p w:rsidR="00000000" w:rsidDel="00000000" w:rsidP="00000000" w:rsidRDefault="00000000" w:rsidRPr="00000000" w14:paraId="000000CA">
            <w:pPr>
              <w:jc w:val="both"/>
              <w:rPr>
                <w:rFonts w:ascii="Calibri" w:cs="Calibri" w:eastAsia="Calibri" w:hAnsi="Calibri"/>
                <w:i w:val="1"/>
                <w:iCs w:val="1"/>
                <w:color w:val="548dd4"/>
                <w:sz w:val="18"/>
                <w:szCs w:val="18"/>
              </w:rPr>
            </w:pPr>
            <w:r w:rsidDel="00000000" w:rsidR="00000000" w:rsidRPr="00000000">
              <w:rPr>
                <w:rtl w:val="0"/>
              </w:rPr>
              <w:t xml:space="preserve">Clave para reducir la resistencia al cambio de herramienta.</w:t>
            </w:r>
            <w:r w:rsidDel="00000000" w:rsidR="00000000" w:rsidRPr="00000000">
              <w:rPr>
                <w:rtl w:val="0"/>
              </w:rPr>
            </w:r>
          </w:p>
        </w:tc>
      </w:tr>
      <w:tr>
        <w:trPr>
          <w:cantSplit w:val="0"/>
          <w:tblHeader w:val="0"/>
        </w:trPr>
        <w:tc>
          <w:tcPr/>
          <w:p w:rsidR="00000000" w:rsidDel="00000000" w:rsidP="00000000" w:rsidRDefault="00000000" w:rsidRPr="00000000" w14:paraId="000000CB">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CC">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CD">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CE">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CF">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0">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D1">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D2">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3">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6">
      <w:pPr>
        <w:spacing w:after="0" w:line="360" w:lineRule="auto"/>
        <w:jc w:val="both"/>
        <w:rPr>
          <w:b w:val="1"/>
          <w:bCs w:val="1"/>
          <w:sz w:val="24"/>
          <w:szCs w:val="24"/>
        </w:rPr>
      </w:pPr>
      <w:r w:rsidDel="00000000" w:rsidR="00000000" w:rsidRPr="00000000">
        <w:rPr>
          <w:rtl w:val="0"/>
        </w:rPr>
      </w:r>
    </w:p>
    <w:tbl>
      <w:tblPr>
        <w:tblStyle w:val="Table18"/>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tcBorders>
              <w:top w:color="000000" w:space="0" w:sz="4" w:val="single"/>
              <w:left w:color="000000" w:space="0" w:sz="4" w:val="single"/>
              <w:bottom w:color="000000" w:space="0" w:sz="4" w:val="single"/>
              <w:right w:color="000000" w:space="0" w:sz="4" w:val="single"/>
            </w:tcBorders>
            <w:shd w:fill="fff2cb" w:val="clear"/>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tcBorders>
              <w:top w:color="000000" w:space="0" w:sz="4" w:val="single"/>
              <w:left w:color="000000" w:space="0" w:sz="4" w:val="single"/>
              <w:bottom w:color="000000" w:space="0" w:sz="4" w:val="single"/>
              <w:right w:color="000000" w:space="0" w:sz="4" w:val="single"/>
            </w:tcBorders>
            <w:shd w:fill="fbe4d5" w:val="clear"/>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S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S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S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S 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S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S 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b w:val="1"/>
                <w:bCs w:val="1"/>
                <w:sz w:val="16"/>
                <w:szCs w:val="16"/>
                <w:rtl w:val="0"/>
              </w:rPr>
              <w:t xml:space="preserve">S 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S 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S 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b w:val="1"/>
                <w:bCs w:val="1"/>
                <w:sz w:val="16"/>
                <w:szCs w:val="16"/>
                <w:rtl w:val="0"/>
              </w:rPr>
              <w:t xml:space="preserve">S 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S 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b w:val="1"/>
                <w:bCs w:val="1"/>
                <w:sz w:val="16"/>
                <w:szCs w:val="16"/>
                <w:rtl w:val="0"/>
              </w:rPr>
              <w:t xml:space="preserve">S 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b w:val="1"/>
                <w:bCs w:val="1"/>
                <w:sz w:val="16"/>
                <w:szCs w:val="16"/>
                <w:rtl w:val="0"/>
              </w:rPr>
              <w:t xml:space="preserve">S 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b w:val="1"/>
                <w:bCs w:val="1"/>
                <w:sz w:val="16"/>
                <w:szCs w:val="16"/>
                <w:rtl w:val="0"/>
              </w:rPr>
              <w:t xml:space="preserve">S 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b w:val="1"/>
                <w:bCs w:val="1"/>
                <w:sz w:val="16"/>
                <w:szCs w:val="16"/>
                <w:rtl w:val="0"/>
              </w:rPr>
              <w:t xml:space="preserve">S 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b w:val="1"/>
                <w:bCs w:val="1"/>
                <w:sz w:val="16"/>
                <w:szCs w:val="16"/>
                <w:rtl w:val="0"/>
              </w:rPr>
              <w:t xml:space="preserve">S 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0">
            <w:pPr>
              <w:spacing w:after="0" w:line="276" w:lineRule="auto"/>
              <w:jc w:val="both"/>
              <w:rPr>
                <w:b w:val="1"/>
                <w:bCs w:val="1"/>
                <w:sz w:val="15"/>
                <w:szCs w:val="15"/>
              </w:rPr>
            </w:pPr>
            <w:r w:rsidDel="00000000" w:rsidR="00000000" w:rsidRPr="00000000">
              <w:rPr>
                <w:b w:val="1"/>
                <w:bCs w:val="1"/>
                <w:sz w:val="15"/>
                <w:szCs w:val="15"/>
                <w:rtl w:val="0"/>
              </w:rPr>
              <w:t xml:space="preserve">Gestión del Proyecto</w:t>
            </w:r>
          </w:p>
        </w:tc>
        <w:tc>
          <w:tcPr>
            <w:tcBorders>
              <w:top w:color="000000" w:space="0" w:sz="4" w:val="single"/>
            </w:tcBorders>
            <w:shd w:fill="4472c4" w:val="clear"/>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tcBorders>
              <w:top w:color="000000" w:space="0" w:sz="4" w:val="single"/>
            </w:tcBorders>
            <w:shd w:fill="4472c4" w:val="clear"/>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tcBorders>
              <w:top w:color="000000" w:space="0" w:sz="4" w:val="single"/>
            </w:tcBorders>
            <w:shd w:fill="4472c4" w:val="clear"/>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tcBorders>
              <w:top w:color="000000" w:space="0" w:sz="4" w:val="single"/>
            </w:tcBorders>
            <w:shd w:fill="4472c4" w:val="clear"/>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tcBorders>
              <w:top w:color="000000" w:space="0" w:sz="4" w:val="single"/>
            </w:tcBorders>
            <w:shd w:fill="4472c4" w:val="clear"/>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tcBorders>
              <w:top w:color="000000" w:space="0" w:sz="4" w:val="single"/>
            </w:tcBorders>
            <w:shd w:fill="4472c4" w:val="clear"/>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tcBorders>
              <w:top w:color="000000" w:space="0" w:sz="4" w:val="single"/>
            </w:tcBorders>
            <w:shd w:fill="4472c4" w:val="clear"/>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tcBorders>
              <w:top w:color="000000" w:space="0" w:sz="4" w:val="single"/>
            </w:tcBorders>
            <w:shd w:fill="4472c4" w:val="clear"/>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tcBorders>
              <w:top w:color="000000" w:space="0" w:sz="4" w:val="single"/>
            </w:tcBorders>
            <w:shd w:fill="4472c4" w:val="clear"/>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tcBorders>
              <w:top w:color="000000" w:space="0" w:sz="4" w:val="single"/>
            </w:tcBorders>
            <w:shd w:fill="4472c4" w:val="clear"/>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tcBorders>
              <w:top w:color="000000" w:space="0" w:sz="4" w:val="single"/>
            </w:tcBorders>
            <w:shd w:fill="4472c4" w:val="clear"/>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tcBorders>
              <w:top w:color="000000" w:space="0" w:sz="4" w:val="single"/>
            </w:tcBorders>
            <w:shd w:fill="4472c4" w:val="clear"/>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tcBorders>
              <w:top w:color="000000" w:space="0" w:sz="4" w:val="single"/>
            </w:tcBorders>
            <w:shd w:fill="4472c4" w:val="clear"/>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tcBorders>
              <w:top w:color="000000" w:space="0" w:sz="4" w:val="single"/>
            </w:tcBorders>
            <w:shd w:fill="4472c4" w:val="clear"/>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tcBorders>
              <w:top w:color="000000" w:space="0" w:sz="4" w:val="single"/>
            </w:tcBorders>
            <w:shd w:fill="4472c4" w:val="clear"/>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gridSpan w:val="2"/>
            <w:tcBorders>
              <w:top w:color="000000" w:space="0" w:sz="4" w:val="single"/>
            </w:tcBorders>
            <w:shd w:fill="4472c4" w:val="clear"/>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tcBorders>
              <w:top w:color="000000" w:space="0" w:sz="4" w:val="single"/>
            </w:tcBorders>
            <w:shd w:fill="4472c4" w:val="clear"/>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tcBorders>
              <w:top w:color="000000" w:space="0" w:sz="4" w:val="single"/>
            </w:tcBorders>
            <w:shd w:fill="4472c4" w:val="clear"/>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4">
            <w:pPr>
              <w:spacing w:after="0" w:line="276" w:lineRule="auto"/>
              <w:jc w:val="both"/>
              <w:rPr>
                <w:b w:val="1"/>
                <w:bCs w:val="1"/>
                <w:sz w:val="15"/>
                <w:szCs w:val="15"/>
              </w:rPr>
            </w:pPr>
            <w:r w:rsidDel="00000000" w:rsidR="00000000" w:rsidRPr="00000000">
              <w:rPr>
                <w:b w:val="1"/>
                <w:bCs w:val="1"/>
                <w:sz w:val="15"/>
                <w:szCs w:val="15"/>
                <w:rtl w:val="0"/>
              </w:rPr>
              <w:t xml:space="preserve">Levantamiento y Análisis</w:t>
            </w:r>
          </w:p>
        </w:tc>
        <w:tc>
          <w:tcPr>
            <w:shd w:fill="4472c4" w:val="clear"/>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8">
            <w:pPr>
              <w:spacing w:after="0" w:line="276" w:lineRule="auto"/>
              <w:jc w:val="both"/>
              <w:rPr>
                <w:b w:val="1"/>
                <w:bCs w:val="1"/>
                <w:sz w:val="15"/>
                <w:szCs w:val="15"/>
              </w:rPr>
            </w:pPr>
            <w:r w:rsidDel="00000000" w:rsidR="00000000" w:rsidRPr="00000000">
              <w:rPr>
                <w:b w:val="1"/>
                <w:bCs w:val="1"/>
                <w:sz w:val="15"/>
                <w:szCs w:val="15"/>
                <w:rtl w:val="0"/>
              </w:rPr>
              <w:t xml:space="preserve">Diseño de la Solución</w:t>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C">
            <w:pPr>
              <w:spacing w:after="0" w:line="276" w:lineRule="auto"/>
              <w:jc w:val="both"/>
              <w:rPr>
                <w:b w:val="1"/>
                <w:bCs w:val="1"/>
                <w:sz w:val="15"/>
                <w:szCs w:val="15"/>
              </w:rPr>
            </w:pPr>
            <w:r w:rsidDel="00000000" w:rsidR="00000000" w:rsidRPr="00000000">
              <w:rPr>
                <w:b w:val="1"/>
                <w:bCs w:val="1"/>
                <w:sz w:val="15"/>
                <w:szCs w:val="15"/>
                <w:rtl w:val="0"/>
              </w:rPr>
              <w:t xml:space="preserve">Configuración del Entorno</w:t>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0">
            <w:pPr>
              <w:spacing w:after="0" w:line="276" w:lineRule="auto"/>
              <w:jc w:val="both"/>
              <w:rPr>
                <w:b w:val="1"/>
                <w:bCs w:val="1"/>
                <w:sz w:val="15"/>
                <w:szCs w:val="15"/>
              </w:rPr>
            </w:pPr>
            <w:r w:rsidDel="00000000" w:rsidR="00000000" w:rsidRPr="00000000">
              <w:rPr>
                <w:b w:val="1"/>
                <w:bCs w:val="1"/>
                <w:sz w:val="15"/>
                <w:szCs w:val="15"/>
                <w:rtl w:val="0"/>
              </w:rPr>
              <w:t xml:space="preserve">Base de Datos</w:t>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4">
            <w:pPr>
              <w:spacing w:after="0" w:line="276" w:lineRule="auto"/>
              <w:jc w:val="both"/>
              <w:rPr>
                <w:b w:val="1"/>
                <w:bCs w:val="1"/>
                <w:sz w:val="15"/>
                <w:szCs w:val="15"/>
              </w:rPr>
            </w:pPr>
            <w:r w:rsidDel="00000000" w:rsidR="00000000" w:rsidRPr="00000000">
              <w:rPr>
                <w:b w:val="1"/>
                <w:bCs w:val="1"/>
                <w:sz w:val="15"/>
                <w:szCs w:val="15"/>
                <w:rtl w:val="0"/>
              </w:rPr>
              <w:t xml:space="preserve">Motor de Carga y ETL</w:t>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8">
            <w:pPr>
              <w:spacing w:after="0" w:line="276" w:lineRule="auto"/>
              <w:jc w:val="both"/>
              <w:rPr>
                <w:b w:val="1"/>
                <w:bCs w:val="1"/>
                <w:sz w:val="15"/>
                <w:szCs w:val="15"/>
              </w:rPr>
            </w:pPr>
            <w:r w:rsidDel="00000000" w:rsidR="00000000" w:rsidRPr="00000000">
              <w:rPr>
                <w:b w:val="1"/>
                <w:bCs w:val="1"/>
                <w:sz w:val="15"/>
                <w:szCs w:val="15"/>
                <w:rtl w:val="0"/>
              </w:rPr>
              <w:t xml:space="preserve">Gestión de Casos, Alarmas y Mensajería</w:t>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B">
            <w:pPr>
              <w:spacing w:after="0" w:line="276" w:lineRule="auto"/>
              <w:jc w:val="both"/>
              <w:rPr>
                <w:b w:val="1"/>
                <w:bCs w:val="1"/>
                <w:sz w:val="15"/>
                <w:szCs w:val="15"/>
              </w:rPr>
            </w:pPr>
            <w:r w:rsidDel="00000000" w:rsidR="00000000" w:rsidRPr="00000000">
              <w:rPr>
                <w:b w:val="1"/>
                <w:bCs w:val="1"/>
                <w:sz w:val="15"/>
                <w:szCs w:val="15"/>
                <w:rtl w:val="0"/>
              </w:rPr>
              <w:t xml:space="preserve">Marcado Automático de Llamadas</w:t>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E">
            <w:pPr>
              <w:spacing w:after="0" w:line="276" w:lineRule="auto"/>
              <w:jc w:val="both"/>
              <w:rPr>
                <w:b w:val="1"/>
                <w:bCs w:val="1"/>
                <w:sz w:val="15"/>
                <w:szCs w:val="15"/>
              </w:rPr>
            </w:pPr>
            <w:r w:rsidDel="00000000" w:rsidR="00000000" w:rsidRPr="00000000">
              <w:rPr>
                <w:b w:val="1"/>
                <w:bCs w:val="1"/>
                <w:sz w:val="15"/>
                <w:szCs w:val="15"/>
                <w:rtl w:val="0"/>
              </w:rPr>
              <w:t xml:space="preserve">Backend y API</w:t>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2">
            <w:pPr>
              <w:spacing w:after="0" w:line="276" w:lineRule="auto"/>
              <w:jc w:val="both"/>
              <w:rPr>
                <w:b w:val="1"/>
                <w:bCs w:val="1"/>
                <w:sz w:val="15"/>
                <w:szCs w:val="15"/>
              </w:rPr>
            </w:pPr>
            <w:r w:rsidDel="00000000" w:rsidR="00000000" w:rsidRPr="00000000">
              <w:rPr>
                <w:b w:val="1"/>
                <w:bCs w:val="1"/>
                <w:sz w:val="15"/>
                <w:szCs w:val="15"/>
                <w:rtl w:val="0"/>
              </w:rPr>
              <w:t xml:space="preserve">Frontend y Dashboard</w:t>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6">
            <w:pPr>
              <w:spacing w:after="0" w:line="276" w:lineRule="auto"/>
              <w:jc w:val="both"/>
              <w:rPr>
                <w:b w:val="1"/>
                <w:bCs w:val="1"/>
                <w:sz w:val="15"/>
                <w:szCs w:val="15"/>
              </w:rPr>
            </w:pPr>
            <w:r w:rsidDel="00000000" w:rsidR="00000000" w:rsidRPr="00000000">
              <w:rPr>
                <w:b w:val="1"/>
                <w:bCs w:val="1"/>
                <w:sz w:val="15"/>
                <w:szCs w:val="15"/>
                <w:rtl w:val="0"/>
              </w:rPr>
              <w:t xml:space="preserve">Seguridad y Control de Acceso</w:t>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A">
            <w:pPr>
              <w:spacing w:after="0" w:line="276" w:lineRule="auto"/>
              <w:jc w:val="both"/>
              <w:rPr>
                <w:b w:val="1"/>
                <w:bCs w:val="1"/>
                <w:sz w:val="15"/>
                <w:szCs w:val="15"/>
              </w:rPr>
            </w:pPr>
            <w:r w:rsidDel="00000000" w:rsidR="00000000" w:rsidRPr="00000000">
              <w:rPr>
                <w:b w:val="1"/>
                <w:bCs w:val="1"/>
                <w:sz w:val="15"/>
                <w:szCs w:val="15"/>
                <w:rtl w:val="0"/>
              </w:rPr>
              <w:t xml:space="preserve">Integración del Sistema</w:t>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E">
            <w:pPr>
              <w:spacing w:after="0" w:line="276" w:lineRule="auto"/>
              <w:jc w:val="both"/>
              <w:rPr>
                <w:b w:val="1"/>
                <w:bCs w:val="1"/>
                <w:sz w:val="15"/>
                <w:szCs w:val="15"/>
              </w:rPr>
            </w:pPr>
            <w:r w:rsidDel="00000000" w:rsidR="00000000" w:rsidRPr="00000000">
              <w:rPr>
                <w:b w:val="1"/>
                <w:bCs w:val="1"/>
                <w:sz w:val="15"/>
                <w:szCs w:val="15"/>
                <w:rtl w:val="0"/>
              </w:rPr>
              <w:t xml:space="preserve">Pruebas y Validación</w:t>
            </w:r>
          </w:p>
        </w:tc>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2">
            <w:pPr>
              <w:spacing w:after="0" w:line="276" w:lineRule="auto"/>
              <w:jc w:val="both"/>
              <w:rPr>
                <w:b w:val="1"/>
                <w:bCs w:val="1"/>
                <w:sz w:val="15"/>
                <w:szCs w:val="15"/>
              </w:rPr>
            </w:pPr>
            <w:r w:rsidDel="00000000" w:rsidR="00000000" w:rsidRPr="00000000">
              <w:rPr>
                <w:b w:val="1"/>
                <w:bCs w:val="1"/>
                <w:sz w:val="15"/>
                <w:szCs w:val="15"/>
                <w:rtl w:val="0"/>
              </w:rPr>
              <w:t xml:space="preserve">Empaquetado e Implementación Local</w:t>
            </w:r>
          </w:p>
        </w:tc>
        <w:tc>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6">
            <w:pPr>
              <w:spacing w:after="0" w:line="276" w:lineRule="auto"/>
              <w:jc w:val="both"/>
              <w:rPr>
                <w:b w:val="1"/>
                <w:bCs w:val="1"/>
                <w:sz w:val="15"/>
                <w:szCs w:val="15"/>
              </w:rPr>
            </w:pPr>
            <w:r w:rsidDel="00000000" w:rsidR="00000000" w:rsidRPr="00000000">
              <w:rPr>
                <w:b w:val="1"/>
                <w:bCs w:val="1"/>
                <w:sz w:val="15"/>
                <w:szCs w:val="15"/>
                <w:rtl w:val="0"/>
              </w:rPr>
              <w:t xml:space="preserve">Documentación</w:t>
            </w:r>
          </w:p>
        </w:tc>
        <w:tc>
          <w:tcPr/>
          <w:p w:rsidR="00000000" w:rsidDel="00000000" w:rsidP="00000000" w:rsidRDefault="00000000" w:rsidRPr="00000000" w14:paraId="000002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0">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21">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222">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223">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224">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22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A">
            <w:pPr>
              <w:spacing w:after="0" w:line="276" w:lineRule="auto"/>
              <w:jc w:val="both"/>
              <w:rPr>
                <w:b w:val="1"/>
                <w:bCs w:val="1"/>
                <w:sz w:val="15"/>
                <w:szCs w:val="15"/>
              </w:rPr>
            </w:pPr>
            <w:r w:rsidDel="00000000" w:rsidR="00000000" w:rsidRPr="00000000">
              <w:rPr>
                <w:b w:val="1"/>
                <w:bCs w:val="1"/>
                <w:sz w:val="15"/>
                <w:szCs w:val="15"/>
                <w:rtl w:val="0"/>
              </w:rPr>
              <w:t xml:space="preserve">Capacitación y Puesta en Marcha</w:t>
            </w:r>
          </w:p>
        </w:tc>
        <w:tc>
          <w:tcPr/>
          <w:p w:rsidR="00000000" w:rsidDel="00000000" w:rsidP="00000000" w:rsidRDefault="00000000" w:rsidRPr="00000000" w14:paraId="000002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8">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239">
            <w:pPr>
              <w:spacing w:line="360" w:lineRule="auto"/>
              <w:jc w:val="both"/>
              <w:rPr>
                <w:b w:val="1"/>
                <w:bCs w:val="1"/>
                <w:sz w:val="16"/>
                <w:szCs w:val="16"/>
              </w:rPr>
            </w:pPr>
            <w:r w:rsidDel="00000000" w:rsidR="00000000" w:rsidRPr="00000000">
              <w:rPr>
                <w:rtl w:val="0"/>
              </w:rPr>
            </w:r>
          </w:p>
        </w:tc>
        <w:tc>
          <w:tcPr>
            <w:gridSpan w:val="2"/>
            <w:shd w:fill="4472c4" w:val="clear"/>
          </w:tcPr>
          <w:p w:rsidR="00000000" w:rsidDel="00000000" w:rsidP="00000000" w:rsidRDefault="00000000" w:rsidRPr="00000000" w14:paraId="0000023A">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23C">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23D">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23E">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4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wp86rUwcsIIg/IHcayTGeqZQIQ==">CgMxLjA4AHIhMWgxU0tfTVlmSmpSdUowOWdSd1IwN0lyQmtJVGc4Nllj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