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DC843" w14:textId="77777777" w:rsidR="007310F6" w:rsidRDefault="00000000">
      <w:r>
        <w:rPr>
          <w:noProof/>
        </w:rPr>
        <mc:AlternateContent>
          <mc:Choice Requires="wpg">
            <w:drawing>
              <wp:anchor distT="0" distB="0" distL="114300" distR="114300" simplePos="0" relativeHeight="251658240" behindDoc="0" locked="0" layoutInCell="1" hidden="0" allowOverlap="1" wp14:anchorId="54A4A859" wp14:editId="4BDB4848">
                <wp:simplePos x="0" y="0"/>
                <wp:positionH relativeFrom="column">
                  <wp:posOffset>-313900</wp:posOffset>
                </wp:positionH>
                <wp:positionV relativeFrom="paragraph">
                  <wp:posOffset>38311</wp:posOffset>
                </wp:positionV>
                <wp:extent cx="6238875" cy="1562100"/>
                <wp:effectExtent l="0" t="0" r="0" b="0"/>
                <wp:wrapNone/>
                <wp:docPr id="54" name="Grupo 54"/>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952421497" name="Grupo 1952421497"/>
                        <wpg:cNvGrpSpPr/>
                        <wpg:grpSpPr>
                          <a:xfrm>
                            <a:off x="2226563" y="2998950"/>
                            <a:ext cx="6238875" cy="1562100"/>
                            <a:chOff x="0" y="0"/>
                            <a:chExt cx="5991225" cy="1562100"/>
                          </a:xfrm>
                        </wpg:grpSpPr>
                        <wps:wsp>
                          <wps:cNvPr id="1871549705" name="Rectángulo 1871549705"/>
                          <wps:cNvSpPr/>
                          <wps:spPr>
                            <a:xfrm>
                              <a:off x="0" y="0"/>
                              <a:ext cx="5991225" cy="1562100"/>
                            </a:xfrm>
                            <a:prstGeom prst="rect">
                              <a:avLst/>
                            </a:prstGeom>
                            <a:noFill/>
                            <a:ln>
                              <a:noFill/>
                            </a:ln>
                          </wps:spPr>
                          <wps:txbx>
                            <w:txbxContent>
                              <w:p w14:paraId="3580F3BB" w14:textId="77777777" w:rsidR="007310F6" w:rsidRDefault="007310F6">
                                <w:pPr>
                                  <w:spacing w:after="0" w:line="240" w:lineRule="auto"/>
                                  <w:textDirection w:val="btLr"/>
                                </w:pPr>
                              </w:p>
                            </w:txbxContent>
                          </wps:txbx>
                          <wps:bodyPr spcFirstLastPara="1" wrap="square" lIns="91425" tIns="91425" rIns="91425" bIns="91425" anchor="ctr" anchorCtr="0">
                            <a:noAutofit/>
                          </wps:bodyPr>
                        </wps:wsp>
                        <wps:wsp>
                          <wps:cNvPr id="1026164004" name="Rectángulo 1026164004"/>
                          <wps:cNvSpPr/>
                          <wps:spPr>
                            <a:xfrm>
                              <a:off x="1024671" y="299473"/>
                              <a:ext cx="4966554" cy="1262627"/>
                            </a:xfrm>
                            <a:prstGeom prst="rect">
                              <a:avLst/>
                            </a:prstGeom>
                            <a:noFill/>
                            <a:ln>
                              <a:noFill/>
                            </a:ln>
                          </wps:spPr>
                          <wps:txbx>
                            <w:txbxContent>
                              <w:p w14:paraId="09CF4D9E" w14:textId="77777777" w:rsidR="007310F6" w:rsidRDefault="007310F6">
                                <w:pPr>
                                  <w:spacing w:after="0" w:line="240" w:lineRule="auto"/>
                                  <w:textDirection w:val="btLr"/>
                                </w:pPr>
                              </w:p>
                              <w:p w14:paraId="70E16316" w14:textId="77777777" w:rsidR="007310F6" w:rsidRDefault="00000000">
                                <w:pPr>
                                  <w:spacing w:after="0" w:line="240" w:lineRule="auto"/>
                                  <w:textDirection w:val="btLr"/>
                                </w:pPr>
                                <w:r>
                                  <w:rPr>
                                    <w:b/>
                                    <w:color w:val="1F3864"/>
                                    <w:sz w:val="48"/>
                                  </w:rPr>
                                  <w:t xml:space="preserve">Guía3. Informe final Proyecto APT </w:t>
                                </w:r>
                              </w:p>
                              <w:p w14:paraId="11A34825" w14:textId="77777777" w:rsidR="007310F6"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753719539" name="Rectángulo 1753719539"/>
                          <wps:cNvSpPr/>
                          <wps:spPr>
                            <a:xfrm>
                              <a:off x="0" y="0"/>
                              <a:ext cx="993140" cy="1486894"/>
                            </a:xfrm>
                            <a:prstGeom prst="rect">
                              <a:avLst/>
                            </a:prstGeom>
                            <a:solidFill>
                              <a:srgbClr val="1F3864"/>
                            </a:solidFill>
                            <a:ln>
                              <a:noFill/>
                            </a:ln>
                          </wps:spPr>
                          <wps:txbx>
                            <w:txbxContent>
                              <w:p w14:paraId="421865C9" w14:textId="77777777" w:rsidR="007310F6" w:rsidRDefault="007310F6">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14:paraId="0328AE20" w14:textId="77777777" w:rsidR="007310F6" w:rsidRDefault="007310F6"/>
    <w:p w14:paraId="4AACB7CC" w14:textId="77777777" w:rsidR="007310F6" w:rsidRDefault="007310F6"/>
    <w:p w14:paraId="5F13F376" w14:textId="77777777" w:rsidR="007310F6" w:rsidRDefault="007310F6"/>
    <w:p w14:paraId="1B6FEB5B" w14:textId="77777777" w:rsidR="007310F6" w:rsidRDefault="007310F6"/>
    <w:p w14:paraId="2FA4D4B5" w14:textId="77777777" w:rsidR="007310F6" w:rsidRDefault="007310F6">
      <w:pPr>
        <w:rPr>
          <w:b/>
          <w:bCs/>
          <w:color w:val="2F5496"/>
          <w:sz w:val="26"/>
          <w:szCs w:val="26"/>
        </w:rPr>
      </w:pPr>
    </w:p>
    <w:p w14:paraId="6180E4A4" w14:textId="77777777" w:rsidR="007310F6" w:rsidRDefault="007310F6">
      <w:pPr>
        <w:rPr>
          <w:b/>
          <w:bCs/>
          <w:color w:val="2F5496"/>
          <w:sz w:val="26"/>
          <w:szCs w:val="26"/>
        </w:rPr>
      </w:pPr>
    </w:p>
    <w:tbl>
      <w:tblPr>
        <w:tblStyle w:val="a"/>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781"/>
      </w:tblGrid>
      <w:tr w:rsidR="007310F6" w14:paraId="5A2523A0" w14:textId="77777777">
        <w:trPr>
          <w:trHeight w:val="440"/>
        </w:trPr>
        <w:tc>
          <w:tcPr>
            <w:tcW w:w="9781" w:type="dxa"/>
            <w:vAlign w:val="center"/>
          </w:tcPr>
          <w:p w14:paraId="28D04CF5" w14:textId="77777777" w:rsidR="007310F6" w:rsidRDefault="00000000">
            <w:pPr>
              <w:rPr>
                <w:b/>
                <w:bCs/>
                <w:color w:val="1F3864"/>
                <w:sz w:val="28"/>
                <w:szCs w:val="28"/>
              </w:rPr>
            </w:pPr>
            <w:r>
              <w:rPr>
                <w:b/>
                <w:bCs/>
                <w:color w:val="1F3864"/>
                <w:sz w:val="28"/>
                <w:szCs w:val="28"/>
              </w:rPr>
              <w:t>1. Informe final Proyecto APT</w:t>
            </w:r>
          </w:p>
        </w:tc>
      </w:tr>
      <w:tr w:rsidR="007310F6" w14:paraId="2862F37C" w14:textId="77777777">
        <w:trPr>
          <w:trHeight w:val="800"/>
        </w:trPr>
        <w:tc>
          <w:tcPr>
            <w:tcW w:w="9781" w:type="dxa"/>
            <w:shd w:val="clear" w:color="auto" w:fill="D9E2F3"/>
            <w:vAlign w:val="center"/>
          </w:tcPr>
          <w:p w14:paraId="5DD49C0C" w14:textId="77777777" w:rsidR="007310F6" w:rsidRDefault="007310F6">
            <w:pPr>
              <w:pBdr>
                <w:top w:val="nil"/>
                <w:left w:val="nil"/>
                <w:bottom w:val="nil"/>
                <w:right w:val="nil"/>
                <w:between w:val="nil"/>
              </w:pBdr>
              <w:tabs>
                <w:tab w:val="center" w:pos="4419"/>
                <w:tab w:val="right" w:pos="8838"/>
              </w:tabs>
              <w:spacing w:after="0" w:line="240" w:lineRule="auto"/>
              <w:jc w:val="both"/>
              <w:rPr>
                <w:color w:val="1F3864"/>
              </w:rPr>
            </w:pPr>
          </w:p>
          <w:p w14:paraId="407359EB" w14:textId="77777777" w:rsidR="007310F6"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El objetivo de este informe es que describas los aspectos más relevantes de tu Proyecto APT. Es importante que fundamentes las decisiones que tuviste que tomar a lo largo del proceso. </w:t>
            </w:r>
          </w:p>
          <w:p w14:paraId="244D52E1" w14:textId="77777777" w:rsidR="007310F6" w:rsidRDefault="007310F6">
            <w:pPr>
              <w:pBdr>
                <w:top w:val="nil"/>
                <w:left w:val="nil"/>
                <w:bottom w:val="nil"/>
                <w:right w:val="nil"/>
                <w:between w:val="nil"/>
              </w:pBdr>
              <w:tabs>
                <w:tab w:val="center" w:pos="4419"/>
                <w:tab w:val="right" w:pos="8838"/>
              </w:tabs>
              <w:spacing w:after="0" w:line="240" w:lineRule="auto"/>
              <w:jc w:val="both"/>
              <w:rPr>
                <w:color w:val="1F3864"/>
              </w:rPr>
            </w:pPr>
          </w:p>
          <w:p w14:paraId="457158A8" w14:textId="77777777" w:rsidR="007310F6"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1F3864"/>
              </w:rPr>
              <w:t>A continuación, encontrarás distintos campos que deberás completar con la información solicitada, los que dan cuenta del resumen de tu proyecto APT y sus principales resultados.</w:t>
            </w:r>
          </w:p>
        </w:tc>
      </w:tr>
    </w:tbl>
    <w:p w14:paraId="77239657" w14:textId="77777777" w:rsidR="007310F6" w:rsidRDefault="007310F6">
      <w:pPr>
        <w:rPr>
          <w:b/>
          <w:bCs/>
        </w:rPr>
      </w:pPr>
    </w:p>
    <w:tbl>
      <w:tblPr>
        <w:tblStyle w:val="a0"/>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59"/>
        <w:gridCol w:w="6622"/>
      </w:tblGrid>
      <w:tr w:rsidR="007310F6" w14:paraId="31951B8A" w14:textId="77777777">
        <w:trPr>
          <w:trHeight w:val="440"/>
        </w:trPr>
        <w:tc>
          <w:tcPr>
            <w:tcW w:w="3159" w:type="dxa"/>
            <w:vAlign w:val="center"/>
          </w:tcPr>
          <w:p w14:paraId="2B4B6D96" w14:textId="77777777" w:rsidR="007310F6" w:rsidRDefault="00000000">
            <w:pPr>
              <w:rPr>
                <w:color w:val="1F3864"/>
              </w:rPr>
            </w:pPr>
            <w:r>
              <w:rPr>
                <w:color w:val="1F3864"/>
              </w:rPr>
              <w:t>Nombre del proyecto</w:t>
            </w:r>
          </w:p>
        </w:tc>
        <w:tc>
          <w:tcPr>
            <w:tcW w:w="6622" w:type="dxa"/>
            <w:vAlign w:val="center"/>
          </w:tcPr>
          <w:p w14:paraId="07B7CF37" w14:textId="77777777" w:rsidR="007310F6" w:rsidRDefault="00000000">
            <w:pPr>
              <w:rPr>
                <w:b/>
                <w:bCs/>
              </w:rPr>
            </w:pPr>
            <w:proofErr w:type="spellStart"/>
            <w:r>
              <w:rPr>
                <w:i/>
                <w:iCs/>
                <w:color w:val="548DD4"/>
                <w:sz w:val="20"/>
                <w:szCs w:val="20"/>
              </w:rPr>
              <w:t>CarteraX</w:t>
            </w:r>
            <w:proofErr w:type="spellEnd"/>
          </w:p>
        </w:tc>
      </w:tr>
      <w:tr w:rsidR="007310F6" w14:paraId="528811C1" w14:textId="77777777">
        <w:trPr>
          <w:trHeight w:val="418"/>
        </w:trPr>
        <w:tc>
          <w:tcPr>
            <w:tcW w:w="3159" w:type="dxa"/>
            <w:vAlign w:val="center"/>
          </w:tcPr>
          <w:p w14:paraId="404E5D91" w14:textId="77777777" w:rsidR="007310F6" w:rsidRDefault="00000000">
            <w:pPr>
              <w:rPr>
                <w:color w:val="1F3864"/>
              </w:rPr>
            </w:pPr>
            <w:r>
              <w:rPr>
                <w:color w:val="1F3864"/>
              </w:rPr>
              <w:t>Área (s) de desempeño(s)</w:t>
            </w:r>
          </w:p>
        </w:tc>
        <w:tc>
          <w:tcPr>
            <w:tcW w:w="6622" w:type="dxa"/>
            <w:vAlign w:val="center"/>
          </w:tcPr>
          <w:p w14:paraId="196854C0" w14:textId="77777777" w:rsidR="007310F6" w:rsidRDefault="00000000">
            <w:pPr>
              <w:rPr>
                <w:b/>
                <w:bCs/>
                <w:color w:val="548DD4"/>
              </w:rPr>
            </w:pPr>
            <w:r>
              <w:rPr>
                <w:i/>
                <w:iCs/>
                <w:color w:val="548DD4"/>
                <w:sz w:val="20"/>
                <w:szCs w:val="20"/>
              </w:rPr>
              <w:t>Desarrollo de software y sistemas de información, con énfasis en ingeniería de software, bases de datos y automatización de procesos de negocio.</w:t>
            </w:r>
          </w:p>
        </w:tc>
      </w:tr>
      <w:tr w:rsidR="007310F6" w14:paraId="04A2E428" w14:textId="77777777">
        <w:trPr>
          <w:trHeight w:val="425"/>
        </w:trPr>
        <w:tc>
          <w:tcPr>
            <w:tcW w:w="3159" w:type="dxa"/>
            <w:vAlign w:val="center"/>
          </w:tcPr>
          <w:p w14:paraId="491E084E" w14:textId="77777777" w:rsidR="007310F6" w:rsidRDefault="00000000">
            <w:pPr>
              <w:rPr>
                <w:color w:val="1F3864"/>
              </w:rPr>
            </w:pPr>
            <w:r>
              <w:rPr>
                <w:color w:val="1F3864"/>
              </w:rPr>
              <w:t xml:space="preserve">Competencias </w:t>
            </w:r>
          </w:p>
          <w:p w14:paraId="20318775" w14:textId="77777777" w:rsidR="007310F6" w:rsidRDefault="007310F6">
            <w:pPr>
              <w:rPr>
                <w:color w:val="1F3864"/>
              </w:rPr>
            </w:pPr>
          </w:p>
        </w:tc>
        <w:tc>
          <w:tcPr>
            <w:tcW w:w="6622" w:type="dxa"/>
            <w:vAlign w:val="center"/>
          </w:tcPr>
          <w:p w14:paraId="2726554B" w14:textId="77777777" w:rsidR="007310F6" w:rsidRDefault="00000000">
            <w:pPr>
              <w:rPr>
                <w:b/>
                <w:bCs/>
                <w:color w:val="548DD4"/>
              </w:rPr>
            </w:pPr>
            <w:r>
              <w:rPr>
                <w:i/>
                <w:iCs/>
                <w:color w:val="548DD4"/>
                <w:sz w:val="20"/>
                <w:szCs w:val="20"/>
              </w:rPr>
              <w:t>Diseñar y desarrollar aplicaciones de software; modelar y administrar bases de datos; aplicar metodologías de ingeniería de software y buenas prácticas de desarrollo; trabajar en equipo aplicando control de versiones; y elaborar soluciones tecnológicas orientadas a resolver problemáticas reales de una organización.</w:t>
            </w:r>
          </w:p>
        </w:tc>
      </w:tr>
    </w:tbl>
    <w:p w14:paraId="78179810" w14:textId="77777777" w:rsidR="007310F6" w:rsidRDefault="007310F6">
      <w:pPr>
        <w:rPr>
          <w:b/>
          <w:bCs/>
        </w:rPr>
      </w:pPr>
    </w:p>
    <w:tbl>
      <w:tblPr>
        <w:tblStyle w:val="a1"/>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001"/>
        <w:gridCol w:w="6780"/>
      </w:tblGrid>
      <w:tr w:rsidR="007310F6" w14:paraId="5403EE2B" w14:textId="77777777">
        <w:trPr>
          <w:trHeight w:val="388"/>
        </w:trPr>
        <w:tc>
          <w:tcPr>
            <w:tcW w:w="9781" w:type="dxa"/>
            <w:gridSpan w:val="2"/>
            <w:shd w:val="clear" w:color="auto" w:fill="D9D9D9"/>
            <w:vAlign w:val="center"/>
          </w:tcPr>
          <w:p w14:paraId="3C318D3B" w14:textId="77777777" w:rsidR="007310F6" w:rsidRDefault="00000000">
            <w:pPr>
              <w:rPr>
                <w:b/>
                <w:bCs/>
              </w:rPr>
            </w:pPr>
            <w:r>
              <w:rPr>
                <w:b/>
                <w:bCs/>
                <w:color w:val="1F3864"/>
                <w:sz w:val="18"/>
                <w:szCs w:val="18"/>
              </w:rPr>
              <w:t>Contenidos del informe final</w:t>
            </w:r>
          </w:p>
        </w:tc>
      </w:tr>
      <w:tr w:rsidR="007310F6" w14:paraId="7160D7EF" w14:textId="77777777">
        <w:trPr>
          <w:trHeight w:val="2266"/>
        </w:trPr>
        <w:tc>
          <w:tcPr>
            <w:tcW w:w="3001" w:type="dxa"/>
            <w:vAlign w:val="center"/>
          </w:tcPr>
          <w:p w14:paraId="35D4CA61" w14:textId="77777777" w:rsidR="007310F6" w:rsidRDefault="00000000">
            <w:pPr>
              <w:rPr>
                <w:color w:val="1F3864"/>
                <w:sz w:val="18"/>
                <w:szCs w:val="18"/>
              </w:rPr>
            </w:pPr>
            <w:r>
              <w:rPr>
                <w:color w:val="1F3864"/>
                <w:sz w:val="18"/>
                <w:szCs w:val="18"/>
              </w:rPr>
              <w:t>1. Relevancia del proyecto APT</w:t>
            </w:r>
          </w:p>
        </w:tc>
        <w:tc>
          <w:tcPr>
            <w:tcW w:w="6780" w:type="dxa"/>
            <w:vAlign w:val="center"/>
          </w:tcPr>
          <w:p w14:paraId="3F64AE26" w14:textId="77777777" w:rsidR="007310F6" w:rsidRDefault="00000000">
            <w:pPr>
              <w:jc w:val="both"/>
              <w:rPr>
                <w:i/>
                <w:iCs/>
                <w:color w:val="548DD4"/>
                <w:sz w:val="20"/>
                <w:szCs w:val="20"/>
              </w:rPr>
            </w:pPr>
            <w:r>
              <w:rPr>
                <w:i/>
                <w:iCs/>
                <w:color w:val="548DD4"/>
                <w:sz w:val="20"/>
                <w:szCs w:val="20"/>
              </w:rPr>
              <w:t xml:space="preserve">Phoenix Service, unidad de Santander </w:t>
            </w:r>
            <w:proofErr w:type="spellStart"/>
            <w:r>
              <w:rPr>
                <w:i/>
                <w:iCs/>
                <w:color w:val="548DD4"/>
                <w:sz w:val="20"/>
                <w:szCs w:val="20"/>
              </w:rPr>
              <w:t>Consumer</w:t>
            </w:r>
            <w:proofErr w:type="spellEnd"/>
            <w:r>
              <w:rPr>
                <w:i/>
                <w:iCs/>
                <w:color w:val="548DD4"/>
                <w:sz w:val="20"/>
                <w:szCs w:val="20"/>
              </w:rPr>
              <w:t xml:space="preserve"> </w:t>
            </w:r>
            <w:proofErr w:type="spellStart"/>
            <w:r>
              <w:rPr>
                <w:i/>
                <w:iCs/>
                <w:color w:val="548DD4"/>
                <w:sz w:val="20"/>
                <w:szCs w:val="20"/>
              </w:rPr>
              <w:t>Finance</w:t>
            </w:r>
            <w:proofErr w:type="spellEnd"/>
            <w:r>
              <w:rPr>
                <w:i/>
                <w:iCs/>
                <w:color w:val="548DD4"/>
                <w:sz w:val="20"/>
                <w:szCs w:val="20"/>
              </w:rPr>
              <w:t xml:space="preserve"> Chile encargada de recuperar carteras morosas de créditos automotrices, cuenta con un equipo de 20 ejecutivos que gestiona mensualmente cerca de 200 clientes cada uno utilizando archivos Excel con formatos inconsistentes y sistemas internos del banco. Esto genera pérdida de horas en formateo manual de datos, falta de visualización en tiempo real de metas e indicadores, y errores en la priorización de casos críticos. El proyecto </w:t>
            </w:r>
            <w:proofErr w:type="spellStart"/>
            <w:r>
              <w:rPr>
                <w:i/>
                <w:iCs/>
                <w:color w:val="548DD4"/>
                <w:sz w:val="20"/>
                <w:szCs w:val="20"/>
              </w:rPr>
              <w:t>CarteraX</w:t>
            </w:r>
            <w:proofErr w:type="spellEnd"/>
            <w:r>
              <w:rPr>
                <w:i/>
                <w:iCs/>
                <w:color w:val="548DD4"/>
                <w:sz w:val="20"/>
                <w:szCs w:val="20"/>
              </w:rPr>
              <w:t xml:space="preserve"> busca solucionar esta problemática mediante una aplicación local que organiza, válida y visualiza automáticamente la información de cartera, siendo un aporte directo a la eficiencia operativa del área de cobranza.</w:t>
            </w:r>
          </w:p>
          <w:p w14:paraId="1479C984" w14:textId="77777777" w:rsidR="007310F6" w:rsidRDefault="00000000">
            <w:pPr>
              <w:numPr>
                <w:ilvl w:val="0"/>
                <w:numId w:val="2"/>
              </w:numPr>
              <w:spacing w:after="0"/>
              <w:ind w:left="720" w:hanging="360"/>
              <w:jc w:val="both"/>
              <w:rPr>
                <w:rFonts w:ascii="Noto Sans Symbols" w:eastAsia="Noto Sans Symbols" w:hAnsi="Noto Sans Symbols" w:cs="Noto Sans Symbols"/>
                <w:i/>
                <w:iCs/>
                <w:color w:val="548DD4"/>
                <w:sz w:val="20"/>
                <w:szCs w:val="20"/>
              </w:rPr>
            </w:pPr>
            <w:r>
              <w:rPr>
                <w:i/>
                <w:iCs/>
                <w:color w:val="548DD4"/>
                <w:sz w:val="20"/>
                <w:szCs w:val="20"/>
              </w:rPr>
              <w:t xml:space="preserve">Escogimos este tema porque combina desarrollo de software, gestión de datos y automatización de procesos, competencias centrales de Ingeniería en Informática. Es relevante para el campo laboral porque la mayoría de las organizaciones financieras aún dependen de procesos </w:t>
            </w:r>
            <w:r>
              <w:rPr>
                <w:i/>
                <w:iCs/>
                <w:color w:val="548DD4"/>
                <w:sz w:val="20"/>
                <w:szCs w:val="20"/>
              </w:rPr>
              <w:lastRenderedPageBreak/>
              <w:t>manuales en Excel, y solucionar esa brecha con una herramienta a medida representa una necesidad real y transferible a otras industrias.</w:t>
            </w:r>
          </w:p>
          <w:p w14:paraId="1F347B09" w14:textId="77777777" w:rsidR="007310F6" w:rsidRDefault="00000000">
            <w:pPr>
              <w:numPr>
                <w:ilvl w:val="0"/>
                <w:numId w:val="2"/>
              </w:numPr>
              <w:spacing w:after="0"/>
              <w:ind w:left="720" w:hanging="360"/>
              <w:jc w:val="both"/>
              <w:rPr>
                <w:rFonts w:ascii="Noto Sans Symbols" w:eastAsia="Noto Sans Symbols" w:hAnsi="Noto Sans Symbols" w:cs="Noto Sans Symbols"/>
                <w:i/>
                <w:iCs/>
                <w:color w:val="548DD4"/>
                <w:sz w:val="20"/>
                <w:szCs w:val="20"/>
              </w:rPr>
            </w:pPr>
            <w:r>
              <w:rPr>
                <w:i/>
                <w:iCs/>
                <w:color w:val="548DD4"/>
                <w:sz w:val="20"/>
                <w:szCs w:val="20"/>
              </w:rPr>
              <w:t xml:space="preserve">La situación se ubica en Chile, específicamente en Phoenix Service, unidad interna de Santander </w:t>
            </w:r>
            <w:proofErr w:type="spellStart"/>
            <w:r>
              <w:rPr>
                <w:i/>
                <w:iCs/>
                <w:color w:val="548DD4"/>
                <w:sz w:val="20"/>
                <w:szCs w:val="20"/>
              </w:rPr>
              <w:t>Consumer</w:t>
            </w:r>
            <w:proofErr w:type="spellEnd"/>
            <w:r>
              <w:rPr>
                <w:i/>
                <w:iCs/>
                <w:color w:val="548DD4"/>
                <w:sz w:val="20"/>
                <w:szCs w:val="20"/>
              </w:rPr>
              <w:t xml:space="preserve"> </w:t>
            </w:r>
            <w:proofErr w:type="spellStart"/>
            <w:r>
              <w:rPr>
                <w:i/>
                <w:iCs/>
                <w:color w:val="548DD4"/>
                <w:sz w:val="20"/>
                <w:szCs w:val="20"/>
              </w:rPr>
              <w:t>Finance</w:t>
            </w:r>
            <w:proofErr w:type="spellEnd"/>
            <w:r>
              <w:rPr>
                <w:i/>
                <w:iCs/>
                <w:color w:val="548DD4"/>
                <w:sz w:val="20"/>
                <w:szCs w:val="20"/>
              </w:rPr>
              <w:t xml:space="preserve"> Chile dedicada a la cobranza de carteras morosas de créditos automotrices. Es un entorno corporativo bancario con altos estándares de seguridad, por lo que la solución debe operar de forma local, sin depender de servicios en la nube.</w:t>
            </w:r>
          </w:p>
          <w:p w14:paraId="3B60D6F2" w14:textId="77777777" w:rsidR="007310F6" w:rsidRDefault="00000000">
            <w:pPr>
              <w:numPr>
                <w:ilvl w:val="0"/>
                <w:numId w:val="2"/>
              </w:numPr>
              <w:spacing w:after="0"/>
              <w:ind w:left="720" w:hanging="360"/>
              <w:jc w:val="both"/>
              <w:rPr>
                <w:rFonts w:ascii="Noto Sans Symbols" w:eastAsia="Noto Sans Symbols" w:hAnsi="Noto Sans Symbols" w:cs="Noto Sans Symbols"/>
                <w:i/>
                <w:iCs/>
                <w:color w:val="548DD4"/>
                <w:sz w:val="20"/>
                <w:szCs w:val="20"/>
              </w:rPr>
            </w:pPr>
            <w:r>
              <w:rPr>
                <w:i/>
                <w:iCs/>
                <w:color w:val="548DD4"/>
                <w:sz w:val="20"/>
                <w:szCs w:val="20"/>
              </w:rPr>
              <w:t>Afecta directamente a los 20 ejecutivos de cobranza y a los supervisores de cartera de Phoenix Service, quienes hoy pierden entre 3 y 4 horas diarias formateando datos en Excel, e indirectamente a la jefatura de Phoenix Service, responsable de los resultados de recuperación de la cartera.</w:t>
            </w:r>
          </w:p>
          <w:p w14:paraId="0D22D11E" w14:textId="77777777" w:rsidR="007310F6" w:rsidRDefault="00000000">
            <w:pPr>
              <w:numPr>
                <w:ilvl w:val="0"/>
                <w:numId w:val="3"/>
              </w:numPr>
              <w:pBdr>
                <w:top w:val="nil"/>
                <w:left w:val="nil"/>
                <w:bottom w:val="nil"/>
                <w:right w:val="nil"/>
                <w:between w:val="nil"/>
              </w:pBdr>
              <w:spacing w:after="0" w:line="240" w:lineRule="auto"/>
              <w:jc w:val="both"/>
              <w:rPr>
                <w:color w:val="548DD4"/>
                <w:sz w:val="18"/>
                <w:szCs w:val="18"/>
              </w:rPr>
            </w:pPr>
            <w:r>
              <w:rPr>
                <w:i/>
                <w:iCs/>
                <w:color w:val="548DD4"/>
                <w:sz w:val="20"/>
                <w:szCs w:val="20"/>
              </w:rPr>
              <w:t>El aporte de valor es reducir de 3-4 horas a menos de 1 hora diaria el tiempo dedicado a ordenar datos, entregar visibilidad en tiempo real de los indicadores de gestión y metas, mejorar la priorización de casos críticos mediante alarmas y estados de gestión (Gestionado, En progreso, Alerta, Normalizado) con trazabilidad por comentarios, agilizar el contacto con los clientes a través de mensajería automatizada por Gmail y WhatsApp, y optimizar la gestión telefónica mediante un marcador automático de números que conecta la llamada directamente al ejecutivo, aumentando la eficiencia y efectividad del proceso de cobranza sin exponer datos sensibles a servicios externos.</w:t>
            </w:r>
            <w:r>
              <w:rPr>
                <w:color w:val="548DD4"/>
                <w:sz w:val="18"/>
                <w:szCs w:val="18"/>
              </w:rPr>
              <w:t> </w:t>
            </w:r>
          </w:p>
          <w:p w14:paraId="0BBD1F27" w14:textId="77777777" w:rsidR="007310F6" w:rsidRDefault="007310F6">
            <w:pPr>
              <w:pBdr>
                <w:top w:val="nil"/>
                <w:left w:val="nil"/>
                <w:bottom w:val="nil"/>
                <w:right w:val="nil"/>
                <w:between w:val="nil"/>
              </w:pBdr>
              <w:spacing w:after="0" w:line="240" w:lineRule="auto"/>
              <w:ind w:left="720"/>
              <w:jc w:val="both"/>
              <w:rPr>
                <w:i/>
                <w:iCs/>
                <w:color w:val="0070C0"/>
                <w:sz w:val="18"/>
                <w:szCs w:val="18"/>
              </w:rPr>
            </w:pPr>
          </w:p>
        </w:tc>
      </w:tr>
      <w:tr w:rsidR="007310F6" w14:paraId="04A0DB09" w14:textId="77777777">
        <w:trPr>
          <w:trHeight w:val="838"/>
        </w:trPr>
        <w:tc>
          <w:tcPr>
            <w:tcW w:w="3001" w:type="dxa"/>
            <w:vAlign w:val="center"/>
          </w:tcPr>
          <w:p w14:paraId="2B48D194" w14:textId="77777777" w:rsidR="007310F6" w:rsidRDefault="00000000">
            <w:pPr>
              <w:rPr>
                <w:color w:val="1F3864"/>
                <w:sz w:val="18"/>
                <w:szCs w:val="18"/>
              </w:rPr>
            </w:pPr>
            <w:r>
              <w:rPr>
                <w:color w:val="1F3864"/>
                <w:sz w:val="18"/>
                <w:szCs w:val="18"/>
              </w:rPr>
              <w:lastRenderedPageBreak/>
              <w:t xml:space="preserve">2. Objetivos </w:t>
            </w:r>
          </w:p>
        </w:tc>
        <w:tc>
          <w:tcPr>
            <w:tcW w:w="6780" w:type="dxa"/>
            <w:vAlign w:val="center"/>
          </w:tcPr>
          <w:p w14:paraId="239CE805" w14:textId="77777777" w:rsidR="007310F6" w:rsidRDefault="00000000">
            <w:pPr>
              <w:keepNext/>
              <w:spacing w:before="120" w:after="40"/>
            </w:pPr>
            <w:r>
              <w:rPr>
                <w:b/>
                <w:bCs/>
                <w:i/>
                <w:iCs/>
                <w:color w:val="548DD4"/>
                <w:sz w:val="20"/>
                <w:szCs w:val="20"/>
              </w:rPr>
              <w:t>Objetivo general</w:t>
            </w:r>
          </w:p>
          <w:p w14:paraId="557DC5B5" w14:textId="77777777" w:rsidR="007310F6" w:rsidRDefault="00000000">
            <w:pPr>
              <w:spacing w:after="80"/>
              <w:jc w:val="both"/>
            </w:pPr>
            <w:r>
              <w:rPr>
                <w:i/>
                <w:iCs/>
                <w:color w:val="548DD4"/>
                <w:sz w:val="20"/>
                <w:szCs w:val="20"/>
              </w:rPr>
              <w:t xml:space="preserve">Diseñar e implementar </w:t>
            </w:r>
            <w:proofErr w:type="spellStart"/>
            <w:r>
              <w:rPr>
                <w:i/>
                <w:iCs/>
                <w:color w:val="548DD4"/>
                <w:sz w:val="20"/>
                <w:szCs w:val="20"/>
              </w:rPr>
              <w:t>CarteraX</w:t>
            </w:r>
            <w:proofErr w:type="spellEnd"/>
            <w:r>
              <w:rPr>
                <w:i/>
                <w:iCs/>
                <w:color w:val="548DD4"/>
                <w:sz w:val="20"/>
                <w:szCs w:val="20"/>
              </w:rPr>
              <w:t xml:space="preserve"> (Phoenix), una aplicación de escritorio local para los ejecutivos de cobranza de Phoenix Service, que permita importar y normalizar automáticamente sus archivos Excel de cartera, priorizar los casos críticos, visualizar indicadores de gestión, registrar el historial de gestiones y apoyar el contacto telefónico mediante una aplicación Android vinculada, operando de forma local y sin depender de servicios en la nube.</w:t>
            </w:r>
          </w:p>
          <w:p w14:paraId="55168BF1" w14:textId="77777777" w:rsidR="007310F6" w:rsidRDefault="00000000">
            <w:pPr>
              <w:keepNext/>
              <w:spacing w:before="120" w:after="40"/>
            </w:pPr>
            <w:r>
              <w:rPr>
                <w:b/>
                <w:bCs/>
                <w:i/>
                <w:iCs/>
                <w:color w:val="548DD4"/>
                <w:sz w:val="20"/>
                <w:szCs w:val="20"/>
              </w:rPr>
              <w:t>Objetivos específicos</w:t>
            </w:r>
          </w:p>
          <w:p w14:paraId="5D037890" w14:textId="77777777" w:rsidR="007310F6" w:rsidRDefault="00000000">
            <w:pPr>
              <w:numPr>
                <w:ilvl w:val="0"/>
                <w:numId w:val="3"/>
              </w:numPr>
              <w:spacing w:after="40"/>
              <w:jc w:val="both"/>
            </w:pPr>
            <w:r>
              <w:rPr>
                <w:i/>
                <w:iCs/>
                <w:color w:val="548DD4"/>
                <w:sz w:val="20"/>
                <w:szCs w:val="20"/>
              </w:rPr>
              <w:t>Levantar y especificar los requerimientos del sistema en un ERS con requerimientos funcionales y no funcionales priorizados mediante MoSCoW, a partir del análisis de archivos reales de cartera.</w:t>
            </w:r>
          </w:p>
          <w:p w14:paraId="6935083F" w14:textId="77777777" w:rsidR="007310F6" w:rsidRDefault="00000000">
            <w:pPr>
              <w:numPr>
                <w:ilvl w:val="0"/>
                <w:numId w:val="3"/>
              </w:numPr>
              <w:spacing w:after="40"/>
              <w:jc w:val="both"/>
            </w:pPr>
            <w:r>
              <w:rPr>
                <w:i/>
                <w:iCs/>
                <w:color w:val="548DD4"/>
                <w:sz w:val="20"/>
                <w:szCs w:val="20"/>
              </w:rPr>
              <w:t>Planificar el proyecto con una metodología predictiva, elaborando Acta de Constitución, EDT, Carta Gantt, matriz RACI, matriz de riesgos y plan de pruebas.</w:t>
            </w:r>
          </w:p>
          <w:p w14:paraId="328A5438" w14:textId="77777777" w:rsidR="007310F6" w:rsidRDefault="00000000">
            <w:pPr>
              <w:numPr>
                <w:ilvl w:val="0"/>
                <w:numId w:val="3"/>
              </w:numPr>
              <w:spacing w:after="40"/>
              <w:jc w:val="both"/>
            </w:pPr>
            <w:r>
              <w:rPr>
                <w:i/>
                <w:iCs/>
                <w:color w:val="548DD4"/>
                <w:sz w:val="20"/>
                <w:szCs w:val="20"/>
              </w:rPr>
              <w:t>Automatizar la importación, validación y normalización de archivos Excel con formatos variables, reduciendo de 3-4 horas a menos de 1 hora diaria el tiempo de formateo de datos.</w:t>
            </w:r>
          </w:p>
          <w:p w14:paraId="7FCDC16E" w14:textId="77777777" w:rsidR="007310F6" w:rsidRDefault="00000000">
            <w:pPr>
              <w:numPr>
                <w:ilvl w:val="0"/>
                <w:numId w:val="3"/>
              </w:numPr>
              <w:spacing w:after="40"/>
              <w:jc w:val="both"/>
            </w:pPr>
            <w:r>
              <w:rPr>
                <w:i/>
                <w:iCs/>
                <w:color w:val="548DD4"/>
                <w:sz w:val="20"/>
                <w:szCs w:val="20"/>
              </w:rPr>
              <w:t>Almacenar la cartera normalizada en una base de datos SQLite local, con histórico por período y trazabilidad del archivo original.</w:t>
            </w:r>
          </w:p>
          <w:p w14:paraId="1382980B" w14:textId="77777777" w:rsidR="007310F6" w:rsidRDefault="00000000">
            <w:pPr>
              <w:numPr>
                <w:ilvl w:val="0"/>
                <w:numId w:val="3"/>
              </w:numPr>
              <w:spacing w:after="40"/>
              <w:jc w:val="both"/>
            </w:pPr>
            <w:r>
              <w:rPr>
                <w:i/>
                <w:iCs/>
                <w:color w:val="548DD4"/>
                <w:sz w:val="20"/>
                <w:szCs w:val="20"/>
              </w:rPr>
              <w:t>Calcular indicadores de cobranza y un score de priorización que permita identificar los casos críticos de cada ejecutivo.</w:t>
            </w:r>
          </w:p>
          <w:p w14:paraId="140F93DF" w14:textId="77777777" w:rsidR="007310F6" w:rsidRDefault="00000000">
            <w:pPr>
              <w:numPr>
                <w:ilvl w:val="0"/>
                <w:numId w:val="3"/>
              </w:numPr>
              <w:spacing w:after="40"/>
              <w:jc w:val="both"/>
            </w:pPr>
            <w:r>
              <w:rPr>
                <w:i/>
                <w:iCs/>
                <w:color w:val="548DD4"/>
                <w:sz w:val="20"/>
                <w:szCs w:val="20"/>
              </w:rPr>
              <w:t xml:space="preserve">Entregar un </w:t>
            </w:r>
            <w:proofErr w:type="spellStart"/>
            <w:r>
              <w:rPr>
                <w:i/>
                <w:iCs/>
                <w:color w:val="548DD4"/>
                <w:sz w:val="20"/>
                <w:szCs w:val="20"/>
              </w:rPr>
              <w:t>dashboard</w:t>
            </w:r>
            <w:proofErr w:type="spellEnd"/>
            <w:r>
              <w:rPr>
                <w:i/>
                <w:iCs/>
                <w:color w:val="548DD4"/>
                <w:sz w:val="20"/>
                <w:szCs w:val="20"/>
              </w:rPr>
              <w:t xml:space="preserve"> con </w:t>
            </w:r>
            <w:proofErr w:type="spellStart"/>
            <w:r>
              <w:rPr>
                <w:i/>
                <w:iCs/>
                <w:color w:val="548DD4"/>
                <w:sz w:val="20"/>
                <w:szCs w:val="20"/>
              </w:rPr>
              <w:t>KPIs</w:t>
            </w:r>
            <w:proofErr w:type="spellEnd"/>
            <w:r>
              <w:rPr>
                <w:i/>
                <w:iCs/>
                <w:color w:val="548DD4"/>
                <w:sz w:val="20"/>
                <w:szCs w:val="20"/>
              </w:rPr>
              <w:t>, tabla de cartera con búsqueda y filtros, y alertas de clientes de alta prioridad sin gestión reciente.</w:t>
            </w:r>
          </w:p>
          <w:p w14:paraId="34A89C7E" w14:textId="77777777" w:rsidR="007310F6" w:rsidRDefault="00000000">
            <w:pPr>
              <w:numPr>
                <w:ilvl w:val="0"/>
                <w:numId w:val="3"/>
              </w:numPr>
              <w:spacing w:after="40"/>
              <w:jc w:val="both"/>
            </w:pPr>
            <w:r>
              <w:rPr>
                <w:i/>
                <w:iCs/>
                <w:color w:val="548DD4"/>
                <w:sz w:val="20"/>
                <w:szCs w:val="20"/>
              </w:rPr>
              <w:t>Implementar el registro y el historial de gestiones por cliente.</w:t>
            </w:r>
          </w:p>
          <w:p w14:paraId="43885661" w14:textId="77777777" w:rsidR="007310F6" w:rsidRDefault="00000000">
            <w:pPr>
              <w:numPr>
                <w:ilvl w:val="0"/>
                <w:numId w:val="3"/>
              </w:numPr>
              <w:spacing w:after="40"/>
              <w:jc w:val="both"/>
            </w:pPr>
            <w:r>
              <w:rPr>
                <w:i/>
                <w:iCs/>
                <w:color w:val="548DD4"/>
                <w:sz w:val="20"/>
                <w:szCs w:val="20"/>
              </w:rPr>
              <w:lastRenderedPageBreak/>
              <w:t>Desarrollar Phoenix Mobile (Android/</w:t>
            </w:r>
            <w:proofErr w:type="spellStart"/>
            <w:r>
              <w:rPr>
                <w:i/>
                <w:iCs/>
                <w:color w:val="548DD4"/>
                <w:sz w:val="20"/>
                <w:szCs w:val="20"/>
              </w:rPr>
              <w:t>Kotlin</w:t>
            </w:r>
            <w:proofErr w:type="spellEnd"/>
            <w:r>
              <w:rPr>
                <w:i/>
                <w:iCs/>
                <w:color w:val="548DD4"/>
                <w:sz w:val="20"/>
                <w:szCs w:val="20"/>
              </w:rPr>
              <w:t>) y una cola progresiva de llamadas que se comunique con Phoenix Desktop por HTTP/REST en red local.</w:t>
            </w:r>
          </w:p>
          <w:p w14:paraId="6066A173" w14:textId="77777777" w:rsidR="007310F6" w:rsidRDefault="00000000">
            <w:pPr>
              <w:numPr>
                <w:ilvl w:val="0"/>
                <w:numId w:val="3"/>
              </w:numPr>
              <w:spacing w:after="40"/>
              <w:jc w:val="both"/>
            </w:pPr>
            <w:r>
              <w:rPr>
                <w:i/>
                <w:iCs/>
                <w:color w:val="548DD4"/>
                <w:sz w:val="20"/>
                <w:szCs w:val="20"/>
              </w:rPr>
              <w:t>Garantizar la operación offline-</w:t>
            </w:r>
            <w:proofErr w:type="spellStart"/>
            <w:r>
              <w:rPr>
                <w:i/>
                <w:iCs/>
                <w:color w:val="548DD4"/>
                <w:sz w:val="20"/>
                <w:szCs w:val="20"/>
              </w:rPr>
              <w:t>first</w:t>
            </w:r>
            <w:proofErr w:type="spellEnd"/>
            <w:r>
              <w:rPr>
                <w:i/>
                <w:iCs/>
                <w:color w:val="548DD4"/>
                <w:sz w:val="20"/>
                <w:szCs w:val="20"/>
              </w:rPr>
              <w:t xml:space="preserve"> y la protección de los datos personales y financieros de los clientes, en línea con la Ley 19.628.</w:t>
            </w:r>
          </w:p>
          <w:p w14:paraId="5C4CAD4A" w14:textId="77777777" w:rsidR="007310F6" w:rsidRDefault="00000000">
            <w:pPr>
              <w:numPr>
                <w:ilvl w:val="0"/>
                <w:numId w:val="3"/>
              </w:numPr>
              <w:spacing w:after="40"/>
              <w:jc w:val="both"/>
            </w:pPr>
            <w:r>
              <w:rPr>
                <w:i/>
                <w:iCs/>
                <w:color w:val="548DD4"/>
                <w:sz w:val="20"/>
                <w:szCs w:val="20"/>
              </w:rPr>
              <w:t>Verificar la calidad del sistema mediante pruebas automatizadas y validar su usabilidad con ejecutivos de Phoenix Service antes de la puesta en marcha.</w:t>
            </w:r>
          </w:p>
        </w:tc>
      </w:tr>
      <w:tr w:rsidR="007310F6" w14:paraId="50BC7815" w14:textId="77777777">
        <w:tc>
          <w:tcPr>
            <w:tcW w:w="3001" w:type="dxa"/>
            <w:vAlign w:val="center"/>
          </w:tcPr>
          <w:p w14:paraId="29FF9202" w14:textId="77777777" w:rsidR="007310F6" w:rsidRDefault="00000000">
            <w:pPr>
              <w:rPr>
                <w:color w:val="1F3864"/>
                <w:sz w:val="18"/>
                <w:szCs w:val="18"/>
              </w:rPr>
            </w:pPr>
            <w:r>
              <w:rPr>
                <w:color w:val="1F3864"/>
                <w:sz w:val="18"/>
                <w:szCs w:val="18"/>
              </w:rPr>
              <w:lastRenderedPageBreak/>
              <w:t>3. Metodología</w:t>
            </w:r>
          </w:p>
        </w:tc>
        <w:tc>
          <w:tcPr>
            <w:tcW w:w="6780" w:type="dxa"/>
            <w:vAlign w:val="center"/>
          </w:tcPr>
          <w:p w14:paraId="4C9110DF" w14:textId="77777777" w:rsidR="007310F6" w:rsidRDefault="00000000">
            <w:pPr>
              <w:keepNext/>
              <w:spacing w:before="120" w:after="40"/>
            </w:pPr>
            <w:r>
              <w:rPr>
                <w:b/>
                <w:bCs/>
                <w:i/>
                <w:iCs/>
                <w:color w:val="548DD4"/>
                <w:sz w:val="20"/>
                <w:szCs w:val="20"/>
              </w:rPr>
              <w:t>Metodología utilizada</w:t>
            </w:r>
          </w:p>
          <w:p w14:paraId="7441130D" w14:textId="77777777" w:rsidR="007310F6" w:rsidRDefault="00000000">
            <w:pPr>
              <w:spacing w:after="80"/>
              <w:jc w:val="both"/>
            </w:pPr>
            <w:r>
              <w:rPr>
                <w:i/>
                <w:iCs/>
                <w:color w:val="548DD4"/>
                <w:sz w:val="20"/>
                <w:szCs w:val="20"/>
              </w:rPr>
              <w:t>El proyecto se desarrolló con una metodología tradicional (predictiva), de tipo cascada, basada en los lineamientos del PMBOK. Las fases se ejecutan de forma secuencial y cada una cierra con documentación formal antes de pasar a la siguiente:</w:t>
            </w:r>
          </w:p>
          <w:p w14:paraId="7F84C3F8" w14:textId="77777777" w:rsidR="007310F6" w:rsidRDefault="00000000">
            <w:pPr>
              <w:numPr>
                <w:ilvl w:val="0"/>
                <w:numId w:val="3"/>
              </w:numPr>
              <w:spacing w:after="40"/>
              <w:jc w:val="both"/>
            </w:pPr>
            <w:r>
              <w:rPr>
                <w:b/>
                <w:bCs/>
                <w:i/>
                <w:iCs/>
                <w:color w:val="548DD4"/>
                <w:sz w:val="20"/>
                <w:szCs w:val="20"/>
              </w:rPr>
              <w:t xml:space="preserve">Inicio: </w:t>
            </w:r>
            <w:r>
              <w:rPr>
                <w:i/>
                <w:iCs/>
                <w:color w:val="548DD4"/>
                <w:sz w:val="20"/>
                <w:szCs w:val="20"/>
              </w:rPr>
              <w:t>Acta de Constitución del Proyecto (v1.1), que autoriza el proyecto y define objetivos, alcance preliminar e interesados.</w:t>
            </w:r>
          </w:p>
          <w:p w14:paraId="235EF0D0" w14:textId="77777777" w:rsidR="007310F6" w:rsidRDefault="00000000">
            <w:pPr>
              <w:numPr>
                <w:ilvl w:val="0"/>
                <w:numId w:val="3"/>
              </w:numPr>
              <w:spacing w:after="40"/>
              <w:jc w:val="both"/>
            </w:pPr>
            <w:r>
              <w:rPr>
                <w:b/>
                <w:bCs/>
                <w:i/>
                <w:iCs/>
                <w:color w:val="548DD4"/>
                <w:sz w:val="20"/>
                <w:szCs w:val="20"/>
              </w:rPr>
              <w:t xml:space="preserve">Planificación: </w:t>
            </w:r>
            <w:r>
              <w:rPr>
                <w:i/>
                <w:iCs/>
                <w:color w:val="548DD4"/>
                <w:sz w:val="20"/>
                <w:szCs w:val="20"/>
              </w:rPr>
              <w:t>EDT con 15 fases y 87 actividades junto a su diccionario, Carta Gantt (cronograma de 19 semanas), matriz RACI por fase y por actividad, matriz de riesgos con 19 riesgos evaluados en probabilidad × impacto (escala 1-5, con mapa de calor) y plan de pruebas inicial.</w:t>
            </w:r>
          </w:p>
          <w:p w14:paraId="0C492ED0" w14:textId="77777777" w:rsidR="007310F6" w:rsidRDefault="00000000">
            <w:pPr>
              <w:numPr>
                <w:ilvl w:val="0"/>
                <w:numId w:val="3"/>
              </w:numPr>
              <w:spacing w:after="40"/>
              <w:jc w:val="both"/>
            </w:pPr>
            <w:r>
              <w:rPr>
                <w:b/>
                <w:bCs/>
                <w:i/>
                <w:iCs/>
                <w:color w:val="548DD4"/>
                <w:sz w:val="20"/>
                <w:szCs w:val="20"/>
              </w:rPr>
              <w:t xml:space="preserve">Análisis y diseño: </w:t>
            </w:r>
            <w:r>
              <w:rPr>
                <w:i/>
                <w:iCs/>
                <w:color w:val="548DD4"/>
                <w:sz w:val="20"/>
                <w:szCs w:val="20"/>
              </w:rPr>
              <w:t>Especificación de Requerimientos (ERS) elaborada a partir del análisis de archivos de cartera reales, con trazabilidad hacia la EDT; modelos de datos y arquitectura, mockups de interfaz y plan de calidad y costos.</w:t>
            </w:r>
          </w:p>
          <w:p w14:paraId="6E958D78" w14:textId="77777777" w:rsidR="007310F6" w:rsidRDefault="00000000">
            <w:pPr>
              <w:numPr>
                <w:ilvl w:val="0"/>
                <w:numId w:val="3"/>
              </w:numPr>
              <w:spacing w:after="40"/>
              <w:jc w:val="both"/>
            </w:pPr>
            <w:r>
              <w:rPr>
                <w:b/>
                <w:bCs/>
                <w:i/>
                <w:iCs/>
                <w:color w:val="548DD4"/>
                <w:sz w:val="20"/>
                <w:szCs w:val="20"/>
              </w:rPr>
              <w:t xml:space="preserve">Ejecución: </w:t>
            </w:r>
            <w:r>
              <w:rPr>
                <w:i/>
                <w:iCs/>
                <w:color w:val="548DD4"/>
                <w:sz w:val="20"/>
                <w:szCs w:val="20"/>
              </w:rPr>
              <w:t>desarrollo de Phoenix Desktop (</w:t>
            </w:r>
            <w:proofErr w:type="spellStart"/>
            <w:r>
              <w:rPr>
                <w:i/>
                <w:iCs/>
                <w:color w:val="548DD4"/>
                <w:sz w:val="20"/>
                <w:szCs w:val="20"/>
              </w:rPr>
              <w:t>Electron</w:t>
            </w:r>
            <w:proofErr w:type="spellEnd"/>
            <w:r>
              <w:rPr>
                <w:i/>
                <w:iCs/>
                <w:color w:val="548DD4"/>
                <w:sz w:val="20"/>
                <w:szCs w:val="20"/>
              </w:rPr>
              <w:t xml:space="preserve"> + </w:t>
            </w:r>
            <w:proofErr w:type="spellStart"/>
            <w:r>
              <w:rPr>
                <w:i/>
                <w:iCs/>
                <w:color w:val="548DD4"/>
                <w:sz w:val="20"/>
                <w:szCs w:val="20"/>
              </w:rPr>
              <w:t>TypeScript</w:t>
            </w:r>
            <w:proofErr w:type="spellEnd"/>
            <w:r>
              <w:rPr>
                <w:i/>
                <w:iCs/>
                <w:color w:val="548DD4"/>
                <w:sz w:val="20"/>
                <w:szCs w:val="20"/>
              </w:rPr>
              <w:t>/Node.js + SQLite) y Phoenix Mobile (Android/</w:t>
            </w:r>
            <w:proofErr w:type="spellStart"/>
            <w:r>
              <w:rPr>
                <w:i/>
                <w:iCs/>
                <w:color w:val="548DD4"/>
                <w:sz w:val="20"/>
                <w:szCs w:val="20"/>
              </w:rPr>
              <w:t>Kotlin</w:t>
            </w:r>
            <w:proofErr w:type="spellEnd"/>
            <w:r>
              <w:rPr>
                <w:i/>
                <w:iCs/>
                <w:color w:val="548DD4"/>
                <w:sz w:val="20"/>
                <w:szCs w:val="20"/>
              </w:rPr>
              <w:t>), conforme a la línea base planificada.</w:t>
            </w:r>
          </w:p>
          <w:p w14:paraId="7A611F5D" w14:textId="77777777" w:rsidR="007310F6" w:rsidRDefault="00000000">
            <w:pPr>
              <w:numPr>
                <w:ilvl w:val="0"/>
                <w:numId w:val="3"/>
              </w:numPr>
              <w:spacing w:after="40"/>
              <w:jc w:val="both"/>
            </w:pPr>
            <w:r>
              <w:rPr>
                <w:b/>
                <w:bCs/>
                <w:i/>
                <w:iCs/>
                <w:color w:val="548DD4"/>
                <w:sz w:val="20"/>
                <w:szCs w:val="20"/>
              </w:rPr>
              <w:t xml:space="preserve">Monitoreo y control: </w:t>
            </w:r>
            <w:r>
              <w:rPr>
                <w:i/>
                <w:iCs/>
                <w:color w:val="548DD4"/>
                <w:sz w:val="20"/>
                <w:szCs w:val="20"/>
              </w:rPr>
              <w:t>pruebas automatizadas y verificación de alcance, cronograma y calidad frente a la línea base, con seguimiento de los riesgos identificados.</w:t>
            </w:r>
          </w:p>
          <w:p w14:paraId="7AFD2CD7" w14:textId="77777777" w:rsidR="007310F6" w:rsidRDefault="00000000">
            <w:pPr>
              <w:numPr>
                <w:ilvl w:val="0"/>
                <w:numId w:val="3"/>
              </w:numPr>
              <w:spacing w:after="40"/>
              <w:jc w:val="both"/>
            </w:pPr>
            <w:r>
              <w:rPr>
                <w:b/>
                <w:bCs/>
                <w:i/>
                <w:iCs/>
                <w:color w:val="548DD4"/>
                <w:sz w:val="20"/>
                <w:szCs w:val="20"/>
              </w:rPr>
              <w:t xml:space="preserve">Cierre: </w:t>
            </w:r>
            <w:r>
              <w:rPr>
                <w:i/>
                <w:iCs/>
                <w:color w:val="548DD4"/>
                <w:sz w:val="20"/>
                <w:szCs w:val="20"/>
              </w:rPr>
              <w:t>entrega de la aplicación, manual de usuario, capacitación y Acta de cierre.</w:t>
            </w:r>
          </w:p>
          <w:p w14:paraId="5DAE3043" w14:textId="77777777" w:rsidR="007310F6" w:rsidRDefault="00000000">
            <w:pPr>
              <w:spacing w:after="80"/>
              <w:jc w:val="both"/>
            </w:pPr>
            <w:r>
              <w:rPr>
                <w:i/>
                <w:iCs/>
                <w:color w:val="548DD4"/>
                <w:sz w:val="20"/>
                <w:szCs w:val="20"/>
              </w:rPr>
              <w:t xml:space="preserve">El equipo se organizó con </w:t>
            </w:r>
            <w:proofErr w:type="spellStart"/>
            <w:r>
              <w:rPr>
                <w:i/>
                <w:iCs/>
                <w:color w:val="548DD4"/>
                <w:sz w:val="20"/>
                <w:szCs w:val="20"/>
              </w:rPr>
              <w:t>Jhonny</w:t>
            </w:r>
            <w:proofErr w:type="spellEnd"/>
            <w:r>
              <w:rPr>
                <w:i/>
                <w:iCs/>
                <w:color w:val="548DD4"/>
                <w:sz w:val="20"/>
                <w:szCs w:val="20"/>
              </w:rPr>
              <w:t xml:space="preserve"> Silva como Project Lead (planificación y coordinación), Diego Cruz Medina en desarrollo (</w:t>
            </w:r>
            <w:proofErr w:type="spellStart"/>
            <w:r>
              <w:rPr>
                <w:i/>
                <w:iCs/>
                <w:color w:val="548DD4"/>
                <w:sz w:val="20"/>
                <w:szCs w:val="20"/>
              </w:rPr>
              <w:t>frontend</w:t>
            </w:r>
            <w:proofErr w:type="spellEnd"/>
            <w:r>
              <w:rPr>
                <w:i/>
                <w:iCs/>
                <w:color w:val="548DD4"/>
                <w:sz w:val="20"/>
                <w:szCs w:val="20"/>
              </w:rPr>
              <w:t xml:space="preserve">, </w:t>
            </w:r>
            <w:proofErr w:type="spellStart"/>
            <w:r>
              <w:rPr>
                <w:i/>
                <w:iCs/>
                <w:color w:val="548DD4"/>
                <w:sz w:val="20"/>
                <w:szCs w:val="20"/>
              </w:rPr>
              <w:t>backend</w:t>
            </w:r>
            <w:proofErr w:type="spellEnd"/>
            <w:r>
              <w:rPr>
                <w:i/>
                <w:iCs/>
                <w:color w:val="548DD4"/>
                <w:sz w:val="20"/>
                <w:szCs w:val="20"/>
              </w:rPr>
              <w:t xml:space="preserve"> y motor de importación) y Cristóbal Irarrázabal como Analista QA (pruebas y validación con usuarios).</w:t>
            </w:r>
          </w:p>
          <w:p w14:paraId="7E7E536D" w14:textId="77777777" w:rsidR="007310F6" w:rsidRDefault="00000000">
            <w:pPr>
              <w:keepNext/>
              <w:spacing w:before="120" w:after="40"/>
            </w:pPr>
            <w:r>
              <w:rPr>
                <w:b/>
                <w:bCs/>
                <w:i/>
                <w:iCs/>
                <w:color w:val="548DD4"/>
                <w:sz w:val="20"/>
                <w:szCs w:val="20"/>
              </w:rPr>
              <w:t>Pertinencia de la metodología</w:t>
            </w:r>
          </w:p>
          <w:p w14:paraId="4F537BAD" w14:textId="77777777" w:rsidR="007310F6" w:rsidRDefault="00000000">
            <w:pPr>
              <w:spacing w:after="80"/>
              <w:jc w:val="both"/>
            </w:pPr>
            <w:r>
              <w:rPr>
                <w:i/>
                <w:iCs/>
                <w:color w:val="548DD4"/>
                <w:sz w:val="20"/>
                <w:szCs w:val="20"/>
              </w:rPr>
              <w:t>La metodología predictiva fue pertinente por cuatro razones. Primero, el problema es acotado y conocido (reemplazar el trabajo en Excel de los ejecutivos), por lo que sus requerimientos podían definirse con anticipación a partir de archivos reales. Segundo, el cliente es un entorno bancario con exigencias de seguridad y operación local, donde conviene documentar y aprobar el alcance antes de construir. Tercero, el plazo académico es fijo y está dividido en fases con entregables evaluados, lo que calza con una planificación por hitos. Cuarto, la documentación base (EDT, RACI, riesgos y ERS con trazabilidad) permitió detectar a tiempo inconsistencias, como las diferencias entre el ERS y la EDT, y corregirlas antes de iniciar el desarrollo.</w:t>
            </w:r>
          </w:p>
        </w:tc>
      </w:tr>
      <w:tr w:rsidR="007310F6" w14:paraId="17617089" w14:textId="77777777">
        <w:trPr>
          <w:trHeight w:val="2117"/>
        </w:trPr>
        <w:tc>
          <w:tcPr>
            <w:tcW w:w="3001" w:type="dxa"/>
            <w:vAlign w:val="center"/>
          </w:tcPr>
          <w:p w14:paraId="6957AE78" w14:textId="77777777" w:rsidR="007310F6" w:rsidRDefault="00000000">
            <w:pPr>
              <w:rPr>
                <w:color w:val="1F3864"/>
                <w:sz w:val="18"/>
                <w:szCs w:val="18"/>
              </w:rPr>
            </w:pPr>
            <w:r>
              <w:rPr>
                <w:color w:val="1F3864"/>
                <w:sz w:val="18"/>
                <w:szCs w:val="18"/>
              </w:rPr>
              <w:lastRenderedPageBreak/>
              <w:t>4. Desarrollo</w:t>
            </w:r>
          </w:p>
        </w:tc>
        <w:tc>
          <w:tcPr>
            <w:tcW w:w="6780" w:type="dxa"/>
            <w:vAlign w:val="center"/>
          </w:tcPr>
          <w:p w14:paraId="63CD2090" w14:textId="77777777" w:rsidR="007310F6" w:rsidRDefault="00000000">
            <w:pPr>
              <w:keepNext/>
              <w:spacing w:before="120" w:after="40"/>
            </w:pPr>
            <w:r>
              <w:rPr>
                <w:b/>
                <w:bCs/>
                <w:i/>
                <w:iCs/>
                <w:color w:val="548DD4"/>
                <w:sz w:val="20"/>
                <w:szCs w:val="20"/>
              </w:rPr>
              <w:t>Descripción de las etapas o actividades del proyecto</w:t>
            </w:r>
          </w:p>
          <w:p w14:paraId="4F670E87" w14:textId="77777777" w:rsidR="007310F6" w:rsidRDefault="00000000">
            <w:pPr>
              <w:numPr>
                <w:ilvl w:val="0"/>
                <w:numId w:val="3"/>
              </w:numPr>
              <w:spacing w:after="40"/>
              <w:jc w:val="both"/>
            </w:pPr>
            <w:r>
              <w:rPr>
                <w:b/>
                <w:bCs/>
                <w:i/>
                <w:iCs/>
                <w:color w:val="548DD4"/>
                <w:sz w:val="20"/>
                <w:szCs w:val="20"/>
              </w:rPr>
              <w:t xml:space="preserve">Inicio y planificación (completada): </w:t>
            </w:r>
            <w:r>
              <w:rPr>
                <w:i/>
                <w:iCs/>
                <w:color w:val="548DD4"/>
                <w:sz w:val="20"/>
                <w:szCs w:val="20"/>
              </w:rPr>
              <w:t>se elaboraron el Acta de Constitución del Proyecto, la EDT con su diccionario, la Carta Gantt, la matriz RACI, la matriz de riesgos y el plan de pruebas inicial (6 de 6 documentos de planificación listos).</w:t>
            </w:r>
          </w:p>
          <w:p w14:paraId="3FA51F32" w14:textId="77777777" w:rsidR="007310F6" w:rsidRDefault="00000000">
            <w:pPr>
              <w:numPr>
                <w:ilvl w:val="0"/>
                <w:numId w:val="3"/>
              </w:numPr>
              <w:spacing w:after="40"/>
              <w:jc w:val="both"/>
            </w:pPr>
            <w:r>
              <w:rPr>
                <w:b/>
                <w:bCs/>
                <w:i/>
                <w:iCs/>
                <w:color w:val="548DD4"/>
                <w:sz w:val="20"/>
                <w:szCs w:val="20"/>
              </w:rPr>
              <w:t xml:space="preserve">Análisis de requerimientos (completada): </w:t>
            </w:r>
            <w:r>
              <w:rPr>
                <w:i/>
                <w:iCs/>
                <w:color w:val="548DD4"/>
                <w:sz w:val="20"/>
                <w:szCs w:val="20"/>
              </w:rPr>
              <w:t>se analizaron la cartera maestra de octubre y dos carteras individuales de un ejecutivo (mayo y julio) para entender la estructura real de los datos. Con ello se elaboró el ERS, consolidado en su versión 2 con 33 requerimientos funcionales en 11 módulos y 22 requerimientos no funcionales en 7 categorías, todos priorizados con MoSCoW y con trazabilidad hacia el ERS v1 y hacia la EDT.</w:t>
            </w:r>
          </w:p>
          <w:p w14:paraId="3CAA85F3" w14:textId="4824D74F" w:rsidR="007310F6" w:rsidRDefault="00000000">
            <w:pPr>
              <w:numPr>
                <w:ilvl w:val="0"/>
                <w:numId w:val="3"/>
              </w:numPr>
              <w:spacing w:after="40"/>
              <w:jc w:val="both"/>
            </w:pPr>
            <w:r>
              <w:rPr>
                <w:b/>
                <w:bCs/>
                <w:i/>
                <w:iCs/>
                <w:color w:val="548DD4"/>
                <w:sz w:val="20"/>
                <w:szCs w:val="20"/>
              </w:rPr>
              <w:t xml:space="preserve">Diseño (en curso): </w:t>
            </w:r>
            <w:r>
              <w:rPr>
                <w:i/>
                <w:iCs/>
                <w:color w:val="548DD4"/>
                <w:sz w:val="20"/>
                <w:szCs w:val="20"/>
              </w:rPr>
              <w:t>modelos de datos y arquitectura, mockups de interfaz y plan de calidad y costos</w:t>
            </w:r>
            <w:r w:rsidR="00FF0716">
              <w:rPr>
                <w:i/>
                <w:iCs/>
                <w:color w:val="548DD4"/>
                <w:sz w:val="20"/>
                <w:szCs w:val="20"/>
              </w:rPr>
              <w:t>.</w:t>
            </w:r>
          </w:p>
          <w:p w14:paraId="74E18B5F" w14:textId="4864C9BD" w:rsidR="007310F6" w:rsidRDefault="00000000">
            <w:pPr>
              <w:numPr>
                <w:ilvl w:val="0"/>
                <w:numId w:val="3"/>
              </w:numPr>
              <w:spacing w:after="40"/>
              <w:jc w:val="both"/>
            </w:pPr>
            <w:r>
              <w:rPr>
                <w:b/>
                <w:bCs/>
                <w:i/>
                <w:iCs/>
                <w:color w:val="548DD4"/>
                <w:sz w:val="20"/>
                <w:szCs w:val="20"/>
              </w:rPr>
              <w:t xml:space="preserve">Desarrollo (en curso): </w:t>
            </w:r>
            <w:r>
              <w:rPr>
                <w:i/>
                <w:iCs/>
                <w:color w:val="548DD4"/>
                <w:sz w:val="20"/>
                <w:szCs w:val="20"/>
              </w:rPr>
              <w:t xml:space="preserve">construcción del módulo de importación y normalización en </w:t>
            </w:r>
            <w:proofErr w:type="spellStart"/>
            <w:r>
              <w:rPr>
                <w:i/>
                <w:iCs/>
                <w:color w:val="548DD4"/>
                <w:sz w:val="20"/>
                <w:szCs w:val="20"/>
              </w:rPr>
              <w:t>TypeScript</w:t>
            </w:r>
            <w:proofErr w:type="spellEnd"/>
            <w:r>
              <w:rPr>
                <w:i/>
                <w:iCs/>
                <w:color w:val="548DD4"/>
                <w:sz w:val="20"/>
                <w:szCs w:val="20"/>
              </w:rPr>
              <w:t xml:space="preserve"> (lectura de archivos, mapeo de columnas, previsualización, normalización, importación, cálculos de indicadores y clasificación de gestiones), seguido por el </w:t>
            </w:r>
            <w:proofErr w:type="spellStart"/>
            <w:r>
              <w:rPr>
                <w:i/>
                <w:iCs/>
                <w:color w:val="548DD4"/>
                <w:sz w:val="20"/>
                <w:szCs w:val="20"/>
              </w:rPr>
              <w:t>dashboard</w:t>
            </w:r>
            <w:proofErr w:type="spellEnd"/>
            <w:r>
              <w:rPr>
                <w:i/>
                <w:iCs/>
                <w:color w:val="548DD4"/>
                <w:sz w:val="20"/>
                <w:szCs w:val="20"/>
              </w:rPr>
              <w:t xml:space="preserve">, la gestión de cartera, Phoenix Mobile y la cola de llamadas. </w:t>
            </w:r>
          </w:p>
          <w:p w14:paraId="0BACC263" w14:textId="4E9950D9" w:rsidR="007310F6" w:rsidRDefault="00000000">
            <w:pPr>
              <w:numPr>
                <w:ilvl w:val="0"/>
                <w:numId w:val="3"/>
              </w:numPr>
              <w:spacing w:after="40"/>
              <w:jc w:val="both"/>
            </w:pPr>
            <w:r>
              <w:rPr>
                <w:b/>
                <w:bCs/>
                <w:i/>
                <w:iCs/>
                <w:color w:val="548DD4"/>
                <w:sz w:val="20"/>
                <w:szCs w:val="20"/>
              </w:rPr>
              <w:t xml:space="preserve">Pruebas y cierre (pendiente): </w:t>
            </w:r>
            <w:r>
              <w:rPr>
                <w:i/>
                <w:iCs/>
                <w:color w:val="548DD4"/>
                <w:sz w:val="20"/>
                <w:szCs w:val="20"/>
              </w:rPr>
              <w:t>ejecución del plan de pruebas, validación con ejecutivos de Phoenix Service, manual de usuario, capacitación y Acta de cierre.</w:t>
            </w:r>
          </w:p>
          <w:p w14:paraId="7DAA01A4" w14:textId="77777777" w:rsidR="007310F6" w:rsidRDefault="00000000">
            <w:pPr>
              <w:keepNext/>
              <w:spacing w:before="120" w:after="40"/>
            </w:pPr>
            <w:r>
              <w:rPr>
                <w:b/>
                <w:bCs/>
                <w:i/>
                <w:iCs/>
                <w:color w:val="548DD4"/>
                <w:sz w:val="20"/>
                <w:szCs w:val="20"/>
              </w:rPr>
              <w:t>Dificultades y facilitadores</w:t>
            </w:r>
          </w:p>
          <w:p w14:paraId="7E0DDAD3" w14:textId="77777777" w:rsidR="007310F6" w:rsidRDefault="00000000">
            <w:pPr>
              <w:spacing w:after="80"/>
              <w:jc w:val="both"/>
            </w:pPr>
            <w:r>
              <w:rPr>
                <w:i/>
                <w:iCs/>
                <w:color w:val="548DD4"/>
                <w:sz w:val="20"/>
                <w:szCs w:val="20"/>
              </w:rPr>
              <w:t>Facilitadores:</w:t>
            </w:r>
          </w:p>
          <w:p w14:paraId="7490C05E" w14:textId="77777777" w:rsidR="007310F6" w:rsidRDefault="00000000">
            <w:pPr>
              <w:numPr>
                <w:ilvl w:val="0"/>
                <w:numId w:val="3"/>
              </w:numPr>
              <w:spacing w:after="40"/>
              <w:jc w:val="both"/>
            </w:pPr>
            <w:r>
              <w:rPr>
                <w:i/>
                <w:iCs/>
                <w:color w:val="548DD4"/>
                <w:sz w:val="20"/>
                <w:szCs w:val="20"/>
              </w:rPr>
              <w:t>Acceso a archivos reales de cartera de Phoenix Service, que permitió basar el ERS en datos reales y no en supuestos.</w:t>
            </w:r>
          </w:p>
          <w:p w14:paraId="7030CFC1" w14:textId="77777777" w:rsidR="007310F6" w:rsidRDefault="00000000">
            <w:pPr>
              <w:numPr>
                <w:ilvl w:val="0"/>
                <w:numId w:val="3"/>
              </w:numPr>
              <w:spacing w:after="40"/>
              <w:jc w:val="both"/>
            </w:pPr>
            <w:r>
              <w:rPr>
                <w:i/>
                <w:iCs/>
                <w:color w:val="548DD4"/>
                <w:sz w:val="20"/>
                <w:szCs w:val="20"/>
              </w:rPr>
              <w:t>Apoyo de la jefatura de Phoenix Service y conocimiento del proceso actual de cobranza.</w:t>
            </w:r>
          </w:p>
          <w:p w14:paraId="1B9F17D3" w14:textId="77777777" w:rsidR="007310F6" w:rsidRDefault="00000000">
            <w:pPr>
              <w:numPr>
                <w:ilvl w:val="0"/>
                <w:numId w:val="3"/>
              </w:numPr>
              <w:spacing w:after="40"/>
              <w:jc w:val="both"/>
            </w:pPr>
            <w:r>
              <w:rPr>
                <w:i/>
                <w:iCs/>
                <w:color w:val="548DD4"/>
                <w:sz w:val="20"/>
                <w:szCs w:val="20"/>
              </w:rPr>
              <w:t xml:space="preserve">Unificar el </w:t>
            </w:r>
            <w:proofErr w:type="spellStart"/>
            <w:r>
              <w:rPr>
                <w:i/>
                <w:iCs/>
                <w:color w:val="548DD4"/>
                <w:sz w:val="20"/>
                <w:szCs w:val="20"/>
              </w:rPr>
              <w:t>stack</w:t>
            </w:r>
            <w:proofErr w:type="spellEnd"/>
            <w:r>
              <w:rPr>
                <w:i/>
                <w:iCs/>
                <w:color w:val="548DD4"/>
                <w:sz w:val="20"/>
                <w:szCs w:val="20"/>
              </w:rPr>
              <w:t xml:space="preserve"> en </w:t>
            </w:r>
            <w:proofErr w:type="spellStart"/>
            <w:r>
              <w:rPr>
                <w:i/>
                <w:iCs/>
                <w:color w:val="548DD4"/>
                <w:sz w:val="20"/>
                <w:szCs w:val="20"/>
              </w:rPr>
              <w:t>TypeScript</w:t>
            </w:r>
            <w:proofErr w:type="spellEnd"/>
            <w:r>
              <w:rPr>
                <w:i/>
                <w:iCs/>
                <w:color w:val="548DD4"/>
                <w:sz w:val="20"/>
                <w:szCs w:val="20"/>
              </w:rPr>
              <w:t>/JavaScript, que simplifica el desarrollo y el despliegue local para un equipo de tres personas.</w:t>
            </w:r>
          </w:p>
          <w:p w14:paraId="4161C51B" w14:textId="77777777" w:rsidR="007310F6" w:rsidRDefault="00000000">
            <w:pPr>
              <w:numPr>
                <w:ilvl w:val="0"/>
                <w:numId w:val="3"/>
              </w:numPr>
              <w:spacing w:after="40"/>
              <w:jc w:val="both"/>
            </w:pPr>
            <w:r>
              <w:rPr>
                <w:i/>
                <w:iCs/>
                <w:color w:val="548DD4"/>
                <w:sz w:val="20"/>
                <w:szCs w:val="20"/>
              </w:rPr>
              <w:t>Herramientas de código abierto sin costo de licencias y roles claramente definidos en la matriz RACI.</w:t>
            </w:r>
          </w:p>
          <w:p w14:paraId="5ED37346" w14:textId="77777777" w:rsidR="007310F6" w:rsidRDefault="00000000">
            <w:pPr>
              <w:numPr>
                <w:ilvl w:val="0"/>
                <w:numId w:val="3"/>
              </w:numPr>
              <w:spacing w:after="40"/>
              <w:jc w:val="both"/>
            </w:pPr>
            <w:r>
              <w:rPr>
                <w:i/>
                <w:iCs/>
                <w:color w:val="548DD4"/>
                <w:sz w:val="20"/>
                <w:szCs w:val="20"/>
              </w:rPr>
              <w:t>Contar con matriz de riesgos y trazabilidad ERS-EDT desde la planificación, que facilitó detectar desalineaciones a tiempo.</w:t>
            </w:r>
          </w:p>
          <w:p w14:paraId="70FA35CB" w14:textId="77777777" w:rsidR="007310F6" w:rsidRDefault="00000000">
            <w:pPr>
              <w:spacing w:after="80"/>
              <w:jc w:val="both"/>
            </w:pPr>
            <w:r>
              <w:rPr>
                <w:i/>
                <w:iCs/>
                <w:color w:val="548DD4"/>
                <w:sz w:val="20"/>
                <w:szCs w:val="20"/>
              </w:rPr>
              <w:t>Dificultades:</w:t>
            </w:r>
          </w:p>
          <w:p w14:paraId="636823B7" w14:textId="7460A9BA" w:rsidR="007310F6" w:rsidRDefault="00000000" w:rsidP="00FF0716">
            <w:pPr>
              <w:numPr>
                <w:ilvl w:val="0"/>
                <w:numId w:val="3"/>
              </w:numPr>
              <w:spacing w:after="40"/>
              <w:jc w:val="both"/>
            </w:pPr>
            <w:r>
              <w:rPr>
                <w:i/>
                <w:iCs/>
                <w:color w:val="548DD4"/>
                <w:sz w:val="20"/>
                <w:szCs w:val="20"/>
              </w:rPr>
              <w:t>Variabilidad de formatos de los archivos Excel entre ejecutivos y entre meses (riesgo R-02), con encabezados distintos, campos vacíos y errores de formato.</w:t>
            </w:r>
            <w:r w:rsidRPr="00FF0716">
              <w:rPr>
                <w:i/>
                <w:iCs/>
                <w:color w:val="548DD4"/>
                <w:sz w:val="20"/>
                <w:szCs w:val="20"/>
              </w:rPr>
              <w:t>.</w:t>
            </w:r>
          </w:p>
          <w:p w14:paraId="2D2F1A9E" w14:textId="77777777" w:rsidR="007310F6" w:rsidRDefault="00000000">
            <w:pPr>
              <w:numPr>
                <w:ilvl w:val="0"/>
                <w:numId w:val="3"/>
              </w:numPr>
              <w:spacing w:after="40"/>
              <w:jc w:val="both"/>
            </w:pPr>
            <w:r>
              <w:rPr>
                <w:i/>
                <w:iCs/>
                <w:color w:val="548DD4"/>
                <w:sz w:val="20"/>
                <w:szCs w:val="20"/>
              </w:rPr>
              <w:t>El ERS v1 tenía requerimientos duplicados y saltos de numeración (47 RF y 27 RNF), lo que dificultaba la trazabilidad.</w:t>
            </w:r>
          </w:p>
          <w:p w14:paraId="031CF1E6" w14:textId="77777777" w:rsidR="007310F6" w:rsidRDefault="00000000">
            <w:pPr>
              <w:numPr>
                <w:ilvl w:val="0"/>
                <w:numId w:val="3"/>
              </w:numPr>
              <w:spacing w:after="40"/>
              <w:jc w:val="both"/>
            </w:pPr>
            <w:r>
              <w:rPr>
                <w:i/>
                <w:iCs/>
                <w:color w:val="548DD4"/>
                <w:sz w:val="20"/>
                <w:szCs w:val="20"/>
              </w:rPr>
              <w:t>Plazo académico acotado frente a un alcance amplio (riesgo R-14), y el cumplimiento de la Ley 19.628 sobre datos personales (riesgo R-06).</w:t>
            </w:r>
          </w:p>
          <w:p w14:paraId="0878B782" w14:textId="77777777" w:rsidR="007310F6" w:rsidRDefault="00000000">
            <w:pPr>
              <w:numPr>
                <w:ilvl w:val="0"/>
                <w:numId w:val="3"/>
              </w:numPr>
              <w:spacing w:after="40"/>
              <w:jc w:val="both"/>
            </w:pPr>
            <w:r>
              <w:rPr>
                <w:i/>
                <w:iCs/>
                <w:color w:val="548DD4"/>
                <w:sz w:val="20"/>
                <w:szCs w:val="20"/>
              </w:rPr>
              <w:t xml:space="preserve">Calibración del motor de </w:t>
            </w:r>
            <w:proofErr w:type="spellStart"/>
            <w:r>
              <w:rPr>
                <w:i/>
                <w:iCs/>
                <w:color w:val="548DD4"/>
                <w:sz w:val="20"/>
                <w:szCs w:val="20"/>
              </w:rPr>
              <w:t>scoring</w:t>
            </w:r>
            <w:proofErr w:type="spellEnd"/>
            <w:r>
              <w:rPr>
                <w:i/>
                <w:iCs/>
                <w:color w:val="548DD4"/>
                <w:sz w:val="20"/>
                <w:szCs w:val="20"/>
              </w:rPr>
              <w:t xml:space="preserve"> de prioridad (riesgo R-03).</w:t>
            </w:r>
          </w:p>
          <w:p w14:paraId="1A24BD7D" w14:textId="77777777" w:rsidR="007310F6" w:rsidRDefault="00000000">
            <w:pPr>
              <w:keepNext/>
              <w:spacing w:before="120" w:after="40"/>
            </w:pPr>
            <w:r>
              <w:rPr>
                <w:b/>
                <w:bCs/>
                <w:i/>
                <w:iCs/>
                <w:color w:val="548DD4"/>
                <w:sz w:val="20"/>
                <w:szCs w:val="20"/>
              </w:rPr>
              <w:t>Ajustes realizados</w:t>
            </w:r>
          </w:p>
          <w:p w14:paraId="0E8624EB" w14:textId="77777777" w:rsidR="007310F6" w:rsidRDefault="00000000">
            <w:pPr>
              <w:numPr>
                <w:ilvl w:val="0"/>
                <w:numId w:val="3"/>
              </w:numPr>
              <w:spacing w:after="40"/>
              <w:jc w:val="both"/>
            </w:pPr>
            <w:r>
              <w:rPr>
                <w:b/>
                <w:bCs/>
                <w:i/>
                <w:iCs/>
                <w:color w:val="548DD4"/>
                <w:sz w:val="20"/>
                <w:szCs w:val="20"/>
              </w:rPr>
              <w:t xml:space="preserve">Cambio de </w:t>
            </w:r>
            <w:proofErr w:type="spellStart"/>
            <w:r>
              <w:rPr>
                <w:b/>
                <w:bCs/>
                <w:i/>
                <w:iCs/>
                <w:color w:val="548DD4"/>
                <w:sz w:val="20"/>
                <w:szCs w:val="20"/>
              </w:rPr>
              <w:t>stack</w:t>
            </w:r>
            <w:proofErr w:type="spellEnd"/>
            <w:r>
              <w:rPr>
                <w:b/>
                <w:bCs/>
                <w:i/>
                <w:iCs/>
                <w:color w:val="548DD4"/>
                <w:sz w:val="20"/>
                <w:szCs w:val="20"/>
              </w:rPr>
              <w:t xml:space="preserve">: </w:t>
            </w:r>
            <w:r>
              <w:rPr>
                <w:i/>
                <w:iCs/>
                <w:color w:val="548DD4"/>
                <w:sz w:val="20"/>
                <w:szCs w:val="20"/>
              </w:rPr>
              <w:t>se pasó de Python/</w:t>
            </w:r>
            <w:proofErr w:type="spellStart"/>
            <w:r>
              <w:rPr>
                <w:i/>
                <w:iCs/>
                <w:color w:val="548DD4"/>
                <w:sz w:val="20"/>
                <w:szCs w:val="20"/>
              </w:rPr>
              <w:t>FastAPI</w:t>
            </w:r>
            <w:proofErr w:type="spellEnd"/>
            <w:r>
              <w:rPr>
                <w:i/>
                <w:iCs/>
                <w:color w:val="548DD4"/>
                <w:sz w:val="20"/>
                <w:szCs w:val="20"/>
              </w:rPr>
              <w:t xml:space="preserve">/Pandas con PostgreSQL a una solución 100% </w:t>
            </w:r>
            <w:proofErr w:type="spellStart"/>
            <w:r>
              <w:rPr>
                <w:i/>
                <w:iCs/>
                <w:color w:val="548DD4"/>
                <w:sz w:val="20"/>
                <w:szCs w:val="20"/>
              </w:rPr>
              <w:t>TypeScript</w:t>
            </w:r>
            <w:proofErr w:type="spellEnd"/>
            <w:r>
              <w:rPr>
                <w:i/>
                <w:iCs/>
                <w:color w:val="548DD4"/>
                <w:sz w:val="20"/>
                <w:szCs w:val="20"/>
              </w:rPr>
              <w:t xml:space="preserve">/JavaScript con </w:t>
            </w:r>
            <w:proofErr w:type="spellStart"/>
            <w:r>
              <w:rPr>
                <w:i/>
                <w:iCs/>
                <w:color w:val="548DD4"/>
                <w:sz w:val="20"/>
                <w:szCs w:val="20"/>
              </w:rPr>
              <w:t>React</w:t>
            </w:r>
            <w:proofErr w:type="spellEnd"/>
            <w:r>
              <w:rPr>
                <w:i/>
                <w:iCs/>
                <w:color w:val="548DD4"/>
                <w:sz w:val="20"/>
                <w:szCs w:val="20"/>
              </w:rPr>
              <w:t xml:space="preserve">, Node.js, </w:t>
            </w:r>
            <w:proofErr w:type="spellStart"/>
            <w:r>
              <w:rPr>
                <w:i/>
                <w:iCs/>
                <w:color w:val="548DD4"/>
                <w:sz w:val="20"/>
                <w:szCs w:val="20"/>
              </w:rPr>
              <w:t>Electron</w:t>
            </w:r>
            <w:proofErr w:type="spellEnd"/>
            <w:r>
              <w:rPr>
                <w:i/>
                <w:iCs/>
                <w:color w:val="548DD4"/>
                <w:sz w:val="20"/>
                <w:szCs w:val="20"/>
              </w:rPr>
              <w:t xml:space="preserve"> y </w:t>
            </w:r>
            <w:r>
              <w:rPr>
                <w:i/>
                <w:iCs/>
                <w:color w:val="548DD4"/>
                <w:sz w:val="20"/>
                <w:szCs w:val="20"/>
              </w:rPr>
              <w:lastRenderedPageBreak/>
              <w:t>SQLite, para simplificar la instalación local y no depender de servicios externos.</w:t>
            </w:r>
          </w:p>
          <w:p w14:paraId="4B42FEA9" w14:textId="77777777" w:rsidR="007310F6" w:rsidRDefault="00000000">
            <w:pPr>
              <w:numPr>
                <w:ilvl w:val="0"/>
                <w:numId w:val="3"/>
              </w:numPr>
              <w:spacing w:after="40"/>
              <w:jc w:val="both"/>
            </w:pPr>
            <w:r>
              <w:rPr>
                <w:b/>
                <w:bCs/>
                <w:i/>
                <w:iCs/>
                <w:color w:val="548DD4"/>
                <w:sz w:val="20"/>
                <w:szCs w:val="20"/>
              </w:rPr>
              <w:t xml:space="preserve">Consolidación del ERS: </w:t>
            </w:r>
            <w:r>
              <w:rPr>
                <w:i/>
                <w:iCs/>
                <w:color w:val="548DD4"/>
                <w:sz w:val="20"/>
                <w:szCs w:val="20"/>
              </w:rPr>
              <w:t>se fusionaron los requerimientos duplicados y se renumeró el documento, quedando 33 RF y 22 RNF, con una hoja de resumen de correcciones que deja registro de cada cambio.</w:t>
            </w:r>
          </w:p>
          <w:p w14:paraId="64306CD3" w14:textId="77777777" w:rsidR="007310F6" w:rsidRDefault="00000000">
            <w:pPr>
              <w:numPr>
                <w:ilvl w:val="0"/>
                <w:numId w:val="3"/>
              </w:numPr>
              <w:spacing w:after="40"/>
              <w:jc w:val="both"/>
            </w:pPr>
            <w:r>
              <w:rPr>
                <w:b/>
                <w:bCs/>
                <w:i/>
                <w:iCs/>
                <w:color w:val="548DD4"/>
                <w:sz w:val="20"/>
                <w:szCs w:val="20"/>
              </w:rPr>
              <w:t xml:space="preserve">Alcance acotado al rol Ejecutivo: </w:t>
            </w:r>
            <w:r>
              <w:rPr>
                <w:i/>
                <w:iCs/>
                <w:color w:val="548DD4"/>
                <w:sz w:val="20"/>
                <w:szCs w:val="20"/>
              </w:rPr>
              <w:t>el ERS vigente se concentra en la gestión local de la cartera del ejecutivo.</w:t>
            </w:r>
          </w:p>
          <w:p w14:paraId="30CBD17D" w14:textId="77777777" w:rsidR="007310F6" w:rsidRDefault="00000000">
            <w:pPr>
              <w:numPr>
                <w:ilvl w:val="0"/>
                <w:numId w:val="3"/>
              </w:numPr>
              <w:spacing w:after="40"/>
              <w:jc w:val="both"/>
            </w:pPr>
            <w:r>
              <w:rPr>
                <w:b/>
                <w:bCs/>
                <w:i/>
                <w:iCs/>
                <w:color w:val="548DD4"/>
                <w:sz w:val="20"/>
                <w:szCs w:val="20"/>
              </w:rPr>
              <w:t xml:space="preserve">Telefonía: </w:t>
            </w:r>
            <w:r>
              <w:rPr>
                <w:i/>
                <w:iCs/>
                <w:color w:val="548DD4"/>
                <w:sz w:val="20"/>
                <w:szCs w:val="20"/>
              </w:rPr>
              <w:t xml:space="preserve">el marcador automático por API de telefonía se reemplazó por Phoenix Mobile (app Android en </w:t>
            </w:r>
            <w:proofErr w:type="spellStart"/>
            <w:r>
              <w:rPr>
                <w:i/>
                <w:iCs/>
                <w:color w:val="548DD4"/>
                <w:sz w:val="20"/>
                <w:szCs w:val="20"/>
              </w:rPr>
              <w:t>Kotlin</w:t>
            </w:r>
            <w:proofErr w:type="spellEnd"/>
            <w:r>
              <w:rPr>
                <w:i/>
                <w:iCs/>
                <w:color w:val="548DD4"/>
                <w:sz w:val="20"/>
                <w:szCs w:val="20"/>
              </w:rPr>
              <w:t>) que realiza las llamadas mediante la SIM, con una cola progresiva de llamadas. Esto evita depender de un proveedor de telefonía externo. La mensajería automatizada por Gmail y WhatsApp no forma parte del ERS vigente.</w:t>
            </w:r>
          </w:p>
          <w:p w14:paraId="5E7A5D7D" w14:textId="207D3BCD" w:rsidR="007310F6" w:rsidRDefault="00000000" w:rsidP="00FF0716">
            <w:pPr>
              <w:numPr>
                <w:ilvl w:val="0"/>
                <w:numId w:val="3"/>
              </w:numPr>
              <w:spacing w:after="40"/>
              <w:jc w:val="both"/>
            </w:pPr>
            <w:r>
              <w:rPr>
                <w:b/>
                <w:bCs/>
                <w:i/>
                <w:iCs/>
                <w:color w:val="548DD4"/>
                <w:sz w:val="20"/>
                <w:szCs w:val="20"/>
              </w:rPr>
              <w:t xml:space="preserve">Importación flexible: </w:t>
            </w:r>
            <w:r>
              <w:rPr>
                <w:i/>
                <w:iCs/>
                <w:color w:val="548DD4"/>
                <w:sz w:val="20"/>
                <w:szCs w:val="20"/>
              </w:rPr>
              <w:t>se decidió que los teléfonos con formato inválido no rechacen filas ni se marquen como inválidos, sino que se informen en una alerta para que el ejecutivo los corrija.</w:t>
            </w:r>
          </w:p>
        </w:tc>
      </w:tr>
      <w:tr w:rsidR="007310F6" w14:paraId="30DFE0EA" w14:textId="77777777">
        <w:trPr>
          <w:trHeight w:val="1112"/>
        </w:trPr>
        <w:tc>
          <w:tcPr>
            <w:tcW w:w="3001" w:type="dxa"/>
            <w:vAlign w:val="center"/>
          </w:tcPr>
          <w:p w14:paraId="1026EF5F" w14:textId="77777777" w:rsidR="007310F6" w:rsidRDefault="00000000">
            <w:pPr>
              <w:rPr>
                <w:color w:val="1F3864"/>
                <w:sz w:val="18"/>
                <w:szCs w:val="18"/>
              </w:rPr>
            </w:pPr>
            <w:r>
              <w:rPr>
                <w:color w:val="1F3864"/>
                <w:sz w:val="18"/>
                <w:szCs w:val="18"/>
              </w:rPr>
              <w:lastRenderedPageBreak/>
              <w:t>5. Evidencias</w:t>
            </w:r>
          </w:p>
        </w:tc>
        <w:tc>
          <w:tcPr>
            <w:tcW w:w="6780" w:type="dxa"/>
            <w:vAlign w:val="center"/>
          </w:tcPr>
          <w:p w14:paraId="40B9BA72" w14:textId="77777777" w:rsidR="007310F6" w:rsidRDefault="00000000">
            <w:pPr>
              <w:keepNext/>
              <w:spacing w:before="120" w:after="40"/>
            </w:pPr>
            <w:r>
              <w:rPr>
                <w:b/>
                <w:bCs/>
                <w:i/>
                <w:iCs/>
                <w:color w:val="548DD4"/>
                <w:sz w:val="20"/>
                <w:szCs w:val="20"/>
              </w:rPr>
              <w:t>Evidencias de planificación (disponibles)</w:t>
            </w:r>
          </w:p>
          <w:p w14:paraId="30328454" w14:textId="77777777" w:rsidR="007310F6" w:rsidRDefault="00000000">
            <w:pPr>
              <w:numPr>
                <w:ilvl w:val="0"/>
                <w:numId w:val="3"/>
              </w:numPr>
              <w:spacing w:after="40"/>
              <w:jc w:val="both"/>
            </w:pPr>
            <w:r>
              <w:rPr>
                <w:i/>
                <w:iCs/>
                <w:color w:val="548DD4"/>
                <w:sz w:val="20"/>
                <w:szCs w:val="20"/>
              </w:rPr>
              <w:t>Acta de Constitución del Proyecto v1.1.</w:t>
            </w:r>
          </w:p>
          <w:p w14:paraId="1D0B46FC" w14:textId="77777777" w:rsidR="007310F6" w:rsidRDefault="00000000">
            <w:pPr>
              <w:numPr>
                <w:ilvl w:val="0"/>
                <w:numId w:val="3"/>
              </w:numPr>
              <w:spacing w:after="40"/>
              <w:jc w:val="both"/>
            </w:pPr>
            <w:r>
              <w:rPr>
                <w:i/>
                <w:iCs/>
                <w:color w:val="548DD4"/>
                <w:sz w:val="20"/>
                <w:szCs w:val="20"/>
              </w:rPr>
              <w:t>EDT con 15 fases y 87 actividades, y su diccionario.</w:t>
            </w:r>
          </w:p>
          <w:p w14:paraId="54AEFB6D" w14:textId="77777777" w:rsidR="007310F6" w:rsidRDefault="00000000">
            <w:pPr>
              <w:numPr>
                <w:ilvl w:val="0"/>
                <w:numId w:val="3"/>
              </w:numPr>
              <w:spacing w:after="40"/>
              <w:jc w:val="both"/>
            </w:pPr>
            <w:r>
              <w:rPr>
                <w:i/>
                <w:iCs/>
                <w:color w:val="548DD4"/>
                <w:sz w:val="20"/>
                <w:szCs w:val="20"/>
              </w:rPr>
              <w:t>Carta Gantt (cronograma de 19 semanas).</w:t>
            </w:r>
          </w:p>
          <w:p w14:paraId="57F0622F" w14:textId="77777777" w:rsidR="007310F6" w:rsidRDefault="00000000">
            <w:pPr>
              <w:numPr>
                <w:ilvl w:val="0"/>
                <w:numId w:val="3"/>
              </w:numPr>
              <w:spacing w:after="40"/>
              <w:jc w:val="both"/>
            </w:pPr>
            <w:r>
              <w:rPr>
                <w:i/>
                <w:iCs/>
                <w:color w:val="548DD4"/>
                <w:sz w:val="20"/>
                <w:szCs w:val="20"/>
              </w:rPr>
              <w:t>Matriz de Responsabilidades (RACI), por fase y por actividad.</w:t>
            </w:r>
          </w:p>
          <w:p w14:paraId="3BF379E5" w14:textId="77777777" w:rsidR="007310F6" w:rsidRDefault="00000000">
            <w:pPr>
              <w:numPr>
                <w:ilvl w:val="0"/>
                <w:numId w:val="3"/>
              </w:numPr>
              <w:spacing w:after="40"/>
              <w:jc w:val="both"/>
            </w:pPr>
            <w:r>
              <w:rPr>
                <w:i/>
                <w:iCs/>
                <w:color w:val="548DD4"/>
                <w:sz w:val="20"/>
                <w:szCs w:val="20"/>
              </w:rPr>
              <w:t>Matriz de Riesgos con 19 riesgos y mapa de calor.</w:t>
            </w:r>
          </w:p>
          <w:p w14:paraId="06981159" w14:textId="77777777" w:rsidR="007310F6" w:rsidRDefault="00000000">
            <w:pPr>
              <w:numPr>
                <w:ilvl w:val="0"/>
                <w:numId w:val="3"/>
              </w:numPr>
              <w:spacing w:after="40"/>
              <w:jc w:val="both"/>
            </w:pPr>
            <w:r>
              <w:rPr>
                <w:i/>
                <w:iCs/>
                <w:color w:val="548DD4"/>
                <w:sz w:val="20"/>
                <w:szCs w:val="20"/>
              </w:rPr>
              <w:t>Plan de Pruebas Inicial.</w:t>
            </w:r>
          </w:p>
          <w:p w14:paraId="12DE3DEE" w14:textId="77777777" w:rsidR="007310F6" w:rsidRDefault="00000000">
            <w:pPr>
              <w:keepNext/>
              <w:spacing w:before="120" w:after="40"/>
            </w:pPr>
            <w:r>
              <w:rPr>
                <w:b/>
                <w:bCs/>
                <w:i/>
                <w:iCs/>
                <w:color w:val="548DD4"/>
                <w:sz w:val="20"/>
                <w:szCs w:val="20"/>
              </w:rPr>
              <w:t>Evidencias de análisis y diseño</w:t>
            </w:r>
          </w:p>
          <w:p w14:paraId="72FA8895" w14:textId="77777777" w:rsidR="007310F6" w:rsidRDefault="00000000">
            <w:pPr>
              <w:numPr>
                <w:ilvl w:val="0"/>
                <w:numId w:val="3"/>
              </w:numPr>
              <w:spacing w:after="40"/>
              <w:jc w:val="both"/>
            </w:pPr>
            <w:r>
              <w:rPr>
                <w:i/>
                <w:iCs/>
                <w:color w:val="548DD4"/>
                <w:sz w:val="20"/>
                <w:szCs w:val="20"/>
              </w:rPr>
              <w:t xml:space="preserve">ERS Phoenix </w:t>
            </w:r>
            <w:proofErr w:type="spellStart"/>
            <w:r>
              <w:rPr>
                <w:i/>
                <w:iCs/>
                <w:color w:val="548DD4"/>
                <w:sz w:val="20"/>
                <w:szCs w:val="20"/>
              </w:rPr>
              <w:t>CarteraX</w:t>
            </w:r>
            <w:proofErr w:type="spellEnd"/>
            <w:r>
              <w:rPr>
                <w:i/>
                <w:iCs/>
                <w:color w:val="548DD4"/>
                <w:sz w:val="20"/>
                <w:szCs w:val="20"/>
              </w:rPr>
              <w:t xml:space="preserve"> v2 (archivo Excel): hojas de requerimientos funcionales y no funcionales, arquitectura y tecnologías, resumen de correcciones y trazabilidad con la EDT.</w:t>
            </w:r>
          </w:p>
          <w:p w14:paraId="1056B404" w14:textId="7F6BDE51" w:rsidR="007310F6" w:rsidRDefault="00000000">
            <w:pPr>
              <w:numPr>
                <w:ilvl w:val="0"/>
                <w:numId w:val="3"/>
              </w:numPr>
              <w:spacing w:after="40"/>
              <w:jc w:val="both"/>
            </w:pPr>
            <w:r>
              <w:rPr>
                <w:i/>
                <w:iCs/>
                <w:color w:val="548DD4"/>
                <w:sz w:val="20"/>
                <w:szCs w:val="20"/>
              </w:rPr>
              <w:t xml:space="preserve">Modelos de Datos y Arquitectura, Mockups de Interfaz y Plan de Calidad y Costos. </w:t>
            </w:r>
          </w:p>
          <w:p w14:paraId="6944C8E7" w14:textId="77777777" w:rsidR="007310F6" w:rsidRDefault="00000000">
            <w:pPr>
              <w:keepNext/>
              <w:spacing w:before="120" w:after="40"/>
            </w:pPr>
            <w:r>
              <w:rPr>
                <w:b/>
                <w:bCs/>
                <w:i/>
                <w:iCs/>
                <w:color w:val="548DD4"/>
                <w:sz w:val="20"/>
                <w:szCs w:val="20"/>
              </w:rPr>
              <w:t>Evidencias de seguimiento</w:t>
            </w:r>
          </w:p>
          <w:p w14:paraId="6149E49F" w14:textId="77777777" w:rsidR="00FF0716" w:rsidRPr="00FF0716" w:rsidRDefault="00000000" w:rsidP="00FF0716">
            <w:pPr>
              <w:keepNext/>
              <w:numPr>
                <w:ilvl w:val="0"/>
                <w:numId w:val="3"/>
              </w:numPr>
              <w:spacing w:before="120" w:after="40"/>
              <w:jc w:val="both"/>
            </w:pPr>
            <w:r w:rsidRPr="00FF0716">
              <w:rPr>
                <w:i/>
                <w:iCs/>
                <w:color w:val="548DD4"/>
                <w:sz w:val="20"/>
                <w:szCs w:val="20"/>
              </w:rPr>
              <w:t xml:space="preserve">Captura del panel de avance de la documentación del proyecto (Planificación Inicial 6/6 y Análisis y Diseño 1/4). </w:t>
            </w:r>
          </w:p>
          <w:p w14:paraId="32F98AC1" w14:textId="78E416C1" w:rsidR="007310F6" w:rsidRDefault="00000000" w:rsidP="00FF0716">
            <w:pPr>
              <w:keepNext/>
              <w:spacing w:before="120" w:after="40"/>
              <w:jc w:val="both"/>
            </w:pPr>
            <w:r w:rsidRPr="00FF0716">
              <w:rPr>
                <w:b/>
                <w:bCs/>
                <w:i/>
                <w:iCs/>
                <w:color w:val="548DD4"/>
                <w:sz w:val="20"/>
                <w:szCs w:val="20"/>
              </w:rPr>
              <w:t>Evidencias de producto final</w:t>
            </w:r>
          </w:p>
          <w:p w14:paraId="2A4CE123" w14:textId="050C5358" w:rsidR="007310F6" w:rsidRDefault="00000000">
            <w:pPr>
              <w:numPr>
                <w:ilvl w:val="0"/>
                <w:numId w:val="3"/>
              </w:numPr>
              <w:spacing w:after="40"/>
              <w:jc w:val="both"/>
            </w:pPr>
            <w:r>
              <w:rPr>
                <w:i/>
                <w:iCs/>
                <w:color w:val="548DD4"/>
                <w:sz w:val="20"/>
                <w:szCs w:val="20"/>
              </w:rPr>
              <w:t xml:space="preserve">Repositorio con el código fuente de Phoenix Desktop y Phoenix Mobile. </w:t>
            </w:r>
          </w:p>
          <w:p w14:paraId="6265B914" w14:textId="7ED679D1" w:rsidR="007310F6" w:rsidRDefault="00000000">
            <w:pPr>
              <w:numPr>
                <w:ilvl w:val="0"/>
                <w:numId w:val="3"/>
              </w:numPr>
              <w:spacing w:after="40"/>
              <w:jc w:val="both"/>
            </w:pPr>
            <w:r>
              <w:rPr>
                <w:i/>
                <w:iCs/>
                <w:color w:val="548DD4"/>
                <w:sz w:val="20"/>
                <w:szCs w:val="20"/>
              </w:rPr>
              <w:t xml:space="preserve">Capturas de pantalla de la aplicación funcionando: importación de Excel, </w:t>
            </w:r>
            <w:proofErr w:type="spellStart"/>
            <w:r>
              <w:rPr>
                <w:i/>
                <w:iCs/>
                <w:color w:val="548DD4"/>
                <w:sz w:val="20"/>
                <w:szCs w:val="20"/>
              </w:rPr>
              <w:t>dashboard</w:t>
            </w:r>
            <w:proofErr w:type="spellEnd"/>
            <w:r>
              <w:rPr>
                <w:i/>
                <w:iCs/>
                <w:color w:val="548DD4"/>
                <w:sz w:val="20"/>
                <w:szCs w:val="20"/>
              </w:rPr>
              <w:t xml:space="preserve">, tabla de cartera y cola de llamadas. </w:t>
            </w:r>
          </w:p>
          <w:p w14:paraId="737A2B66" w14:textId="683CC821" w:rsidR="007310F6" w:rsidRDefault="00000000">
            <w:pPr>
              <w:numPr>
                <w:ilvl w:val="0"/>
                <w:numId w:val="3"/>
              </w:numPr>
              <w:spacing w:after="40"/>
              <w:jc w:val="both"/>
            </w:pPr>
            <w:r>
              <w:rPr>
                <w:i/>
                <w:iCs/>
                <w:color w:val="548DD4"/>
                <w:sz w:val="20"/>
                <w:szCs w:val="20"/>
              </w:rPr>
              <w:t>Informe de pruebas, manual de usuario y Acta de cierre.</w:t>
            </w:r>
          </w:p>
        </w:tc>
      </w:tr>
      <w:tr w:rsidR="007310F6" w14:paraId="398E846E" w14:textId="77777777">
        <w:trPr>
          <w:trHeight w:val="2547"/>
        </w:trPr>
        <w:tc>
          <w:tcPr>
            <w:tcW w:w="3001" w:type="dxa"/>
            <w:vAlign w:val="center"/>
          </w:tcPr>
          <w:p w14:paraId="17C44A66" w14:textId="77777777" w:rsidR="007310F6" w:rsidRDefault="00000000">
            <w:pPr>
              <w:rPr>
                <w:color w:val="1F3864"/>
                <w:sz w:val="18"/>
                <w:szCs w:val="18"/>
              </w:rPr>
            </w:pPr>
            <w:r>
              <w:rPr>
                <w:color w:val="1F3864"/>
                <w:sz w:val="18"/>
                <w:szCs w:val="18"/>
              </w:rPr>
              <w:lastRenderedPageBreak/>
              <w:t>6. Intereses y proyecciones profesionales</w:t>
            </w:r>
          </w:p>
        </w:tc>
        <w:tc>
          <w:tcPr>
            <w:tcW w:w="6780" w:type="dxa"/>
            <w:vAlign w:val="center"/>
          </w:tcPr>
          <w:p w14:paraId="6066F947" w14:textId="77777777" w:rsidR="007310F6" w:rsidRDefault="00000000">
            <w:pPr>
              <w:keepNext/>
              <w:spacing w:before="120" w:after="40"/>
            </w:pPr>
            <w:r>
              <w:rPr>
                <w:b/>
                <w:bCs/>
                <w:i/>
                <w:iCs/>
                <w:color w:val="548DD4"/>
                <w:sz w:val="20"/>
                <w:szCs w:val="20"/>
              </w:rPr>
              <w:t>Reflexión sobre el aporte del proyecto en el desarrollo de los intereses profesionales</w:t>
            </w:r>
          </w:p>
          <w:p w14:paraId="69760AE8" w14:textId="77777777" w:rsidR="007310F6" w:rsidRDefault="00000000">
            <w:pPr>
              <w:spacing w:after="80"/>
              <w:jc w:val="both"/>
            </w:pPr>
            <w:proofErr w:type="spellStart"/>
            <w:r>
              <w:rPr>
                <w:i/>
                <w:iCs/>
                <w:color w:val="548DD4"/>
                <w:sz w:val="20"/>
                <w:szCs w:val="20"/>
              </w:rPr>
              <w:t>CarteraX</w:t>
            </w:r>
            <w:proofErr w:type="spellEnd"/>
            <w:r>
              <w:rPr>
                <w:i/>
                <w:iCs/>
                <w:color w:val="548DD4"/>
                <w:sz w:val="20"/>
                <w:szCs w:val="20"/>
              </w:rPr>
              <w:t xml:space="preserve"> nos permitió aplicar un proyecto de software de principio a fin en un caso real de negocio bancario, desde el levantamiento de requerimientos hasta el diseño de la arquitectura. Esto confirmó nuestro interés en el desarrollo de software empresarial, la ingeniería de datos y las soluciones full-</w:t>
            </w:r>
            <w:proofErr w:type="spellStart"/>
            <w:r>
              <w:rPr>
                <w:i/>
                <w:iCs/>
                <w:color w:val="548DD4"/>
                <w:sz w:val="20"/>
                <w:szCs w:val="20"/>
              </w:rPr>
              <w:t>stack</w:t>
            </w:r>
            <w:proofErr w:type="spellEnd"/>
            <w:r>
              <w:rPr>
                <w:i/>
                <w:iCs/>
                <w:color w:val="548DD4"/>
                <w:sz w:val="20"/>
                <w:szCs w:val="20"/>
              </w:rPr>
              <w:t>. Trabajar con archivos reales nos mostró que gran parte del valor está en normalizar datos desordenados y en priorizar bien el trabajo de las personas, más que en la parte visual.</w:t>
            </w:r>
          </w:p>
          <w:p w14:paraId="708D589F" w14:textId="6AD48100" w:rsidR="007310F6" w:rsidRDefault="00000000">
            <w:pPr>
              <w:spacing w:after="80"/>
              <w:jc w:val="both"/>
            </w:pPr>
            <w:r>
              <w:rPr>
                <w:i/>
                <w:iCs/>
                <w:color w:val="548DD4"/>
                <w:sz w:val="20"/>
                <w:szCs w:val="20"/>
              </w:rPr>
              <w:t xml:space="preserve">Nuestros intereses siguen siendo en esencia los mismos que planteamos al inicio (aplicaciones web, bases de datos y automatización de procesos), pero se ampliaron. Pasamos de una visión centrada en Python a un ecosistema </w:t>
            </w:r>
            <w:proofErr w:type="spellStart"/>
            <w:r>
              <w:rPr>
                <w:i/>
                <w:iCs/>
                <w:color w:val="548DD4"/>
                <w:sz w:val="20"/>
                <w:szCs w:val="20"/>
              </w:rPr>
              <w:t>TypeScript</w:t>
            </w:r>
            <w:proofErr w:type="spellEnd"/>
            <w:r>
              <w:rPr>
                <w:i/>
                <w:iCs/>
                <w:color w:val="548DD4"/>
                <w:sz w:val="20"/>
                <w:szCs w:val="20"/>
              </w:rPr>
              <w:t>/</w:t>
            </w:r>
            <w:proofErr w:type="spellStart"/>
            <w:r>
              <w:rPr>
                <w:i/>
                <w:iCs/>
                <w:color w:val="548DD4"/>
                <w:sz w:val="20"/>
                <w:szCs w:val="20"/>
              </w:rPr>
              <w:t>Electron</w:t>
            </w:r>
            <w:proofErr w:type="spellEnd"/>
            <w:r>
              <w:rPr>
                <w:i/>
                <w:iCs/>
                <w:color w:val="548DD4"/>
                <w:sz w:val="20"/>
                <w:szCs w:val="20"/>
              </w:rPr>
              <w:t xml:space="preserve">, y sumamos el desarrollo móvil nativo con </w:t>
            </w:r>
            <w:proofErr w:type="spellStart"/>
            <w:r>
              <w:rPr>
                <w:i/>
                <w:iCs/>
                <w:color w:val="548DD4"/>
                <w:sz w:val="20"/>
                <w:szCs w:val="20"/>
              </w:rPr>
              <w:t>Kotlin</w:t>
            </w:r>
            <w:proofErr w:type="spellEnd"/>
            <w:r>
              <w:rPr>
                <w:i/>
                <w:iCs/>
                <w:color w:val="548DD4"/>
                <w:sz w:val="20"/>
                <w:szCs w:val="20"/>
              </w:rPr>
              <w:t xml:space="preserve">. También valoramos más la ingeniería de requerimientos, la trazabilidad y el aseguramiento de calidad. </w:t>
            </w:r>
          </w:p>
          <w:p w14:paraId="798DACA4" w14:textId="77777777" w:rsidR="007310F6" w:rsidRDefault="00000000">
            <w:pPr>
              <w:keepNext/>
              <w:spacing w:before="120" w:after="40"/>
            </w:pPr>
            <w:r>
              <w:rPr>
                <w:b/>
                <w:bCs/>
                <w:i/>
                <w:iCs/>
                <w:color w:val="548DD4"/>
                <w:sz w:val="20"/>
                <w:szCs w:val="20"/>
              </w:rPr>
              <w:t>Proyecciones laborales a partir del proyecto</w:t>
            </w:r>
          </w:p>
          <w:p w14:paraId="4B250A89" w14:textId="77777777" w:rsidR="007310F6" w:rsidRDefault="00000000">
            <w:pPr>
              <w:spacing w:after="80"/>
              <w:jc w:val="both"/>
            </w:pPr>
            <w:r>
              <w:rPr>
                <w:i/>
                <w:iCs/>
                <w:color w:val="548DD4"/>
                <w:sz w:val="20"/>
                <w:szCs w:val="20"/>
              </w:rPr>
              <w:t xml:space="preserve">Nos interesa seguir profundizando en desarrollo móvil con </w:t>
            </w:r>
            <w:proofErr w:type="spellStart"/>
            <w:r>
              <w:rPr>
                <w:i/>
                <w:iCs/>
                <w:color w:val="548DD4"/>
                <w:sz w:val="20"/>
                <w:szCs w:val="20"/>
              </w:rPr>
              <w:t>Kotlin</w:t>
            </w:r>
            <w:proofErr w:type="spellEnd"/>
            <w:r>
              <w:rPr>
                <w:i/>
                <w:iCs/>
                <w:color w:val="548DD4"/>
                <w:sz w:val="20"/>
                <w:szCs w:val="20"/>
              </w:rPr>
              <w:t>, pruebas automatizadas y aseguramiento de calidad, seguridad y protección de datos personales, y gestión de proyectos de software.</w:t>
            </w:r>
          </w:p>
          <w:p w14:paraId="67120674" w14:textId="7565C3A6" w:rsidR="007310F6" w:rsidRDefault="00000000">
            <w:pPr>
              <w:spacing w:after="80"/>
              <w:jc w:val="both"/>
            </w:pPr>
            <w:r>
              <w:rPr>
                <w:i/>
                <w:iCs/>
                <w:color w:val="548DD4"/>
                <w:sz w:val="20"/>
                <w:szCs w:val="20"/>
              </w:rPr>
              <w:t>Nos proyectamos laboralmente como desarrolladores full-</w:t>
            </w:r>
            <w:proofErr w:type="spellStart"/>
            <w:r>
              <w:rPr>
                <w:i/>
                <w:iCs/>
                <w:color w:val="548DD4"/>
                <w:sz w:val="20"/>
                <w:szCs w:val="20"/>
              </w:rPr>
              <w:t>stack</w:t>
            </w:r>
            <w:proofErr w:type="spellEnd"/>
            <w:r>
              <w:rPr>
                <w:i/>
                <w:iCs/>
                <w:color w:val="548DD4"/>
                <w:sz w:val="20"/>
                <w:szCs w:val="20"/>
              </w:rPr>
              <w:t xml:space="preserve">, ingenieros de datos o analistas QA, con foco en el sector financiero y en empresas que necesiten automatizar procesos hoy manuales. </w:t>
            </w:r>
            <w:proofErr w:type="spellStart"/>
            <w:r>
              <w:rPr>
                <w:i/>
                <w:iCs/>
                <w:color w:val="548DD4"/>
                <w:sz w:val="20"/>
                <w:szCs w:val="20"/>
              </w:rPr>
              <w:t>CarteraX</w:t>
            </w:r>
            <w:proofErr w:type="spellEnd"/>
            <w:r>
              <w:rPr>
                <w:i/>
                <w:iCs/>
                <w:color w:val="548DD4"/>
                <w:sz w:val="20"/>
                <w:szCs w:val="20"/>
              </w:rPr>
              <w:t xml:space="preserve"> nos deja un proyecto documentado y trazable que podemos mostrar como evidencia de nuestra experiencia. </w:t>
            </w:r>
          </w:p>
        </w:tc>
      </w:tr>
    </w:tbl>
    <w:p w14:paraId="2B7B4634" w14:textId="77777777" w:rsidR="007310F6" w:rsidRDefault="007310F6">
      <w:pPr>
        <w:rPr>
          <w:b/>
          <w:bCs/>
        </w:rPr>
      </w:pPr>
    </w:p>
    <w:p w14:paraId="3341155A" w14:textId="77777777" w:rsidR="007310F6" w:rsidRDefault="007310F6">
      <w:pPr>
        <w:spacing w:after="0" w:line="276" w:lineRule="auto"/>
        <w:ind w:left="-426" w:right="-568"/>
        <w:jc w:val="both"/>
        <w:rPr>
          <w:color w:val="767171"/>
          <w:sz w:val="24"/>
          <w:szCs w:val="24"/>
        </w:rPr>
      </w:pPr>
    </w:p>
    <w:p w14:paraId="62DCFD14" w14:textId="77777777" w:rsidR="007310F6" w:rsidRDefault="007310F6">
      <w:pPr>
        <w:spacing w:after="0" w:line="276" w:lineRule="auto"/>
        <w:ind w:left="-426" w:right="-568"/>
        <w:jc w:val="both"/>
        <w:rPr>
          <w:color w:val="767171"/>
          <w:sz w:val="24"/>
          <w:szCs w:val="24"/>
        </w:rPr>
      </w:pPr>
    </w:p>
    <w:p w14:paraId="52E5CADF" w14:textId="77777777" w:rsidR="007310F6" w:rsidRDefault="007310F6"/>
    <w:sectPr w:rsidR="007310F6">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F4E7F" w14:textId="77777777" w:rsidR="00C3048E" w:rsidRDefault="00C3048E">
      <w:pPr>
        <w:spacing w:after="0" w:line="240" w:lineRule="auto"/>
      </w:pPr>
      <w:r>
        <w:separator/>
      </w:r>
    </w:p>
  </w:endnote>
  <w:endnote w:type="continuationSeparator" w:id="0">
    <w:p w14:paraId="5F8A0427" w14:textId="77777777" w:rsidR="00C3048E" w:rsidRDefault="00C30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9F8332A-1541-48A6-A8F0-87DF4A83608F}"/>
    <w:embedItalic r:id="rId2" w:fontKey="{ECC72584-E8E8-433F-B294-92C2D7114067}"/>
  </w:font>
  <w:font w:name="Calibri">
    <w:panose1 w:val="020F0502020204030204"/>
    <w:charset w:val="00"/>
    <w:family w:val="swiss"/>
    <w:pitch w:val="variable"/>
    <w:sig w:usb0="E4002EFF" w:usb1="C000247B" w:usb2="00000009" w:usb3="00000000" w:csb0="000001FF" w:csb1="00000000"/>
    <w:embedRegular r:id="rId3" w:fontKey="{3CB3E74F-13AE-4CFC-82ED-813E543551A4}"/>
    <w:embedBold r:id="rId4" w:fontKey="{A18958D8-8260-4A62-9A55-42114C4984DC}"/>
    <w:embedItalic r:id="rId5" w:fontKey="{68D8E7E9-48B6-4779-9D02-4E14DA0B3C07}"/>
    <w:embedBoldItalic r:id="rId6" w:fontKey="{18ACE18E-6CDB-4321-8E5C-F97923ABBBB9}"/>
  </w:font>
  <w:font w:name="Calibri Light">
    <w:panose1 w:val="020F0302020204030204"/>
    <w:charset w:val="00"/>
    <w:family w:val="swiss"/>
    <w:pitch w:val="variable"/>
    <w:sig w:usb0="E4002EFF" w:usb1="C000247B" w:usb2="00000009" w:usb3="00000000" w:csb0="000001FF" w:csb1="00000000"/>
    <w:embedRegular r:id="rId7" w:fontKey="{8C264044-DFA5-4F21-9FC3-202C7002B241}"/>
  </w:font>
  <w:font w:name="Segoe UI">
    <w:panose1 w:val="020B0502040204020203"/>
    <w:charset w:val="00"/>
    <w:family w:val="roman"/>
    <w:notTrueType/>
    <w:pitch w:val="default"/>
    <w:embedRegular r:id="rId8" w:fontKey="{FB101481-91A5-4B4B-9516-FA982AB39D6A}"/>
  </w:font>
  <w:font w:name="Georgia">
    <w:panose1 w:val="02040502050405020303"/>
    <w:charset w:val="00"/>
    <w:family w:val="auto"/>
    <w:pitch w:val="default"/>
    <w:embedItalic r:id="rId9" w:fontKey="{3BA527D3-CAA1-4BF7-84A0-36A59A99110D}"/>
  </w:font>
  <w:font w:name="Century Gothic">
    <w:panose1 w:val="020B0502020202020204"/>
    <w:charset w:val="00"/>
    <w:family w:val="swiss"/>
    <w:pitch w:val="variable"/>
    <w:sig w:usb0="00000287" w:usb1="00000000" w:usb2="00000000" w:usb3="00000000" w:csb0="0000009F" w:csb1="00000000"/>
    <w:embedBold r:id="rId10" w:fontKey="{30208D5E-B14F-4741-AE9A-9FDA3ECE163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EF798" w14:textId="77777777" w:rsidR="00C3048E" w:rsidRDefault="00C3048E">
      <w:pPr>
        <w:spacing w:after="0" w:line="240" w:lineRule="auto"/>
      </w:pPr>
      <w:r>
        <w:separator/>
      </w:r>
    </w:p>
  </w:footnote>
  <w:footnote w:type="continuationSeparator" w:id="0">
    <w:p w14:paraId="50A073CF" w14:textId="77777777" w:rsidR="00C3048E" w:rsidRDefault="00C30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ED947" w14:textId="77777777" w:rsidR="007310F6" w:rsidRDefault="007310F6">
    <w:pPr>
      <w:widowControl w:val="0"/>
      <w:pBdr>
        <w:top w:val="nil"/>
        <w:left w:val="nil"/>
        <w:bottom w:val="nil"/>
        <w:right w:val="nil"/>
        <w:between w:val="nil"/>
      </w:pBdr>
      <w:spacing w:after="0" w:line="276" w:lineRule="auto"/>
    </w:pPr>
  </w:p>
  <w:tbl>
    <w:tblPr>
      <w:tblStyle w:val="a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7310F6" w14:paraId="58249F16" w14:textId="77777777">
      <w:trPr>
        <w:trHeight w:val="697"/>
      </w:trPr>
      <w:tc>
        <w:tcPr>
          <w:tcW w:w="5707" w:type="dxa"/>
          <w:tcBorders>
            <w:top w:val="nil"/>
            <w:left w:val="nil"/>
            <w:bottom w:val="nil"/>
            <w:right w:val="nil"/>
          </w:tcBorders>
        </w:tcPr>
        <w:p w14:paraId="1C8260CC" w14:textId="77777777" w:rsidR="007310F6"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Informe Final Proyecto APT </w:t>
          </w:r>
        </w:p>
        <w:p w14:paraId="50C82A15" w14:textId="77777777" w:rsidR="007310F6"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2A033568" w14:textId="77777777" w:rsidR="007310F6" w:rsidRDefault="00000000">
          <w:pPr>
            <w:jc w:val="right"/>
            <w:rPr>
              <w:rFonts w:ascii="Century Gothic" w:eastAsia="Century Gothic" w:hAnsi="Century Gothic" w:cs="Century Gothic"/>
              <w:b/>
              <w:bCs/>
              <w:sz w:val="30"/>
              <w:szCs w:val="30"/>
            </w:rPr>
          </w:pPr>
          <w:r>
            <w:rPr>
              <w:noProof/>
            </w:rPr>
            <w:drawing>
              <wp:inline distT="0" distB="0" distL="0" distR="0" wp14:anchorId="15B39D2A" wp14:editId="26A11419">
                <wp:extent cx="1996440" cy="428625"/>
                <wp:effectExtent l="0" t="0" r="0" b="0"/>
                <wp:docPr id="55"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FF7F3B3" w14:textId="77777777" w:rsidR="007310F6" w:rsidRDefault="007310F6">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603F8"/>
    <w:multiLevelType w:val="multilevel"/>
    <w:tmpl w:val="0068F85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8541ACC"/>
    <w:multiLevelType w:val="multilevel"/>
    <w:tmpl w:val="6F024166"/>
    <w:lvl w:ilvl="0">
      <w:start w:val="1"/>
      <w:numFmt w:val="upperRoman"/>
      <w:lvlText w:val="%1."/>
      <w:lvlJc w:val="left"/>
      <w:pPr>
        <w:ind w:left="1080" w:hanging="72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4F108A6"/>
    <w:multiLevelType w:val="multilevel"/>
    <w:tmpl w:val="32A44C1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01027295">
    <w:abstractNumId w:val="2"/>
  </w:num>
  <w:num w:numId="2" w16cid:durableId="1810827468">
    <w:abstractNumId w:val="1"/>
  </w:num>
  <w:num w:numId="3" w16cid:durableId="1280452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0F6"/>
    <w:rsid w:val="007310F6"/>
    <w:rsid w:val="00C3048E"/>
    <w:rsid w:val="00D52F9C"/>
    <w:rsid w:val="00FF071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7053A"/>
  <w15:docId w15:val="{3D8F9E37-6308-4171-ACE8-6EF0E3EA1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pF3RX3eHiAGXzNdCwpckwls3Gw==">CgMxLjA4AHIhMXlBNC1TdmdwNEttNjNsYTJDYk0xelkxdFUwSlBJaFBM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2117</Words>
  <Characters>11649</Characters>
  <Application>Microsoft Office Word</Application>
  <DocSecurity>0</DocSecurity>
  <Lines>97</Lines>
  <Paragraphs>27</Paragraphs>
  <ScaleCrop>false</ScaleCrop>
  <Company/>
  <LinksUpToDate>false</LinksUpToDate>
  <CharactersWithSpaces>13739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CRISTOBAL ABDON GONZALO IRARRAZABAL GUTIERREZ</cp:lastModifiedBy>
  <cp:revision>2</cp:revision>
  <dcterms:created xsi:type="dcterms:W3CDTF">2022-08-24T18:22:00Z</dcterms:created>
  <dcterms:modified xsi:type="dcterms:W3CDTF">2026-10-19T19:31:00Z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