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rFonts w:ascii="Calibri" w:cs="Calibri" w:eastAsia="Calibri" w:hAnsi="Calibri"/>
          <w:b/>
          <w:bCs/>
          <w:color w:val="1F3864"/>
          <w:sz w:val="40"/>
          <w:szCs w:val="40"/>
        </w:rPr>
        <w:t xml:space="preserve">Agentic System Risk Mitigation Plan</w:t>
      </w:r>
    </w:p>
    <w:p>
      <w:pPr>
        <w:spacing w:after="40" w:before="0"/>
        <w:jc w:val="center"/>
      </w:pPr>
      <w:r>
        <w:rPr>
          <w:rFonts w:ascii="Calibri" w:cs="Calibri" w:eastAsia="Calibri" w:hAnsi="Calibri"/>
          <w:i/>
          <w:iCs/>
          <w:color w:val="595959"/>
          <w:sz w:val="22"/>
          <w:szCs w:val="22"/>
        </w:rPr>
        <w:t xml:space="preserve">Post-Purchase Concierge (PPC)  |  AI Agentic Systems Course</w:t>
      </w:r>
    </w:p>
    <w:p>
      <w:pPr>
        <w:spacing w:after="200" w:before="0"/>
        <w:jc w:val="center"/>
      </w:pPr>
      <w:r>
        <w:rPr>
          <w:rFonts w:ascii="Calibri" w:cs="Calibri" w:eastAsia="Calibri" w:hAnsi="Calibri"/>
          <w:color w:val="595959"/>
          <w:sz w:val="20"/>
          <w:szCs w:val="20"/>
        </w:rPr>
        <w:t xml:space="preserve">Jhonatan Lopez  |  March 25, 2026</w:t>
      </w:r>
    </w:p>
    <w:p>
      <w:pPr>
        <w:spacing w:after="200" w:before="0"/>
      </w:pPr>
      <w:r>
        <w:rPr>
          <w:rFonts w:ascii="Calibri" w:cs="Calibri" w:eastAsia="Calibri" w:hAnsi="Calibri"/>
          <w:color w:val="000000"/>
          <w:sz w:val="22"/>
          <w:szCs w:val="22"/>
        </w:rPr>
        <w:t xml:space="preserve">The following plan addresses five key agentic system risks as they apply to the Post-Purchase Concierge (PPC). The PPC uses a grounded generation architecture — facts are computed first by deterministic Python code, then handed to the LLM only for language synthesis. This single design pattern simultaneously reduces hallucination risk, bias risk, and misinformation risk by ensuring the LLM never has to recall facts from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AABBD4" w:sz="4"/>
              <w:left w:val="single" w:color="AABBD4" w:sz="4"/>
              <w:bottom w:val="single" w:color="AABBD4" w:sz="4"/>
              <w:right w:val="single" w:color="AABBD4" w:sz="4"/>
            </w:tcBorders>
            <w:shd w:fill="1F3864"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Risk</w:t>
            </w:r>
          </w:p>
        </w:tc>
        <w:tc>
          <w:tcPr>
            <w:tcW w:type="dxa" w:w="3780"/>
            <w:tcBorders>
              <w:top w:val="single" w:color="AABBD4" w:sz="4"/>
              <w:left w:val="single" w:color="AABBD4" w:sz="4"/>
              <w:bottom w:val="single" w:color="AABBD4" w:sz="4"/>
              <w:right w:val="single" w:color="AABBD4" w:sz="4"/>
            </w:tcBorders>
            <w:shd w:fill="1F3864"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Mitigation: Design &amp; Development of Agent</w:t>
            </w:r>
          </w:p>
        </w:tc>
        <w:tc>
          <w:tcPr>
            <w:tcW w:type="dxa" w:w="3780"/>
            <w:tcBorders>
              <w:top w:val="single" w:color="AABBD4" w:sz="4"/>
              <w:left w:val="single" w:color="AABBD4" w:sz="4"/>
              <w:bottom w:val="single" w:color="AABBD4" w:sz="4"/>
              <w:right w:val="single" w:color="AABBD4" w:sz="4"/>
            </w:tcBorders>
            <w:shd w:fill="1F3864" w:val="clear"/>
            <w:tcMar>
              <w:top w:type="dxa" w:w="100"/>
              <w:left w:type="dxa" w:w="140"/>
              <w:bottom w:type="dxa" w:w="100"/>
              <w:right w:type="dxa" w:w="140"/>
            </w:tcMar>
            <w:vAlign w:val="center"/>
          </w:tcPr>
          <w:p>
            <w:r>
              <w:rPr>
                <w:rFonts w:ascii="Calibri" w:cs="Calibri" w:eastAsia="Calibri" w:hAnsi="Calibri"/>
                <w:b/>
                <w:bCs/>
                <w:color w:val="FFFFFF"/>
                <w:sz w:val="20"/>
                <w:szCs w:val="20"/>
              </w:rPr>
              <w:t xml:space="preserve">Mitigation: Agent Integration into Processes</w:t>
            </w:r>
          </w:p>
        </w:tc>
      </w:tr>
      <w:tr>
        <w:tc>
          <w:tcPr>
            <w:tcW w:type="dxa" w:w="1800"/>
            <w:tcBorders>
              <w:top w:val="single" w:color="AABBD4" w:sz="4"/>
              <w:left w:val="single" w:color="AABBD4" w:sz="4"/>
              <w:bottom w:val="single" w:color="AABBD4" w:sz="4"/>
              <w:right w:val="single" w:color="AABBD4" w:sz="4"/>
            </w:tcBorders>
            <w:shd w:fill="D9E2F3" w:val="clear"/>
            <w:tcMar>
              <w:top w:type="dxa" w:w="100"/>
              <w:left w:type="dxa" w:w="140"/>
              <w:bottom w:type="dxa" w:w="100"/>
              <w:right w:type="dxa" w:w="140"/>
            </w:tcMar>
            <w:vAlign w:val="center"/>
          </w:tcPr>
          <w:p>
            <w:r>
              <w:rPr>
                <w:rFonts w:ascii="Calibri" w:cs="Calibri" w:eastAsia="Calibri" w:hAnsi="Calibri"/>
                <w:b/>
                <w:bCs/>
                <w:color w:val="1F3864"/>
                <w:sz w:val="20"/>
                <w:szCs w:val="20"/>
              </w:rPr>
              <w:t xml:space="preserve">Adversarial Attacks</w:t>
            </w:r>
          </w:p>
        </w:tc>
        <w:tc>
          <w:tcPr>
            <w:tcW w:type="dxa" w:w="378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top"/>
          </w:tcPr>
          <w:p>
            <w:pPr>
              <w:spacing w:after="60" w:before="0"/>
            </w:pPr>
            <w:r>
              <w:rPr>
                <w:rFonts w:ascii="Calibri" w:cs="Calibri" w:eastAsia="Calibri" w:hAnsi="Calibri"/>
                <w:color w:val="000000"/>
                <w:sz w:val="20"/>
                <w:szCs w:val="20"/>
              </w:rPr>
              <w:t xml:space="preserve">User input is validated through Pydantic’s AskRequest model before reaching any agent.</w:t>
            </w:r>
          </w:p>
          <w:p>
            <w:pPr>
              <w:spacing w:after="60" w:before="0"/>
            </w:pPr>
            <w:r>
              <w:rPr>
                <w:rFonts w:ascii="Calibri" w:cs="Calibri" w:eastAsia="Calibri" w:hAnsi="Calibri"/>
                <w:color w:val="000000"/>
                <w:sz w:val="20"/>
                <w:szCs w:val="20"/>
              </w:rPr>
              <w:t xml:space="preserve"/>
            </w:r>
          </w:p>
          <w:p>
            <w:pPr>
              <w:spacing w:after="60" w:before="0"/>
            </w:pPr>
            <w:r>
              <w:rPr>
                <w:rFonts w:ascii="Calibri" w:cs="Calibri" w:eastAsia="Calibri" w:hAnsi="Calibri"/>
                <w:color w:val="000000"/>
                <w:sz w:val="20"/>
                <w:szCs w:val="20"/>
              </w:rPr>
              <w:t xml:space="preserve">The extraction prompt runs at temperature=0.1 with response_format: json_object enforced, making prompt-injection attempts (e.g., a user typing “ignore previous instructions”) structurally ineffective — the LLM can only output two JSON fields (item_name, intent).</w:t>
            </w:r>
          </w:p>
        </w:tc>
        <w:tc>
          <w:tcPr>
            <w:tcW w:type="dxa" w:w="378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top"/>
          </w:tcPr>
          <w:p>
            <w:pPr>
              <w:spacing w:after="60" w:before="0"/>
            </w:pPr>
            <w:r>
              <w:rPr>
                <w:rFonts w:ascii="Calibri" w:cs="Calibri" w:eastAsia="Calibri" w:hAnsi="Calibri"/>
                <w:color w:val="000000"/>
                <w:sz w:val="20"/>
                <w:szCs w:val="20"/>
              </w:rPr>
              <w:t xml:space="preserve">The Groq API key lives exclusively in the backend .env file and is never exposed to the frontend.</w:t>
            </w:r>
          </w:p>
          <w:p>
            <w:pPr>
              <w:spacing w:after="60" w:before="0"/>
            </w:pPr>
            <w:r>
              <w:rPr>
                <w:rFonts w:ascii="Calibri" w:cs="Calibri" w:eastAsia="Calibri" w:hAnsi="Calibri"/>
                <w:color w:val="000000"/>
                <w:sz w:val="20"/>
                <w:szCs w:val="20"/>
              </w:rPr>
              <w:t xml:space="preserve"/>
            </w:r>
          </w:p>
          <w:p>
            <w:pPr>
              <w:spacing w:after="60" w:before="0"/>
            </w:pPr>
            <w:r>
              <w:rPr>
                <w:rFonts w:ascii="Calibri" w:cs="Calibri" w:eastAsia="Calibri" w:hAnsi="Calibri"/>
                <w:color w:val="000000"/>
                <w:sz w:val="20"/>
                <w:szCs w:val="20"/>
              </w:rPr>
              <w:t xml:space="preserve">The three non-chat endpoints contain no LLM calls at all, eliminating any attack surface on those routes. Rate limiting can be added via FastAPI middleware before production deployment.</w:t>
            </w:r>
          </w:p>
        </w:tc>
      </w:tr>
      <w:tr>
        <w:tc>
          <w:tcPr>
            <w:tcW w:type="dxa" w:w="1800"/>
            <w:tcBorders>
              <w:top w:val="single" w:color="AABBD4" w:sz="4"/>
              <w:left w:val="single" w:color="AABBD4" w:sz="4"/>
              <w:bottom w:val="single" w:color="AABBD4" w:sz="4"/>
              <w:right w:val="single" w:color="AABBD4" w:sz="4"/>
            </w:tcBorders>
            <w:shd w:fill="D9E2F3" w:val="clear"/>
            <w:tcMar>
              <w:top w:type="dxa" w:w="100"/>
              <w:left w:type="dxa" w:w="140"/>
              <w:bottom w:type="dxa" w:w="100"/>
              <w:right w:type="dxa" w:w="140"/>
            </w:tcMar>
            <w:vAlign w:val="center"/>
          </w:tcPr>
          <w:p>
            <w:r>
              <w:rPr>
                <w:rFonts w:ascii="Calibri" w:cs="Calibri" w:eastAsia="Calibri" w:hAnsi="Calibri"/>
                <w:b/>
                <w:bCs/>
                <w:color w:val="1F3864"/>
                <w:sz w:val="20"/>
                <w:szCs w:val="20"/>
              </w:rPr>
              <w:t xml:space="preserve">Bias and Discrimination</w:t>
            </w:r>
          </w:p>
        </w:tc>
        <w:tc>
          <w:tcPr>
            <w:tcW w:type="dxa" w:w="3780"/>
            <w:tcBorders>
              <w:top w:val="single" w:color="AABBD4" w:sz="4"/>
              <w:left w:val="single" w:color="AABBD4" w:sz="4"/>
              <w:bottom w:val="single" w:color="AABBD4" w:sz="4"/>
              <w:right w:val="single" w:color="AABBD4" w:sz="4"/>
            </w:tcBorders>
            <w:shd w:fill="EEF2FA" w:val="clear"/>
            <w:tcMar>
              <w:top w:type="dxa" w:w="100"/>
              <w:left w:type="dxa" w:w="140"/>
              <w:bottom w:type="dxa" w:w="100"/>
              <w:right w:type="dxa" w:w="140"/>
            </w:tcMar>
            <w:vAlign w:val="top"/>
          </w:tcPr>
          <w:p>
            <w:pPr>
              <w:spacing w:after="60" w:before="0"/>
            </w:pPr>
            <w:r>
              <w:rPr>
                <w:rFonts w:ascii="Calibri" w:cs="Calibri" w:eastAsia="Calibri" w:hAnsi="Calibri"/>
                <w:color w:val="000000"/>
                <w:sz w:val="20"/>
                <w:szCs w:val="20"/>
              </w:rPr>
              <w:t xml:space="preserve">The Policy Researcher applies return windows using an objective, rule-based policy database — not LLM judgment.</w:t>
            </w:r>
          </w:p>
          <w:p>
            <w:pPr>
              <w:spacing w:after="60" w:before="0"/>
            </w:pPr>
            <w:r>
              <w:rPr>
                <w:rFonts w:ascii="Calibri" w:cs="Calibri" w:eastAsia="Calibri" w:hAnsi="Calibri"/>
                <w:color w:val="000000"/>
                <w:sz w:val="20"/>
                <w:szCs w:val="20"/>
              </w:rPr>
              <w:t xml:space="preserve"/>
            </w:r>
          </w:p>
          <w:p>
            <w:pPr>
              <w:spacing w:after="60" w:before="0"/>
            </w:pPr>
            <w:r>
              <w:rPr>
                <w:rFonts w:ascii="Calibri" w:cs="Calibri" w:eastAsia="Calibri" w:hAnsi="Calibri"/>
                <w:color w:val="000000"/>
                <w:sz w:val="20"/>
                <w:szCs w:val="20"/>
              </w:rPr>
              <w:t xml:space="preserve">Every user with the same membership tier receives the exact same return window calculation, regardless of how their question is phrased or who they are.</w:t>
            </w:r>
          </w:p>
        </w:tc>
        <w:tc>
          <w:tcPr>
            <w:tcW w:type="dxa" w:w="3780"/>
            <w:tcBorders>
              <w:top w:val="single" w:color="AABBD4" w:sz="4"/>
              <w:left w:val="single" w:color="AABBD4" w:sz="4"/>
              <w:bottom w:val="single" w:color="AABBD4" w:sz="4"/>
              <w:right w:val="single" w:color="AABBD4" w:sz="4"/>
            </w:tcBorders>
            <w:shd w:fill="EEF2FA" w:val="clear"/>
            <w:tcMar>
              <w:top w:type="dxa" w:w="100"/>
              <w:left w:type="dxa" w:w="140"/>
              <w:bottom w:type="dxa" w:w="100"/>
              <w:right w:type="dxa" w:w="140"/>
            </w:tcMar>
            <w:vAlign w:val="top"/>
          </w:tcPr>
          <w:p>
            <w:pPr>
              <w:spacing w:after="60" w:before="0"/>
            </w:pPr>
            <w:r>
              <w:rPr>
                <w:rFonts w:ascii="Calibri" w:cs="Calibri" w:eastAsia="Calibri" w:hAnsi="Calibri"/>
                <w:color w:val="000000"/>
                <w:sz w:val="20"/>
                <w:szCs w:val="20"/>
              </w:rPr>
              <w:t xml:space="preserve">Membership tiers are stored in a single USER_PROFILE object applied uniformly across all purchases and all queries.</w:t>
            </w:r>
          </w:p>
          <w:p>
            <w:pPr>
              <w:spacing w:after="60" w:before="0"/>
            </w:pPr>
            <w:r>
              <w:rPr>
                <w:rFonts w:ascii="Calibri" w:cs="Calibri" w:eastAsia="Calibri" w:hAnsi="Calibri"/>
                <w:color w:val="000000"/>
                <w:sz w:val="20"/>
                <w:szCs w:val="20"/>
              </w:rPr>
              <w:t xml:space="preserve"/>
            </w:r>
          </w:p>
          <w:p>
            <w:pPr>
              <w:spacing w:after="60" w:before="0"/>
            </w:pPr>
            <w:r>
              <w:rPr>
                <w:rFonts w:ascii="Calibri" w:cs="Calibri" w:eastAsia="Calibri" w:hAnsi="Calibri"/>
                <w:color w:val="000000"/>
                <w:sz w:val="20"/>
                <w:szCs w:val="20"/>
              </w:rPr>
              <w:t xml:space="preserve">No demographic data is collected, stored, or passed to the LLM at any point in the pipeline.</w:t>
            </w:r>
          </w:p>
        </w:tc>
      </w:tr>
      <w:tr>
        <w:tc>
          <w:tcPr>
            <w:tcW w:type="dxa" w:w="1800"/>
            <w:tcBorders>
              <w:top w:val="single" w:color="AABBD4" w:sz="4"/>
              <w:left w:val="single" w:color="AABBD4" w:sz="4"/>
              <w:bottom w:val="single" w:color="AABBD4" w:sz="4"/>
              <w:right w:val="single" w:color="AABBD4" w:sz="4"/>
            </w:tcBorders>
            <w:shd w:fill="D9E2F3" w:val="clear"/>
            <w:tcMar>
              <w:top w:type="dxa" w:w="100"/>
              <w:left w:type="dxa" w:w="140"/>
              <w:bottom w:type="dxa" w:w="100"/>
              <w:right w:type="dxa" w:w="140"/>
            </w:tcMar>
            <w:vAlign w:val="center"/>
          </w:tcPr>
          <w:p>
            <w:r>
              <w:rPr>
                <w:rFonts w:ascii="Calibri" w:cs="Calibri" w:eastAsia="Calibri" w:hAnsi="Calibri"/>
                <w:b/>
                <w:bCs/>
                <w:color w:val="1F3864"/>
                <w:sz w:val="20"/>
                <w:szCs w:val="20"/>
              </w:rPr>
              <w:t xml:space="preserve">Misinformation and Hallucinations</w:t>
            </w:r>
          </w:p>
        </w:tc>
        <w:tc>
          <w:tcPr>
            <w:tcW w:type="dxa" w:w="378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top"/>
          </w:tcPr>
          <w:p>
            <w:pPr>
              <w:spacing w:after="60" w:before="0"/>
            </w:pPr>
            <w:r>
              <w:rPr>
                <w:rFonts w:ascii="Calibri" w:cs="Calibri" w:eastAsia="Calibri" w:hAnsi="Calibri"/>
                <w:color w:val="000000"/>
                <w:sz w:val="20"/>
                <w:szCs w:val="20"/>
              </w:rPr>
              <w:t xml:space="preserve">The Orchestrator follows a strict ground-before-generate pattern: all purchase facts (item, retailer, purchase date, return window, days elapsed) are calculated deterministically in Python and injected into the synthesis prompt. The LLM cannot invent these values.</w:t>
            </w:r>
          </w:p>
          <w:p>
            <w:pPr>
              <w:spacing w:after="60" w:before="0"/>
            </w:pPr>
            <w:r>
              <w:rPr>
                <w:rFonts w:ascii="Calibri" w:cs="Calibri" w:eastAsia="Calibri" w:hAnsi="Calibri"/>
                <w:color w:val="000000"/>
                <w:sz w:val="20"/>
                <w:szCs w:val="20"/>
              </w:rPr>
              <w:t xml:space="preserve"/>
            </w:r>
          </w:p>
          <w:p>
            <w:pPr>
              <w:spacing w:after="60" w:before="0"/>
            </w:pPr>
            <w:r>
              <w:rPr>
                <w:rFonts w:ascii="Calibri" w:cs="Calibri" w:eastAsia="Calibri" w:hAnsi="Calibri"/>
                <w:color w:val="000000"/>
                <w:sz w:val="20"/>
                <w:szCs w:val="20"/>
              </w:rPr>
              <w:t xml:space="preserve">If the Inbox Scout returns found: False, the pipeline terminates immediately — the LLM is never called, preventing hallucinated receipt data entirely.</w:t>
            </w:r>
          </w:p>
        </w:tc>
        <w:tc>
          <w:tcPr>
            <w:tcW w:type="dxa" w:w="378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top"/>
          </w:tcPr>
          <w:p>
            <w:pPr>
              <w:spacing w:after="60" w:before="0"/>
            </w:pPr>
            <w:r>
              <w:rPr>
                <w:rFonts w:ascii="Calibri" w:cs="Calibri" w:eastAsia="Calibri" w:hAnsi="Calibri"/>
                <w:color w:val="000000"/>
                <w:sz w:val="20"/>
                <w:szCs w:val="20"/>
              </w:rPr>
              <w:t xml:space="preserve">Every chat response includes a sources field containing the official retailer policy URL (e.g., bestbuy.com/return-policy), so users can independently verify any claim the system makes.</w:t>
            </w:r>
          </w:p>
          <w:p>
            <w:pPr>
              <w:spacing w:after="60" w:before="0"/>
            </w:pPr>
            <w:r>
              <w:rPr>
                <w:rFonts w:ascii="Calibri" w:cs="Calibri" w:eastAsia="Calibri" w:hAnsi="Calibri"/>
                <w:color w:val="000000"/>
                <w:sz w:val="20"/>
                <w:szCs w:val="20"/>
              </w:rPr>
              <w:t xml:space="preserve"/>
            </w:r>
          </w:p>
          <w:p>
            <w:pPr>
              <w:spacing w:after="60" w:before="0"/>
            </w:pPr>
            <w:r>
              <w:rPr>
                <w:rFonts w:ascii="Calibri" w:cs="Calibri" w:eastAsia="Calibri" w:hAnsi="Calibri"/>
                <w:color w:val="000000"/>
                <w:sz w:val="20"/>
                <w:szCs w:val="20"/>
              </w:rPr>
              <w:t xml:space="preserve">The reasoning field exposes the agent’s chain of thought, making every answer fully auditable.</w:t>
            </w:r>
          </w:p>
        </w:tc>
      </w:tr>
      <w:tr>
        <w:tc>
          <w:tcPr>
            <w:tcW w:type="dxa" w:w="1800"/>
            <w:tcBorders>
              <w:top w:val="single" w:color="AABBD4" w:sz="4"/>
              <w:left w:val="single" w:color="AABBD4" w:sz="4"/>
              <w:bottom w:val="single" w:color="AABBD4" w:sz="4"/>
              <w:right w:val="single" w:color="AABBD4" w:sz="4"/>
            </w:tcBorders>
            <w:shd w:fill="D9E2F3" w:val="clear"/>
            <w:tcMar>
              <w:top w:type="dxa" w:w="100"/>
              <w:left w:type="dxa" w:w="140"/>
              <w:bottom w:type="dxa" w:w="100"/>
              <w:right w:type="dxa" w:w="140"/>
            </w:tcMar>
            <w:vAlign w:val="center"/>
          </w:tcPr>
          <w:p>
            <w:r>
              <w:rPr>
                <w:rFonts w:ascii="Calibri" w:cs="Calibri" w:eastAsia="Calibri" w:hAnsi="Calibri"/>
                <w:b/>
                <w:bCs/>
                <w:color w:val="1F3864"/>
                <w:sz w:val="20"/>
                <w:szCs w:val="20"/>
              </w:rPr>
              <w:t xml:space="preserve">Data Privacy Violations</w:t>
            </w:r>
          </w:p>
        </w:tc>
        <w:tc>
          <w:tcPr>
            <w:tcW w:type="dxa" w:w="3780"/>
            <w:tcBorders>
              <w:top w:val="single" w:color="AABBD4" w:sz="4"/>
              <w:left w:val="single" w:color="AABBD4" w:sz="4"/>
              <w:bottom w:val="single" w:color="AABBD4" w:sz="4"/>
              <w:right w:val="single" w:color="AABBD4" w:sz="4"/>
            </w:tcBorders>
            <w:shd w:fill="EEF2FA" w:val="clear"/>
            <w:tcMar>
              <w:top w:type="dxa" w:w="100"/>
              <w:left w:type="dxa" w:w="140"/>
              <w:bottom w:type="dxa" w:w="100"/>
              <w:right w:type="dxa" w:w="140"/>
            </w:tcMar>
            <w:vAlign w:val="top"/>
          </w:tcPr>
          <w:p>
            <w:pPr>
              <w:spacing w:after="60" w:before="0"/>
            </w:pPr>
            <w:r>
              <w:rPr>
                <w:rFonts w:ascii="Calibri" w:cs="Calibri" w:eastAsia="Calibri" w:hAnsi="Calibri"/>
                <w:color w:val="000000"/>
                <w:sz w:val="20"/>
                <w:szCs w:val="20"/>
              </w:rPr>
              <w:t xml:space="preserve">The demo uses a simulated email inbox (mock data) — no real user emails are scanned, stored, or transmitted.</w:t>
            </w:r>
          </w:p>
          <w:p>
            <w:pPr>
              <w:spacing w:after="60" w:before="0"/>
            </w:pPr>
            <w:r>
              <w:rPr>
                <w:rFonts w:ascii="Calibri" w:cs="Calibri" w:eastAsia="Calibri" w:hAnsi="Calibri"/>
                <w:color w:val="000000"/>
                <w:sz w:val="20"/>
                <w:szCs w:val="20"/>
              </w:rPr>
              <w:t xml:space="preserve"/>
            </w:r>
          </w:p>
          <w:p>
            <w:pPr>
              <w:spacing w:after="60" w:before="0"/>
            </w:pPr>
            <w:r>
              <w:rPr>
                <w:rFonts w:ascii="Calibri" w:cs="Calibri" w:eastAsia="Calibri" w:hAnsi="Calibri"/>
                <w:color w:val="000000"/>
                <w:sz w:val="20"/>
                <w:szCs w:val="20"/>
              </w:rPr>
              <w:t xml:space="preserve">No PII beyond a display name is stored in the system. The GROQ_API_KEY is loaded from .env (excluded from version control via .gitignore) and is never returned in any API response.</w:t>
            </w:r>
          </w:p>
        </w:tc>
        <w:tc>
          <w:tcPr>
            <w:tcW w:type="dxa" w:w="3780"/>
            <w:tcBorders>
              <w:top w:val="single" w:color="AABBD4" w:sz="4"/>
              <w:left w:val="single" w:color="AABBD4" w:sz="4"/>
              <w:bottom w:val="single" w:color="AABBD4" w:sz="4"/>
              <w:right w:val="single" w:color="AABBD4" w:sz="4"/>
            </w:tcBorders>
            <w:shd w:fill="EEF2FA" w:val="clear"/>
            <w:tcMar>
              <w:top w:type="dxa" w:w="100"/>
              <w:left w:type="dxa" w:w="140"/>
              <w:bottom w:type="dxa" w:w="100"/>
              <w:right w:type="dxa" w:w="140"/>
            </w:tcMar>
            <w:vAlign w:val="top"/>
          </w:tcPr>
          <w:p>
            <w:pPr>
              <w:spacing w:after="60" w:before="0"/>
            </w:pPr>
            <w:r>
              <w:rPr>
                <w:rFonts w:ascii="Calibri" w:cs="Calibri" w:eastAsia="Calibri" w:hAnsi="Calibri"/>
                <w:color w:val="000000"/>
                <w:sz w:val="20"/>
                <w:szCs w:val="20"/>
              </w:rPr>
              <w:t xml:space="preserve">In production, email integration would require OAuth 2.0 (Gmail/Outlook) with read-only scopes, and access tokens would be stored encrypted server-side.</w:t>
            </w:r>
          </w:p>
          <w:p>
            <w:pPr>
              <w:spacing w:after="60" w:before="0"/>
            </w:pPr>
            <w:r>
              <w:rPr>
                <w:rFonts w:ascii="Calibri" w:cs="Calibri" w:eastAsia="Calibri" w:hAnsi="Calibri"/>
                <w:color w:val="000000"/>
                <w:sz w:val="20"/>
                <w:szCs w:val="20"/>
              </w:rPr>
              <w:t xml:space="preserve"/>
            </w:r>
          </w:p>
          <w:p>
            <w:pPr>
              <w:spacing w:after="60" w:before="0"/>
            </w:pPr>
            <w:r>
              <w:rPr>
                <w:rFonts w:ascii="Calibri" w:cs="Calibri" w:eastAsia="Calibri" w:hAnsi="Calibri"/>
                <w:color w:val="000000"/>
                <w:sz w:val="20"/>
                <w:szCs w:val="20"/>
              </w:rPr>
              <w:t xml:space="preserve">Purchase data would not be logged to persistent storage without explicit user consent. The frontend communicates with the backend only over localhost (or HTTPS in production), never directly with the LLM provider.</w:t>
            </w:r>
          </w:p>
        </w:tc>
      </w:tr>
      <w:tr>
        <w:tc>
          <w:tcPr>
            <w:tcW w:type="dxa" w:w="1800"/>
            <w:tcBorders>
              <w:top w:val="single" w:color="AABBD4" w:sz="4"/>
              <w:left w:val="single" w:color="AABBD4" w:sz="4"/>
              <w:bottom w:val="single" w:color="AABBD4" w:sz="4"/>
              <w:right w:val="single" w:color="AABBD4" w:sz="4"/>
            </w:tcBorders>
            <w:shd w:fill="D9E2F3" w:val="clear"/>
            <w:tcMar>
              <w:top w:type="dxa" w:w="100"/>
              <w:left w:type="dxa" w:w="140"/>
              <w:bottom w:type="dxa" w:w="100"/>
              <w:right w:type="dxa" w:w="140"/>
            </w:tcMar>
            <w:vAlign w:val="center"/>
          </w:tcPr>
          <w:p>
            <w:r>
              <w:rPr>
                <w:rFonts w:ascii="Calibri" w:cs="Calibri" w:eastAsia="Calibri" w:hAnsi="Calibri"/>
                <w:b/>
                <w:bCs/>
                <w:color w:val="1F3864"/>
                <w:sz w:val="20"/>
                <w:szCs w:val="20"/>
              </w:rPr>
              <w:t xml:space="preserve">Intellectual Property Risks</w:t>
            </w:r>
          </w:p>
        </w:tc>
        <w:tc>
          <w:tcPr>
            <w:tcW w:type="dxa" w:w="378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top"/>
          </w:tcPr>
          <w:p>
            <w:pPr>
              <w:spacing w:after="60" w:before="0"/>
            </w:pPr>
            <w:r>
              <w:rPr>
                <w:rFonts w:ascii="Calibri" w:cs="Calibri" w:eastAsia="Calibri" w:hAnsi="Calibri"/>
                <w:color w:val="000000"/>
                <w:sz w:val="20"/>
                <w:szCs w:val="20"/>
              </w:rPr>
              <w:t xml:space="preserve">The Policy Researcher stores only factual, non-copyrightable data (return window durations and official URLs) — not reproduced policy text.</w:t>
            </w:r>
          </w:p>
          <w:p>
            <w:pPr>
              <w:spacing w:after="60" w:before="0"/>
            </w:pPr>
            <w:r>
              <w:rPr>
                <w:rFonts w:ascii="Calibri" w:cs="Calibri" w:eastAsia="Calibri" w:hAnsi="Calibri"/>
                <w:color w:val="000000"/>
                <w:sz w:val="20"/>
                <w:szCs w:val="20"/>
              </w:rPr>
              <w:t xml:space="preserve"/>
            </w:r>
          </w:p>
          <w:p>
            <w:pPr>
              <w:spacing w:after="60" w:before="0"/>
            </w:pPr>
            <w:r>
              <w:rPr>
                <w:rFonts w:ascii="Calibri" w:cs="Calibri" w:eastAsia="Calibri" w:hAnsi="Calibri"/>
                <w:color w:val="000000"/>
                <w:sz w:val="20"/>
                <w:szCs w:val="20"/>
              </w:rPr>
              <w:t xml:space="preserve">The LLM synthesizes original summaries in its own language rather than copying verbatim from retailer websites.</w:t>
            </w:r>
          </w:p>
        </w:tc>
        <w:tc>
          <w:tcPr>
            <w:tcW w:type="dxa" w:w="3780"/>
            <w:tcBorders>
              <w:top w:val="single" w:color="AABBD4" w:sz="4"/>
              <w:left w:val="single" w:color="AABBD4" w:sz="4"/>
              <w:bottom w:val="single" w:color="AABBD4" w:sz="4"/>
              <w:right w:val="single" w:color="AABBD4" w:sz="4"/>
            </w:tcBorders>
            <w:shd w:fill="FFFFFF" w:val="clear"/>
            <w:tcMar>
              <w:top w:type="dxa" w:w="100"/>
              <w:left w:type="dxa" w:w="140"/>
              <w:bottom w:type="dxa" w:w="100"/>
              <w:right w:type="dxa" w:w="140"/>
            </w:tcMar>
            <w:vAlign w:val="top"/>
          </w:tcPr>
          <w:p>
            <w:pPr>
              <w:spacing w:after="60" w:before="0"/>
            </w:pPr>
            <w:r>
              <w:rPr>
                <w:rFonts w:ascii="Calibri" w:cs="Calibri" w:eastAsia="Calibri" w:hAnsi="Calibri"/>
                <w:color w:val="000000"/>
                <w:sz w:val="20"/>
                <w:szCs w:val="20"/>
              </w:rPr>
              <w:t xml:space="preserve">Every response cites the official source URL so users are directed to the retailer’s own policy page.</w:t>
            </w:r>
          </w:p>
          <w:p>
            <w:pPr>
              <w:spacing w:after="60" w:before="0"/>
            </w:pPr>
            <w:r>
              <w:rPr>
                <w:rFonts w:ascii="Calibri" w:cs="Calibri" w:eastAsia="Calibri" w:hAnsi="Calibri"/>
                <w:color w:val="000000"/>
                <w:sz w:val="20"/>
                <w:szCs w:val="20"/>
              </w:rPr>
              <w:t xml:space="preserve"/>
            </w:r>
          </w:p>
          <w:p>
            <w:pPr>
              <w:spacing w:after="60" w:before="0"/>
            </w:pPr>
            <w:r>
              <w:rPr>
                <w:rFonts w:ascii="Calibri" w:cs="Calibri" w:eastAsia="Calibri" w:hAnsi="Calibri"/>
                <w:color w:val="000000"/>
                <w:sz w:val="20"/>
                <w:szCs w:val="20"/>
              </w:rPr>
              <w:t xml:space="preserve">The system never presents a full reproduction of a copyrighted policy document — only a concise, factual interpretation grounded in publicly available information.</w:t>
            </w:r>
          </w:p>
        </w:tc>
      </w:tr>
    </w:tbl>
    <w:p>
      <w:pPr>
        <w:spacing w:after="0" w:before="200"/>
      </w:pPr>
      <w:r>
        <w:t xml:space="preserve"/>
      </w:r>
    </w:p>
    <w:p>
      <w:pPr>
        <w:pBdr>
          <w:top w:val="single" w:color="2E75B6" w:sz="4" w:space="4"/>
        </w:pBdr>
        <w:spacing w:after="0" w:before="0"/>
      </w:pPr>
    </w:p>
    <w:p>
      <w:pPr>
        <w:spacing w:after="0" w:before="100"/>
      </w:pPr>
      <w:r>
        <w:rPr>
          <w:rFonts w:ascii="Calibri" w:cs="Calibri" w:eastAsia="Calibri" w:hAnsi="Calibri"/>
          <w:b/>
          <w:bCs/>
          <w:color w:val="1F3864"/>
          <w:sz w:val="20"/>
          <w:szCs w:val="20"/>
        </w:rPr>
        <w:t xml:space="preserve">Key design principle: </w:t>
      </w:r>
      <w:r>
        <w:rPr>
          <w:rFonts w:ascii="Calibri" w:cs="Calibri" w:eastAsia="Calibri" w:hAnsi="Calibri"/>
          <w:i/>
          <w:iCs/>
          <w:color w:val="595959"/>
          <w:sz w:val="20"/>
          <w:szCs w:val="20"/>
        </w:rPr>
        <w:t xml:space="preserve">The grounded generation architecture — where all facts are computed deterministically before the LLM is invoked — addresses adversarial attacks, misinformation, bias, and data privacy risks simultaneously by ensuring the model synthesises language only, never facts.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AI Agentic Systems Course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jc w:val="right"/>
    </w:pPr>
    <w:r>
      <w:rPr>
        <w:rFonts w:ascii="Calibri" w:cs="Calibri" w:eastAsia="Calibri" w:hAnsi="Calibri"/>
        <w:i/>
        <w:iCs/>
        <w:color w:val="595959"/>
        <w:sz w:val="18"/>
        <w:szCs w:val="18"/>
      </w:rPr>
      <w:t xml:space="preserve">Post-Purchase Concierge  |  Risk Mitigation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2026-03-26T15:00:39.484Z</dcterms:created>
  <dcterms:modified xsi:type="dcterms:W3CDTF">2026-03-26T15:00:39.487Z</dcterms:modified>
</cp:coreProperties>
</file>

<file path=docProps/custom.xml><?xml version="1.0" encoding="utf-8"?>
<Properties xmlns="http://schemas.openxmlformats.org/officeDocument/2006/custom-properties" xmlns:vt="http://schemas.openxmlformats.org/officeDocument/2006/docPropsVTypes"/>
</file>