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8"/>
        </w:numPr>
        <w:spacing w:before="240" w:after="0"/>
        <w:rPr>
          <w:rFonts w:ascii="Arial Narrow" w:hAnsi="Arial Narrow"/>
        </w:rPr>
      </w:pPr>
      <w:r>
        <w:rPr>
          <w:i/>
        </w:rPr>
        <w:t>PacketTracer</w:t>
      </w:r>
      <w:r>
        <w:rPr/>
        <w:t xml:space="preserve"> </w:t>
      </w:r>
      <w:r>
        <w:rPr>
          <w:rFonts w:eastAsia="Calibri" w:cs="" w:ascii="Calibri" w:hAnsi="Calibri" w:asciiTheme="minorHAnsi" w:cstheme="minorBidi" w:eastAsiaTheme="minorHAnsi" w:hAnsiTheme="minorHAnsi"/>
          <w:i/>
          <w:color w:val="auto"/>
          <w:sz w:val="18"/>
          <w:szCs w:val="22"/>
        </w:rPr>
        <w:t>(10 puntos)</w:t>
      </w:r>
    </w:p>
    <w:p>
      <w:pPr>
        <w:pStyle w:val="Heading2"/>
        <w:numPr>
          <w:ilvl w:val="1"/>
          <w:numId w:val="8"/>
        </w:numPr>
        <w:rPr/>
      </w:pPr>
      <w:r>
        <w:rPr/>
        <w:t xml:space="preserve">Pruebas. </w:t>
      </w:r>
    </w:p>
    <w:p>
      <w:pPr>
        <w:pStyle w:val="Normal"/>
        <w:spacing w:lineRule="auto" w:line="240" w:before="0" w:after="0"/>
        <w:ind w:start="284"/>
        <w:jc w:val="both"/>
        <w:rPr>
          <w:b/>
        </w:rPr>
      </w:pPr>
      <w:r>
        <w:rPr/>
        <w:t xml:space="preserve">Realiza el plan de pruebas indicado en la siguiente plantilla y cumplimenta la misma </w:t>
      </w:r>
      <w:r>
        <w:rPr>
          <w:sz w:val="16"/>
        </w:rPr>
        <w:t>(Marcar (</w:t>
      </w:r>
      <w:sdt>
        <w:sdtPr>
          <w:id w:val="2086102013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sz w:val="16"/>
            </w:rPr>
          </w:r>
          <w:r>
            <w:rPr>
              <w:rFonts w:eastAsia="MS Gothic" w:hint="eastAsia" w:ascii="MS Gothic" w:hAnsi="MS Gothic"/>
              <w:sz w:val="16"/>
            </w:rPr>
            <w:t>☒</w:t>
          </w:r>
        </w:sdtContent>
      </w:sdt>
      <w:r>
        <w:rPr>
          <w:sz w:val="16"/>
        </w:rPr>
        <w:t>) cuando exista conectividad)</w:t>
      </w:r>
      <w:r>
        <w:rPr/>
        <w:t>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hanging="284" w:start="568"/>
        <w:contextualSpacing w:val="false"/>
        <w:jc w:val="both"/>
        <w:rPr>
          <w:b/>
          <w:sz w:val="14"/>
        </w:rPr>
      </w:pPr>
      <w:r>
        <w:rPr>
          <w:sz w:val="14"/>
        </w:rPr>
        <w:t xml:space="preserve">Calificación pruebas: 4 puntos </w:t>
      </w:r>
      <w:r>
        <w:rPr>
          <w:b/>
          <w:sz w:val="14"/>
        </w:rPr>
        <w:t>(Cada respuesta incorrecta sufrirá una penalización de 0,5 puntos).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hanging="284" w:start="568"/>
        <w:contextualSpacing w:val="false"/>
        <w:jc w:val="both"/>
        <w:rPr>
          <w:sz w:val="14"/>
        </w:rPr>
      </w:pPr>
      <w:r>
        <w:rPr>
          <w:sz w:val="14"/>
        </w:rPr>
        <w:t>Calificación explicaciones: 3 puntos.</w:t>
      </w:r>
    </w:p>
    <w:p>
      <w:pPr>
        <w:pStyle w:val="Normal"/>
        <w:spacing w:lineRule="auto" w:line="240" w:before="0" w:after="0"/>
        <w:ind w:start="284"/>
        <w:jc w:val="both"/>
        <w:rPr/>
      </w:pPr>
      <w:r>
        <w:rPr/>
        <w:t xml:space="preserve">Además, </w:t>
      </w:r>
      <w:r>
        <w:rPr>
          <w:b/>
        </w:rPr>
        <w:t>deberás subir a Moodle el fichero .</w:t>
      </w:r>
      <w:r>
        <w:rPr>
          <w:b/>
          <w:i/>
        </w:rPr>
        <w:t>pkt</w:t>
      </w:r>
      <w:r>
        <w:rPr/>
        <w:t xml:space="preserve"> que has utilizado para ello (en la ventana “</w:t>
      </w:r>
      <w:r>
        <w:rPr>
          <w:i/>
        </w:rPr>
        <w:t>Network Description</w:t>
      </w:r>
      <w:r>
        <w:rPr/>
        <w:t>” deberán figurar los nombres de los miembros del equipo). En caso de no hacerlo se calificará con 0 puntos esta parte de la práctica.</w:t>
      </w:r>
    </w:p>
    <w:p>
      <w:pPr>
        <w:pStyle w:val="Normal"/>
        <w:spacing w:lineRule="auto" w:line="240" w:before="120" w:after="240"/>
        <w:rPr/>
      </w:pPr>
      <w:r>
        <w:rPr/>
        <w:t xml:space="preserve">¿Número total de ACL’s?:  </w:t>
      </w:r>
      <w:r>
        <w:rPr>
          <w:b/>
          <w:color w:val="FF0000"/>
          <w:bdr w:val="single" w:sz="18" w:space="0" w:color="FF0000"/>
        </w:rPr>
        <w:t xml:space="preserve"> </w:t>
      </w:r>
      <w:r>
        <w:rPr>
          <w:color w:val="FF0000"/>
          <w:bdr w:val="single" w:sz="18" w:space="0" w:color="FF0000"/>
        </w:rPr>
        <w:t xml:space="preserve">  4 </w:t>
      </w:r>
      <w:r>
        <w:rPr/>
        <w:tab/>
        <w:tab/>
        <w:t>Asignadas al FW1:</w:t>
        <w:tab/>
      </w:r>
      <w:r>
        <w:rPr>
          <w:bdr w:val="single" w:sz="18" w:space="0" w:color="FF0000"/>
        </w:rPr>
        <w:t xml:space="preserve"> 2 </w:t>
      </w:r>
      <w:r>
        <w:rPr/>
        <w:tab/>
        <w:t xml:space="preserve">Asignadas al FW2: </w:t>
      </w:r>
      <w:r>
        <w:rPr>
          <w:bdr w:val="single" w:sz="18" w:space="0" w:color="FF0000"/>
        </w:rPr>
        <w:t xml:space="preserve">   2  </w:t>
      </w:r>
      <w:r>
        <w:rPr/>
        <w:t xml:space="preserve"> </w:t>
        <w:tab/>
      </w:r>
    </w:p>
    <w:tbl>
      <w:tblPr>
        <w:tblStyle w:val="Tablaconcuadrcula"/>
        <w:tblW w:w="145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775"/>
        <w:gridCol w:w="437"/>
        <w:gridCol w:w="10348"/>
      </w:tblGrid>
      <w:tr>
        <w:trPr>
          <w:tblHeader w:val="true"/>
        </w:trPr>
        <w:tc>
          <w:tcPr>
            <w:tcW w:w="4212" w:type="dxa"/>
            <w:gridSpan w:val="2"/>
            <w:tcBorders>
              <w:bottom w:val="doub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Prueba</w:t>
            </w:r>
          </w:p>
        </w:tc>
        <w:tc>
          <w:tcPr>
            <w:tcW w:w="10348" w:type="dxa"/>
            <w:tcBorders>
              <w:bottom w:val="doub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 xml:space="preserve">Explicación: </w:t>
            </w:r>
            <w:r>
              <w:rPr>
                <w:rFonts w:eastAsia="Calibri" w:cs=""/>
                <w:kern w:val="0"/>
                <w:sz w:val="20"/>
                <w:szCs w:val="22"/>
                <w:lang w:val="es-ES" w:eastAsia="en-US" w:bidi="ar-SA"/>
              </w:rPr>
              <w:t xml:space="preserve">Cumplimiento de las </w:t>
            </w:r>
            <w:r>
              <w:rPr>
                <w:rFonts w:eastAsia="Calibri" w:cs=""/>
                <w:b/>
                <w:kern w:val="0"/>
                <w:sz w:val="20"/>
                <w:szCs w:val="22"/>
                <w:u w:val="single"/>
                <w:lang w:val="es-ES" w:eastAsia="en-US" w:bidi="ar-SA"/>
              </w:rPr>
              <w:t>especificaciones</w:t>
            </w:r>
            <w:r>
              <w:rPr>
                <w:rFonts w:eastAsia="Calibri" w:cs=""/>
                <w:kern w:val="0"/>
                <w:sz w:val="20"/>
                <w:szCs w:val="22"/>
                <w:lang w:val="es-ES" w:eastAsia="en-US" w:bidi="ar-SA"/>
              </w:rPr>
              <w:t xml:space="preserve"> de la política seguridad y </w:t>
            </w:r>
            <w:r>
              <w:rPr>
                <w:rFonts w:eastAsia="Calibri" w:cs=""/>
                <w:b/>
                <w:kern w:val="0"/>
                <w:sz w:val="20"/>
                <w:szCs w:val="22"/>
                <w:u w:val="single"/>
                <w:lang w:val="es-ES" w:eastAsia="en-US" w:bidi="ar-SA"/>
              </w:rPr>
              <w:t>trayecto del paquete</w:t>
            </w:r>
            <w:r>
              <w:rPr>
                <w:rStyle w:val="FootnoteReference"/>
                <w:rFonts w:eastAsia="Calibri" w:cs=""/>
                <w:b/>
                <w:kern w:val="0"/>
                <w:sz w:val="20"/>
                <w:szCs w:val="22"/>
                <w:u w:val="single"/>
                <w:lang w:val="es-ES" w:eastAsia="en-US" w:bidi="ar-SA"/>
              </w:rPr>
              <w:footnoteReference w:id="2"/>
            </w:r>
            <w:r>
              <w:rPr>
                <w:rFonts w:eastAsia="Calibri" w:cs=""/>
                <w:kern w:val="0"/>
                <w:sz w:val="20"/>
                <w:szCs w:val="22"/>
                <w:u w:val="single"/>
                <w:lang w:val="es-ES" w:eastAsia="en-US" w:bidi="ar-SA"/>
              </w:rPr>
              <w:t>. (</w:t>
            </w:r>
            <w:r>
              <w:rPr>
                <w:rFonts w:eastAsia="Calibri" w:cs=""/>
                <w:kern w:val="0"/>
                <w:sz w:val="20"/>
                <w:szCs w:val="22"/>
                <w:lang w:val="es-ES" w:eastAsia="en-US" w:bidi="ar-SA"/>
              </w:rPr>
              <w:t>En su caso, nº de la ACL, interfaz, sentido, FW donde se aplica y sintaxis de la regla afectada. En caso contrario, indicarlo)</w:t>
            </w:r>
          </w:p>
        </w:tc>
      </w:tr>
      <w:tr>
        <w:trPr>
          <w:cantSplit w:val="true"/>
        </w:trPr>
        <w:tc>
          <w:tcPr>
            <w:tcW w:w="3775" w:type="dxa"/>
            <w:tcBorders>
              <w:top w:val="doub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start="0"/>
              <w:contextualSpacing w:val="false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ping de 192.168.53.10 a exterior</w:t>
            </w:r>
          </w:p>
        </w:tc>
        <w:tc>
          <w:tcPr>
            <w:tcW w:w="437" w:type="dxa"/>
            <w:tcBorders>
              <w:top w:val="double" w:sz="4" w:space="0" w:color="000000"/>
            </w:tcBorders>
            <w:shd w:color="auto" w:fill="auto" w:val="clear"/>
            <w:vAlign w:val="center"/>
          </w:tcPr>
          <w:sdt>
            <w:sdtPr>
              <w:id w:val="591585060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10348" w:type="dxa"/>
            <w:tcBorders>
              <w:top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Especificación: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1. Bloquear el tráfico desde la máquina 192.168.53.10 hacia el exterior a la organización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  10, g0/0, in, FW1, deny 192.168.53.10</w:t>
            </w:r>
          </w:p>
        </w:tc>
      </w:tr>
      <w:tr>
        <w:trPr>
          <w:cantSplit w:val="true"/>
        </w:trPr>
        <w:tc>
          <w:tcPr>
            <w:tcW w:w="3775" w:type="dxa"/>
            <w:tcBorders/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 w:val="false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ping  de 192.168.52.100 a 192.168.53.10</w:t>
            </w:r>
          </w:p>
        </w:tc>
        <w:tc>
          <w:tcPr>
            <w:tcW w:w="437" w:type="dxa"/>
            <w:tcBorders/>
            <w:shd w:color="auto" w:fill="auto" w:val="clear"/>
            <w:vAlign w:val="center"/>
          </w:tcPr>
          <w:sdt>
            <w:sdtPr>
              <w:id w:val="347229176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10348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 xml:space="preserve">Especificación: 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2. Bloquear el tráfico icmp desde la subred interna 1 hacia la máquina 192.168.53.10, pero no al contrario.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 110, fa1/0, FW2, deny icmp 192.168.52.100 0.0.0.0 192.168.53.10 0.0.0.0</w:t>
            </w:r>
          </w:p>
        </w:tc>
      </w:tr>
      <w:tr>
        <w:trPr>
          <w:cantSplit w:val="true"/>
        </w:trPr>
        <w:tc>
          <w:tcPr>
            <w:tcW w:w="3775" w:type="dxa"/>
            <w:tcBorders/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 w:val="false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ping  de 192.168.53.10 a 192.168.52.100</w:t>
            </w:r>
          </w:p>
        </w:tc>
        <w:tc>
          <w:tcPr>
            <w:tcW w:w="437" w:type="dxa"/>
            <w:tcBorders/>
            <w:shd w:color="auto" w:fill="auto" w:val="clear"/>
            <w:vAlign w:val="center"/>
          </w:tcPr>
          <w:sdt>
            <w:sdtPr>
              <w:id w:val="1731571423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10348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 xml:space="preserve">Especificación: 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2. Bloquear el tráfico icmp desde la subred interna 1 hacia la máquina 192.168.53.10, pero no al contrario.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 110, fa1/0, FW2, deny icmp 192.168.52.100 0.0.0.0 192.168.53.10 0.0.0.0</w:t>
            </w:r>
          </w:p>
        </w:tc>
      </w:tr>
      <w:tr>
        <w:trPr>
          <w:cantSplit w:val="true"/>
        </w:trPr>
        <w:tc>
          <w:tcPr>
            <w:tcW w:w="3775" w:type="dxa"/>
            <w:tcBorders/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 w:val="false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n-GB" w:eastAsia="en-US" w:bidi="ar-SA"/>
              </w:rPr>
              <w:t>ping de exterior a MySQL</w:t>
            </w:r>
          </w:p>
        </w:tc>
        <w:tc>
          <w:tcPr>
            <w:tcW w:w="437" w:type="dxa"/>
            <w:tcBorders/>
            <w:shd w:color="auto" w:fill="auto" w:val="clear"/>
            <w:vAlign w:val="center"/>
          </w:tcPr>
          <w:sdt>
            <w:sdtPr>
              <w:id w:val="-441074891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10348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 xml:space="preserve">Especificación: 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3. Bloquear el tráfico icmp dirigido al servidor MySQL desde el exterior de la organización, y viceversa.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 100, g1/0, in, FW2, deny icmp 200.200.200.0 0.0.0.255 192.168.52.2 0.0.0.0</w:t>
            </w:r>
          </w:p>
        </w:tc>
      </w:tr>
      <w:tr>
        <w:trPr>
          <w:cantSplit w:val="true"/>
        </w:trPr>
        <w:tc>
          <w:tcPr>
            <w:tcW w:w="3775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 w:val="false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n-GB" w:eastAsia="en-US" w:bidi="ar-SA"/>
              </w:rPr>
              <w:t>Ping de MySQL a exterior</w:t>
            </w:r>
          </w:p>
        </w:tc>
        <w:tc>
          <w:tcPr>
            <w:tcW w:w="437" w:type="dxa"/>
            <w:tcBorders/>
            <w:shd w:color="auto" w:fill="auto" w:val="clear"/>
            <w:vAlign w:val="center"/>
          </w:tcPr>
          <w:sdt>
            <w:sdtPr>
              <w:id w:val="1581404459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103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 xml:space="preserve">Especificación: 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3. Bloquear el tráfico icmp dirigido al servidor MySQL desde el exterior de la organización, y viceversa.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 100, fa9/0, in, FW2, deny icmp 192.168.52.2 0.0.0.0 200.200.200.0 0.0.0.255</w:t>
            </w:r>
          </w:p>
        </w:tc>
      </w:tr>
      <w:tr>
        <w:trPr>
          <w:cantSplit w:val="true"/>
        </w:trPr>
        <w:tc>
          <w:tcPr>
            <w:tcW w:w="3775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 w:val="false"/>
              <w:jc w:val="start"/>
              <w:rPr>
                <w:sz w:val="18"/>
                <w:lang w:val="en-GB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n-GB" w:eastAsia="en-US" w:bidi="ar-SA"/>
              </w:rPr>
              <w:t xml:space="preserve">http de </w:t>
            </w: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192.168.52.100 a exterior</w:t>
            </w:r>
          </w:p>
        </w:tc>
        <w:tc>
          <w:tcPr>
            <w:tcW w:w="437" w:type="dxa"/>
            <w:tcBorders/>
            <w:shd w:color="auto" w:fill="auto" w:val="clear"/>
            <w:vAlign w:val="center"/>
          </w:tcPr>
          <w:sdt>
            <w:sdtPr>
              <w:id w:val="-411242227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103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 xml:space="preserve">Especificación: 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4. Bloquear el tráfico http entre la subred interna 1 y el exterior de la organización, pero permitir https.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 100, g1/0, in, FW2, deny icmp 200.200.200.0 0.0.0.255 192.168.52.2 0.0.0.0 EQ 80</w:t>
            </w:r>
          </w:p>
        </w:tc>
      </w:tr>
      <w:tr>
        <w:trPr>
          <w:trHeight w:val="544" w:hRule="atLeast"/>
          <w:cantSplit w:val="true"/>
        </w:trPr>
        <w:tc>
          <w:tcPr>
            <w:tcW w:w="3775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 w:val="false"/>
              <w:jc w:val="start"/>
              <w:rPr>
                <w:sz w:val="18"/>
                <w:lang w:val="en-GB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n-GB" w:eastAsia="en-US" w:bidi="ar-SA"/>
              </w:rPr>
              <w:t xml:space="preserve">https de </w:t>
            </w: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192.168.52.100 a exterior</w:t>
            </w:r>
          </w:p>
        </w:tc>
        <w:tc>
          <w:tcPr>
            <w:tcW w:w="437" w:type="dxa"/>
            <w:tcBorders/>
            <w:shd w:color="auto" w:fill="auto" w:val="clear"/>
            <w:vAlign w:val="center"/>
          </w:tcPr>
          <w:sdt>
            <w:sdtPr>
              <w:id w:val="1993216664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x</w:t>
                </w:r>
              </w:p>
            </w:sdtContent>
          </w:sdt>
        </w:tc>
        <w:tc>
          <w:tcPr>
            <w:tcW w:w="103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 xml:space="preserve">Especificación: 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4. Bloquear el tráfico http entre la subred interna 1 y el exterior de la organización, pero permitir https.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strike w:val="false"/>
                <w:dstrike w:val="false"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</w:t>
            </w:r>
            <w:r>
              <w:rPr>
                <w:rFonts w:eastAsia="Calibri" w:cs=""/>
                <w:b/>
                <w:strike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"/>
                <w:b/>
                <w:strike w:val="false"/>
                <w:dstrike w:val="false"/>
                <w:color w:val="FF0000"/>
                <w:kern w:val="0"/>
                <w:sz w:val="18"/>
                <w:szCs w:val="22"/>
                <w:lang w:val="es-ES" w:eastAsia="en-US" w:bidi="ar-SA"/>
              </w:rPr>
              <w:t>192.168.52.100 → Switch3 → FW2 → Switch5 → FW1 → 200.200.200.0</w:t>
            </w:r>
          </w:p>
        </w:tc>
      </w:tr>
      <w:tr>
        <w:trPr>
          <w:cantSplit w:val="true"/>
        </w:trPr>
        <w:tc>
          <w:tcPr>
            <w:tcW w:w="3775" w:type="dxa"/>
            <w:tcBorders>
              <w:start w:val="dashed" w:sz="4" w:space="0" w:color="000000"/>
              <w:bottom w:val="double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37" w:type="dxa"/>
            <w:tcBorders>
              <w:start w:val="dashed" w:sz="4" w:space="0" w:color="000000"/>
              <w:bottom w:val="double" w:sz="4" w:space="0" w:color="000000"/>
              <w:end w:val="dashed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  <w:tc>
          <w:tcPr>
            <w:tcW w:w="10348" w:type="dxa"/>
            <w:tcBorders>
              <w:start w:val="dashed" w:sz="4" w:space="0" w:color="000000"/>
              <w:bottom w:val="double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strike/>
                <w:color w:val="FF0000"/>
                <w:sz w:val="18"/>
              </w:rPr>
            </w:pPr>
            <w:r>
              <w:rPr>
                <w:b/>
                <w:strike/>
                <w:color w:val="FF0000"/>
                <w:sz w:val="18"/>
              </w:rPr>
            </w:r>
          </w:p>
        </w:tc>
      </w:tr>
      <w:tr>
        <w:trPr>
          <w:cantSplit w:val="true"/>
        </w:trPr>
        <w:tc>
          <w:tcPr>
            <w:tcW w:w="3775" w:type="dxa"/>
            <w:tcBorders>
              <w:top w:val="doub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true"/>
              <w:spacing w:lineRule="auto" w:line="240" w:before="0" w:after="0"/>
              <w:ind w:hanging="0" w:start="0"/>
              <w:contextualSpacing w:val="false"/>
              <w:jc w:val="start"/>
              <w:rPr>
                <w:sz w:val="18"/>
                <w:lang w:val="en-GB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ping de 192.168.53.10 a Proxy</w:t>
            </w:r>
          </w:p>
        </w:tc>
        <w:tc>
          <w:tcPr>
            <w:tcW w:w="437" w:type="dxa"/>
            <w:tcBorders>
              <w:top w:val="double" w:sz="4" w:space="0" w:color="000000"/>
            </w:tcBorders>
            <w:shd w:color="auto" w:fill="auto" w:val="clear"/>
            <w:vAlign w:val="center"/>
          </w:tcPr>
          <w:sdt>
            <w:sdtPr>
              <w:id w:val="86052876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x</w:t>
                </w:r>
              </w:p>
            </w:sdtContent>
          </w:sdt>
        </w:tc>
        <w:tc>
          <w:tcPr>
            <w:tcW w:w="10348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 xml:space="preserve">Especificación: 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0. Política permisiva.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 192.168.53.10 → Switch0 → FW2 → Switch5 → Proxy</w:t>
            </w:r>
          </w:p>
        </w:tc>
      </w:tr>
      <w:tr>
        <w:trPr>
          <w:cantSplit w:val="true"/>
        </w:trPr>
        <w:tc>
          <w:tcPr>
            <w:tcW w:w="3775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true"/>
              <w:spacing w:lineRule="auto" w:line="240" w:before="0" w:after="0"/>
              <w:ind w:hanging="284" w:start="284"/>
              <w:contextualSpacing w:val="false"/>
              <w:jc w:val="start"/>
              <w:rPr>
                <w:sz w:val="18"/>
                <w:lang w:val="en-GB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ping de 192.168.53.10 a DHCP</w:t>
            </w:r>
          </w:p>
        </w:tc>
        <w:tc>
          <w:tcPr>
            <w:tcW w:w="437" w:type="dxa"/>
            <w:tcBorders/>
            <w:shd w:color="auto" w:fill="F2F2F2" w:themeFill="background1" w:themeFillShade="f2" w:val="clear"/>
            <w:vAlign w:val="center"/>
          </w:tcPr>
          <w:sdt>
            <w:sdtPr>
              <w:id w:val="-1978295963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10348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 xml:space="preserve">Especificación: 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2. Bloquear el tráfico icmp desde la subred interna 1 hacia la máquina 192.168.53.10, pero no al contrario.</w:t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 w:val="false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 110, fa1/0, FW2, deny icmp 192.168.52.100 0.0.0.0 192.168.53.10 0.0.0.0</w:t>
            </w:r>
          </w:p>
        </w:tc>
      </w:tr>
      <w:tr>
        <w:trPr>
          <w:cantSplit w:val="true"/>
        </w:trPr>
        <w:tc>
          <w:tcPr>
            <w:tcW w:w="3775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true"/>
              <w:spacing w:lineRule="auto" w:line="240" w:before="0" w:after="0"/>
              <w:ind w:hanging="284" w:start="284"/>
              <w:contextualSpacing w:val="false"/>
              <w:jc w:val="start"/>
              <w:rPr>
                <w:sz w:val="18"/>
                <w:lang w:val="en-GB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ping de 192.168.53.11 a exterior</w:t>
            </w:r>
          </w:p>
        </w:tc>
        <w:tc>
          <w:tcPr>
            <w:tcW w:w="437" w:type="dxa"/>
            <w:tcBorders/>
            <w:shd w:color="auto" w:fill="F2F2F2" w:themeFill="background1" w:themeFillShade="f2" w:val="clear"/>
            <w:vAlign w:val="center"/>
          </w:tcPr>
          <w:sdt>
            <w:sdtPr>
              <w:id w:val="-1568639642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n-GB" w:eastAsia="en-US" w:bidi="ar-SA"/>
                  </w:rPr>
                  <w:t>x</w:t>
                </w:r>
              </w:p>
            </w:sdtContent>
          </w:sdt>
        </w:tc>
        <w:tc>
          <w:tcPr>
            <w:tcW w:w="10348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 xml:space="preserve">Especificación: 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0. Política permisiva.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 192.168.53.11 → Switch0 → FW2 → Switch5 → FW1 → 200.200.200.0</w:t>
            </w:r>
          </w:p>
        </w:tc>
      </w:tr>
      <w:tr>
        <w:trPr>
          <w:cantSplit w:val="true"/>
        </w:trPr>
        <w:tc>
          <w:tcPr>
            <w:tcW w:w="3775" w:type="dxa"/>
            <w:tcBorders>
              <w:top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true"/>
              <w:spacing w:lineRule="auto" w:line="240" w:before="0" w:after="0"/>
              <w:ind w:hanging="284" w:start="284"/>
              <w:contextualSpacing w:val="false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ping de 192.168.52.101 a exterior</w:t>
            </w:r>
          </w:p>
        </w:tc>
        <w:tc>
          <w:tcPr>
            <w:tcW w:w="437" w:type="dxa"/>
            <w:tcBorders>
              <w:top w:val="nil"/>
            </w:tcBorders>
            <w:shd w:color="auto" w:fill="F2F2F2" w:themeFill="background1" w:themeFillShade="f2" w:val="clear"/>
            <w:vAlign w:val="center"/>
          </w:tcPr>
          <w:sdt>
            <w:sdtPr>
              <w:id w:val="1079019978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x</w:t>
                </w:r>
              </w:p>
            </w:sdtContent>
          </w:sdt>
        </w:tc>
        <w:tc>
          <w:tcPr>
            <w:tcW w:w="10348" w:type="dxa"/>
            <w:tcBorders>
              <w:top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 xml:space="preserve">Especificación: 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0. Política permisiva.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 192.168.52.101 → Switch3 → FW2 → Switch5 → FW1 → 200.200.200.0</w:t>
            </w:r>
          </w:p>
        </w:tc>
      </w:tr>
      <w:tr>
        <w:trPr>
          <w:cantSplit w:val="true"/>
        </w:trPr>
        <w:tc>
          <w:tcPr>
            <w:tcW w:w="3775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true"/>
              <w:spacing w:lineRule="auto" w:line="240" w:before="0" w:after="0"/>
              <w:ind w:hanging="284" w:start="284"/>
              <w:contextualSpacing w:val="false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Ping de 192.168.52.102 a 192.168.53.12</w:t>
            </w:r>
          </w:p>
        </w:tc>
        <w:tc>
          <w:tcPr>
            <w:tcW w:w="437" w:type="dxa"/>
            <w:tcBorders/>
            <w:shd w:color="auto" w:fill="F2F2F2" w:themeFill="background1" w:themeFillShade="f2" w:val="clear"/>
            <w:vAlign w:val="center"/>
          </w:tcPr>
          <w:sdt>
            <w:sdtPr>
              <w:id w:val="1676454688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x</w:t>
                </w:r>
              </w:p>
            </w:sdtContent>
          </w:sdt>
        </w:tc>
        <w:tc>
          <w:tcPr>
            <w:tcW w:w="10348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 xml:space="preserve">Especificación: 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0. Política permisiva.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 192.168.52.102 → Switch3 → FW2 → Switch0 → 192.168.53.12</w:t>
            </w:r>
          </w:p>
        </w:tc>
      </w:tr>
      <w:tr>
        <w:trPr>
          <w:cantSplit w:val="true"/>
        </w:trPr>
        <w:tc>
          <w:tcPr>
            <w:tcW w:w="3775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true"/>
              <w:spacing w:lineRule="auto" w:line="240" w:before="0" w:after="0"/>
              <w:ind w:hanging="284" w:start="284"/>
              <w:contextualSpacing w:val="false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Ping de 192.168.53.12 a 192.168.52.102</w:t>
            </w:r>
          </w:p>
        </w:tc>
        <w:tc>
          <w:tcPr>
            <w:tcW w:w="437" w:type="dxa"/>
            <w:tcBorders/>
            <w:shd w:color="auto" w:fill="F2F2F2" w:themeFill="background1" w:themeFillShade="f2" w:val="clear"/>
            <w:vAlign w:val="center"/>
          </w:tcPr>
          <w:sdt>
            <w:sdtPr>
              <w:id w:val="-1179497235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x</w:t>
                </w:r>
              </w:p>
            </w:sdtContent>
          </w:sdt>
        </w:tc>
        <w:tc>
          <w:tcPr>
            <w:tcW w:w="10348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 xml:space="preserve">Especificación: 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0. Política permisiva.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 192.168.53.12 → Switch0 → FW2 → Switch3 → 192.168.52.102</w:t>
            </w:r>
          </w:p>
        </w:tc>
      </w:tr>
      <w:tr>
        <w:trPr>
          <w:cantSplit w:val="true"/>
        </w:trPr>
        <w:tc>
          <w:tcPr>
            <w:tcW w:w="3775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true"/>
              <w:spacing w:lineRule="auto" w:line="240" w:before="0" w:after="0"/>
              <w:ind w:hanging="284" w:start="284"/>
              <w:contextualSpacing w:val="false"/>
              <w:jc w:val="start"/>
              <w:rPr>
                <w:sz w:val="18"/>
                <w:lang w:val="en-US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n-US" w:eastAsia="en-US" w:bidi="ar-SA"/>
              </w:rPr>
              <w:t xml:space="preserve">Ping de </w:t>
            </w:r>
            <w:r>
              <w:rPr>
                <w:rFonts w:eastAsia="Calibri" w:cs=""/>
                <w:kern w:val="0"/>
                <w:sz w:val="18"/>
                <w:szCs w:val="22"/>
                <w:lang w:val="en-GB" w:eastAsia="en-US" w:bidi="ar-SA"/>
              </w:rPr>
              <w:t>192.168.53.10 a getytec.es</w:t>
            </w:r>
          </w:p>
        </w:tc>
        <w:tc>
          <w:tcPr>
            <w:tcW w:w="437" w:type="dxa"/>
            <w:tcBorders/>
            <w:shd w:color="auto" w:fill="F2F2F2" w:themeFill="background1" w:themeFillShade="f2" w:val="clear"/>
            <w:vAlign w:val="center"/>
          </w:tcPr>
          <w:sdt>
            <w:sdtPr>
              <w:id w:val="376740548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x</w:t>
                </w:r>
              </w:p>
            </w:sdtContent>
          </w:sdt>
        </w:tc>
        <w:tc>
          <w:tcPr>
            <w:tcW w:w="10348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 xml:space="preserve">Especificación: 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0. Política permisiva.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 192.168.53.10 → Switch0 → FW2 → Switch5 → gestytec.es</w:t>
            </w:r>
          </w:p>
        </w:tc>
      </w:tr>
      <w:tr>
        <w:trPr>
          <w:cantSplit w:val="true"/>
        </w:trPr>
        <w:tc>
          <w:tcPr>
            <w:tcW w:w="3775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true"/>
              <w:spacing w:lineRule="auto" w:line="240" w:before="0" w:after="0"/>
              <w:ind w:hanging="284" w:start="284"/>
              <w:contextualSpacing w:val="false"/>
              <w:jc w:val="start"/>
              <w:rPr>
                <w:sz w:val="18"/>
                <w:lang w:val="en-GB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n-GB" w:eastAsia="en-US" w:bidi="ar-SA"/>
              </w:rPr>
              <w:t>http de 192.168.53.10 a exterior</w:t>
            </w:r>
          </w:p>
        </w:tc>
        <w:tc>
          <w:tcPr>
            <w:tcW w:w="437" w:type="dxa"/>
            <w:tcBorders/>
            <w:shd w:color="auto" w:fill="F2F2F2" w:themeFill="background1" w:themeFillShade="f2" w:val="clear"/>
            <w:vAlign w:val="center"/>
          </w:tcPr>
          <w:sdt>
            <w:sdtPr>
              <w:id w:val="1120418182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10348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 xml:space="preserve">Especificación: 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 1. Bloquear el tráfico desde la máquina 192.168.53.10 hacia el exterior a la organización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 10, g0/0, in, FW1, deny 192.168.53.10</w:t>
            </w:r>
          </w:p>
        </w:tc>
      </w:tr>
      <w:tr>
        <w:trPr>
          <w:cantSplit w:val="true"/>
        </w:trPr>
        <w:tc>
          <w:tcPr>
            <w:tcW w:w="3775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true"/>
              <w:spacing w:lineRule="auto" w:line="240" w:before="0" w:after="0"/>
              <w:ind w:hanging="284" w:start="284"/>
              <w:contextualSpacing w:val="false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http 192.168.53.11 a exterior</w:t>
            </w:r>
          </w:p>
        </w:tc>
        <w:tc>
          <w:tcPr>
            <w:tcW w:w="437" w:type="dxa"/>
            <w:tcBorders/>
            <w:shd w:color="auto" w:fill="F2F2F2" w:themeFill="background1" w:themeFillShade="f2" w:val="clear"/>
            <w:vAlign w:val="center"/>
          </w:tcPr>
          <w:sdt>
            <w:sdtPr>
              <w:id w:val="280853071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x</w:t>
                </w:r>
              </w:p>
            </w:sdtContent>
          </w:sdt>
        </w:tc>
        <w:tc>
          <w:tcPr>
            <w:tcW w:w="10348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 xml:space="preserve">Especificación: 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 0. Política permisiva.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 192.168.53.11 → Switch0 → FW2 → Switch5 → FW1 → 200.200.200.0</w:t>
            </w:r>
          </w:p>
        </w:tc>
      </w:tr>
      <w:tr>
        <w:trPr>
          <w:cantSplit w:val="true"/>
        </w:trPr>
        <w:tc>
          <w:tcPr>
            <w:tcW w:w="3775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true"/>
              <w:spacing w:lineRule="auto" w:line="240" w:before="0" w:after="0"/>
              <w:ind w:hanging="284" w:start="284"/>
              <w:contextualSpacing w:val="false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http de 192.168.52.102 a gestytec.es</w:t>
            </w:r>
          </w:p>
        </w:tc>
        <w:tc>
          <w:tcPr>
            <w:tcW w:w="437" w:type="dxa"/>
            <w:tcBorders/>
            <w:shd w:color="auto" w:fill="F2F2F2" w:themeFill="background1" w:themeFillShade="f2" w:val="clear"/>
            <w:vAlign w:val="center"/>
          </w:tcPr>
          <w:sdt>
            <w:sdtPr>
              <w:id w:val="-408004621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x</w:t>
                </w:r>
              </w:p>
            </w:sdtContent>
          </w:sdt>
        </w:tc>
        <w:tc>
          <w:tcPr>
            <w:tcW w:w="10348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 xml:space="preserve">Especificación: 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 0. Política permisiva.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 192.168.52.102 → Switch3 → FW2 → Switch5 → gestytec.es</w:t>
            </w:r>
          </w:p>
        </w:tc>
      </w:tr>
      <w:tr>
        <w:trPr>
          <w:trHeight w:val="537" w:hRule="atLeast"/>
          <w:cantSplit w:val="true"/>
        </w:trPr>
        <w:tc>
          <w:tcPr>
            <w:tcW w:w="3775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true"/>
              <w:spacing w:lineRule="auto" w:line="240" w:before="0" w:after="0"/>
              <w:ind w:hanging="284" w:start="284"/>
              <w:contextualSpacing w:val="false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http exterior a gestytec.es</w:t>
            </w:r>
          </w:p>
        </w:tc>
        <w:tc>
          <w:tcPr>
            <w:tcW w:w="437" w:type="dxa"/>
            <w:tcBorders/>
            <w:shd w:color="auto" w:fill="F2F2F2" w:themeFill="background1" w:themeFillShade="f2" w:val="clear"/>
            <w:vAlign w:val="center"/>
          </w:tcPr>
          <w:sdt>
            <w:sdtPr>
              <w:id w:val="-690215891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x</w:t>
                </w:r>
              </w:p>
            </w:sdtContent>
          </w:sdt>
        </w:tc>
        <w:tc>
          <w:tcPr>
            <w:tcW w:w="10348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 xml:space="preserve">Especificación: 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 xml:space="preserve">  0. Política permisiva.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  <w:sz w:val="18"/>
              </w:rPr>
            </w:pP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u w:val="single"/>
                <w:lang w:val="es-ES" w:eastAsia="en-US" w:bidi="ar-SA"/>
              </w:rPr>
              <w:t>Trayecto</w:t>
            </w:r>
            <w:r>
              <w:rPr>
                <w:rFonts w:eastAsia="Calibri" w:cs=""/>
                <w:b/>
                <w:color w:val="FF0000"/>
                <w:kern w:val="0"/>
                <w:sz w:val="18"/>
                <w:szCs w:val="22"/>
                <w:lang w:val="es-ES" w:eastAsia="en-US" w:bidi="ar-SA"/>
              </w:rPr>
              <w:t>: 200.200.200.0 → FW1 → Switch5 → 192.168.51.2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numPr>
          <w:ilvl w:val="1"/>
          <w:numId w:val="8"/>
        </w:numPr>
        <w:spacing w:before="0" w:after="0"/>
        <w:rPr/>
      </w:pPr>
      <w:r>
        <w:rPr/>
        <w:t xml:space="preserve">Evidencias. </w:t>
      </w:r>
      <w:r>
        <w:rPr>
          <w:rFonts w:eastAsia="Calibri" w:eastAsiaTheme="minorHAnsi"/>
        </w:rPr>
        <w:t>(Calificación: 1 punto)</w:t>
      </w:r>
    </w:p>
    <w:p>
      <w:pPr>
        <w:pStyle w:val="Normal"/>
        <w:spacing w:lineRule="auto" w:line="240" w:before="0" w:after="120"/>
        <w:jc w:val="both"/>
        <w:rPr>
          <w:sz w:val="18"/>
        </w:rPr>
      </w:pPr>
      <w:r>
        <w:rPr>
          <w:b/>
        </w:rPr>
        <w:t>Utilizando las funcionalidades de la pestaña “</w:t>
      </w:r>
      <w:r>
        <w:rPr>
          <w:b/>
          <w:i/>
        </w:rPr>
        <w:t>Desktop</w:t>
      </w:r>
      <w:r>
        <w:rPr>
          <w:b/>
        </w:rPr>
        <w:t>”,</w:t>
      </w:r>
      <w:r>
        <w:rPr/>
        <w:t xml:space="preserve"> elabora </w:t>
      </w:r>
      <w:r>
        <w:rPr>
          <w:rFonts w:cs="Segoe UI" w:ascii="Segoe UI" w:hAnsi="Segoe UI"/>
          <w:color w:val="495057"/>
          <w:shd w:fill="FFFFFF" w:val="clear"/>
        </w:rPr>
        <w:t xml:space="preserve">una composición gráfica que contenga </w:t>
      </w:r>
      <w:r>
        <w:rPr/>
        <w:t>sendas capturas de pantalla correspondientes a las pruebas 2 y 6. (</w:t>
      </w:r>
      <w:r>
        <w:rPr>
          <w:i/>
          <w:sz w:val="18"/>
        </w:rPr>
        <w:t>Ampliar lo necesario. Se valorará claridad</w:t>
      </w:r>
      <w:r>
        <w:rPr>
          <w:sz w:val="18"/>
        </w:rPr>
        <w:t>)</w:t>
      </w:r>
    </w:p>
    <w:tbl>
      <w:tblPr>
        <w:tblStyle w:val="Tablaconcuadrcula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704"/>
        <w:gridCol w:w="6866"/>
      </w:tblGrid>
      <w:tr>
        <w:trPr>
          <w:cantSplit w:val="true"/>
        </w:trPr>
        <w:tc>
          <w:tcPr>
            <w:tcW w:w="7704" w:type="dxa"/>
            <w:tcBorders>
              <w:bottom w:val="doub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es-ES" w:eastAsia="en-US" w:bidi="ar-SA"/>
              </w:rPr>
              <w:t xml:space="preserve">Prueba 2 </w:t>
            </w:r>
            <w:r>
              <w:rPr>
                <w:rFonts w:eastAsia="Calibri" w:cs=""/>
                <w:b/>
                <w:kern w:val="0"/>
                <w:sz w:val="18"/>
                <w:szCs w:val="22"/>
                <w:lang w:val="es-ES" w:eastAsia="en-US" w:bidi="ar-SA"/>
              </w:rPr>
              <w:t>ping de 192.168.52.100 a 192.168.53.10</w:t>
            </w:r>
          </w:p>
        </w:tc>
        <w:tc>
          <w:tcPr>
            <w:tcW w:w="6866" w:type="dxa"/>
            <w:tcBorders>
              <w:bottom w:val="doub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es-ES" w:eastAsia="en-US" w:bidi="ar-SA"/>
              </w:rPr>
              <w:t xml:space="preserve">Prueba 6 </w:t>
            </w:r>
            <w:r>
              <w:rPr>
                <w:rFonts w:eastAsia="Calibri" w:cs=""/>
                <w:b/>
                <w:kern w:val="0"/>
                <w:sz w:val="18"/>
                <w:szCs w:val="22"/>
                <w:lang w:val="es-ES" w:eastAsia="en-US" w:bidi="ar-SA"/>
              </w:rPr>
              <w:t>http de 192.168.52.100 a exterior</w:t>
            </w:r>
          </w:p>
        </w:tc>
      </w:tr>
      <w:tr>
        <w:trPr>
          <w:trHeight w:val="1134" w:hRule="atLeast"/>
          <w:cantSplit w:val="true"/>
        </w:trPr>
        <w:tc>
          <w:tcPr>
            <w:tcW w:w="7704" w:type="dxa"/>
            <w:tcBorders>
              <w:top w:val="double" w:sz="4" w:space="0" w:color="000000"/>
              <w:start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  <w: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754880" cy="287020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488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  <w:sz w:val="18"/>
              </w:rPr>
            </w:pPr>
            <w:r>
              <w:rPr>
                <w:i/>
                <w:sz w:val="1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  <w:sz w:val="18"/>
              </w:rPr>
            </w:pPr>
            <w:r>
              <w:rPr>
                <w:i/>
                <w:sz w:val="1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  <w:sz w:val="18"/>
              </w:rPr>
            </w:pPr>
            <w:r>
              <w:rPr>
                <w:i/>
                <w:sz w:val="1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  <w:sz w:val="18"/>
              </w:rPr>
            </w:pPr>
            <w:r>
              <w:rPr>
                <w:i/>
                <w:sz w:val="1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  <w:sz w:val="18"/>
              </w:rPr>
            </w:pPr>
            <w:r>
              <w:rPr>
                <w:i/>
                <w:sz w:val="1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  <w:sz w:val="18"/>
              </w:rPr>
            </w:pPr>
            <w:r>
              <w:rPr>
                <w:i/>
                <w:sz w:val="1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  <w:sz w:val="18"/>
              </w:rPr>
            </w:pPr>
            <w:r>
              <w:rPr>
                <w:i/>
                <w:sz w:val="1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  <w:sz w:val="18"/>
              </w:rPr>
            </w:pPr>
            <w:r>
              <w:rPr>
                <w:i/>
                <w:sz w:val="1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  <w:sz w:val="18"/>
              </w:rPr>
            </w:pPr>
            <w:r>
              <w:rPr>
                <w:i/>
                <w:sz w:val="1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  <w:sz w:val="18"/>
              </w:rPr>
            </w:pPr>
            <w:r>
              <w:rPr>
                <w:i/>
                <w:sz w:val="1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  <w:sz w:val="18"/>
              </w:rPr>
            </w:pPr>
            <w:r>
              <w:rPr>
                <w:i/>
                <w:sz w:val="18"/>
              </w:rPr>
            </w:r>
          </w:p>
        </w:tc>
        <w:tc>
          <w:tcPr>
            <w:tcW w:w="6866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  <w: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  <w:sz w:val="18"/>
              </w:rPr>
            </w:pPr>
            <w:r>
              <w:rPr>
                <w:i/>
                <w:sz w:val="18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265430</wp:posOffset>
                  </wp:positionH>
                  <wp:positionV relativeFrom="paragraph">
                    <wp:posOffset>50800</wp:posOffset>
                  </wp:positionV>
                  <wp:extent cx="3676650" cy="265557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2655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Heading2"/>
        <w:numPr>
          <w:ilvl w:val="1"/>
          <w:numId w:val="8"/>
        </w:numPr>
        <w:rPr/>
      </w:pPr>
      <w:r>
        <w:rPr/>
        <w:t>Análisis de contadores.</w:t>
      </w:r>
    </w:p>
    <w:p>
      <w:pPr>
        <w:pStyle w:val="Heading3"/>
        <w:numPr>
          <w:ilvl w:val="2"/>
          <w:numId w:val="8"/>
        </w:numPr>
        <w:rPr/>
      </w:pPr>
      <w:r>
        <w:rPr>
          <w:b/>
          <w:u w:val="single"/>
        </w:rPr>
        <w:t>Pon los contadores a cero</w:t>
      </w:r>
      <w:r>
        <w:rPr/>
        <w:t xml:space="preserve"> (</w:t>
      </w:r>
      <w:r>
        <w:rPr>
          <w:rFonts w:ascii="Consolas" w:hAnsi="Consolas"/>
          <w:sz w:val="20"/>
        </w:rPr>
        <w:t>clear access-list counters</w:t>
      </w:r>
      <w:r>
        <w:rPr/>
        <w:t xml:space="preserve">) para </w:t>
      </w:r>
      <w:r>
        <w:rPr>
          <w:b/>
        </w:rPr>
        <w:t>todas las ACL’s</w:t>
      </w:r>
      <w:r>
        <w:rPr/>
        <w:t xml:space="preserve"> y repite la </w:t>
      </w:r>
      <w:r>
        <w:rPr>
          <w:b/>
        </w:rPr>
        <w:t>prueba</w:t>
      </w:r>
      <w:r>
        <w:rPr/>
        <w:t xml:space="preserve"> </w:t>
      </w:r>
      <w:r>
        <w:rPr>
          <w:b/>
        </w:rPr>
        <w:t>5</w:t>
      </w:r>
      <w:r>
        <w:rPr/>
        <w:t xml:space="preserve"> (ping de mysql a exterior). </w:t>
      </w:r>
    </w:p>
    <w:p>
      <w:pPr>
        <w:pStyle w:val="Normal"/>
        <w:spacing w:lineRule="auto" w:line="240" w:before="0" w:after="120"/>
        <w:jc w:val="both"/>
        <w:rPr/>
      </w:pPr>
      <w:r>
        <w:rPr/>
        <w:t>Incluye una imagen que contenga capturas (</w:t>
      </w:r>
      <w:r>
        <w:rPr>
          <w:i/>
          <w:sz w:val="18"/>
        </w:rPr>
        <w:t>se valorará claridad</w:t>
      </w:r>
      <w:r>
        <w:rPr/>
        <w:t>) remarcando el estado de los contadores (</w:t>
      </w:r>
      <w:r>
        <w:rPr>
          <w:rFonts w:ascii="Consolas" w:hAnsi="Consolas"/>
          <w:sz w:val="18"/>
        </w:rPr>
        <w:t>show access-list</w:t>
      </w:r>
      <w:r>
        <w:rPr>
          <w:sz w:val="18"/>
        </w:rPr>
        <w:t xml:space="preserve"> </w:t>
      </w:r>
      <w:r>
        <w:rPr/>
        <w:t xml:space="preserve">) y </w:t>
      </w:r>
      <w:r>
        <w:rPr>
          <w:b/>
        </w:rPr>
        <w:t>justifica los resultados</w:t>
      </w:r>
      <w:r>
        <w:rPr/>
        <w:t>. Deberás indicar dónde (Firewall, interfaz) y en qué sentido (</w:t>
      </w:r>
      <w:r>
        <w:rPr>
          <w:i/>
        </w:rPr>
        <w:t>in / out</w:t>
      </w:r>
      <w:r>
        <w:rPr/>
        <w:t xml:space="preserve">) están aplicadas las ACL’s. </w:t>
      </w:r>
      <w:r>
        <w:rPr>
          <w:sz w:val="18"/>
          <w:szCs w:val="18"/>
        </w:rPr>
        <w:t>(</w:t>
      </w:r>
      <w:r>
        <w:rPr>
          <w:i/>
          <w:sz w:val="18"/>
          <w:szCs w:val="18"/>
        </w:rPr>
        <w:t>Calificación: 1 punto</w:t>
      </w:r>
      <w:r>
        <w:rPr>
          <w:sz w:val="18"/>
          <w:szCs w:val="18"/>
        </w:rPr>
        <w:t>).</w:t>
      </w:r>
    </w:p>
    <w:tbl>
      <w:tblPr>
        <w:tblStyle w:val="Tablaconcuadrcula"/>
        <w:tblW w:w="145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028"/>
        <w:gridCol w:w="6532"/>
      </w:tblGrid>
      <w:tr>
        <w:trPr/>
        <w:tc>
          <w:tcPr>
            <w:tcW w:w="8028" w:type="dxa"/>
            <w:tcBorders>
              <w:bottom w:val="doub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i/>
                <w:sz w:val="18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FW1</w:t>
            </w:r>
          </w:p>
        </w:tc>
        <w:tc>
          <w:tcPr>
            <w:tcW w:w="6532" w:type="dxa"/>
            <w:tcBorders>
              <w:bottom w:val="doub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FW2</w:t>
            </w:r>
          </w:p>
        </w:tc>
      </w:tr>
      <w:tr>
        <w:trPr/>
        <w:tc>
          <w:tcPr>
            <w:tcW w:w="8028" w:type="dxa"/>
            <w:tcBorders>
              <w:top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  <w: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  <w: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533900" cy="1362075"/>
                  <wp:effectExtent l="0" t="0" r="0" b="0"/>
                  <wp:wrapSquare wrapText="largest"/>
                  <wp:docPr id="3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1362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  <w: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r>
          </w:p>
        </w:tc>
        <w:tc>
          <w:tcPr>
            <w:tcW w:w="6532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strike/>
                <w:color w:val="FF0000"/>
                <w:sz w:val="18"/>
                <w:szCs w:val="20"/>
                <w:lang w:val="en-US"/>
              </w:rPr>
            </w:pPr>
            <w:r>
              <w:rPr>
                <w:rFonts w:ascii="Consolas" w:hAnsi="Consolas"/>
                <w:b/>
                <w:strike/>
                <w:color w:val="FF0000"/>
                <w:sz w:val="18"/>
                <w:szCs w:val="20"/>
                <w:lang w:val="en-US"/>
              </w:rP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010660" cy="1450340"/>
                  <wp:effectExtent l="0" t="0" r="0" b="0"/>
                  <wp:wrapSquare wrapText="largest"/>
                  <wp:docPr id="4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0660" cy="1450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240" w:before="240" w:after="0"/>
        <w:jc w:val="both"/>
        <w:rPr/>
      </w:pPr>
      <w:r>
        <w:rPr/>
        <w:t>Justificación de los resultados y modo de aplicación de las ACL</w:t>
      </w:r>
    </w:p>
    <w:tbl>
      <w:tblPr>
        <w:tblStyle w:val="Tablaconcuadrcul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570"/>
      </w:tblGrid>
      <w:tr>
        <w:trPr/>
        <w:tc>
          <w:tcPr>
            <w:tcW w:w="14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  <w: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strike w:val="false"/>
                <w:dstrike w:val="false"/>
                <w:color w:val="FF0000"/>
                <w:sz w:val="18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strike w:val="false"/>
                <w:dstrike w:val="false"/>
                <w:color w:val="FF0000"/>
                <w:sz w:val="18"/>
                <w:szCs w:val="20"/>
              </w:rPr>
              <w:t>El match de la entrada 10 del ACL 100 de FW2 cumple la política de seguridad del enunciado, bloquear el tráfico ICMP entre MySQL y exterior (y viceversa). Las ACLs 100 y 10 de FW1, se aplican a los puertos g1/0 (in) y g0/0 (in) respectivamente. En el caso de las ACLs de FW2, se aplican la 110 en fa1/0 (out) y la 100 en fa9/0 (in). Los matches de la política permisiva por defecto de FW1 pueden deberse a otros mensajes ICMP dirigidos a otros nodos de la red.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</w:tbl>
    <w:p>
      <w:pPr>
        <w:pStyle w:val="Heading3"/>
        <w:numPr>
          <w:ilvl w:val="2"/>
          <w:numId w:val="8"/>
        </w:numPr>
        <w:spacing w:lineRule="auto" w:line="240" w:before="240" w:after="0"/>
        <w:ind w:hanging="0" w:start="0"/>
        <w:rPr/>
      </w:pPr>
      <w:r>
        <w:rPr/>
        <w:t xml:space="preserve">Vuelve a poner los contadores a cero y repite el ejercicio anterior (captura y justificaciones), ahora después de realizar la </w:t>
      </w:r>
      <w:r>
        <w:rPr>
          <w:b/>
        </w:rPr>
        <w:t>prueba</w:t>
      </w:r>
      <w:r>
        <w:rPr/>
        <w:t xml:space="preserve"> </w:t>
      </w:r>
      <w:r>
        <w:rPr>
          <w:b/>
        </w:rPr>
        <w:t>56</w:t>
      </w:r>
      <w:r>
        <w:rPr/>
        <w:t xml:space="preserve"> (ping de 192.168.53.10 a getytec.es). </w:t>
      </w:r>
      <w:r>
        <w:rPr>
          <w:rFonts w:eastAsia="Calibri" w:cs="" w:ascii="Calibri" w:hAnsi="Calibri" w:asciiTheme="minorHAnsi" w:cstheme="minorBidi" w:eastAsiaTheme="minorHAnsi" w:hAnsiTheme="minorHAnsi"/>
          <w:i/>
          <w:color w:val="auto"/>
          <w:sz w:val="18"/>
          <w:szCs w:val="18"/>
        </w:rPr>
        <w:t>(Calificación: 1 punto).</w:t>
      </w:r>
    </w:p>
    <w:p>
      <w:pPr>
        <w:pStyle w:val="Normal"/>
        <w:spacing w:lineRule="auto" w:line="240" w:before="240" w:after="0"/>
        <w:ind w:hanging="0" w:start="0"/>
        <w:rPr>
          <w:rFonts w:ascii="Calibri" w:hAnsi="Calibri" w:eastAsia="Calibri" w:cs="" w:asciiTheme="minorHAnsi" w:cstheme="minorBidi" w:eastAsiaTheme="minorHAnsi" w:hAnsiTheme="minorHAnsi"/>
          <w:i/>
          <w:color w:val="auto"/>
          <w:sz w:val="18"/>
          <w:szCs w:val="18"/>
        </w:rPr>
      </w:pPr>
      <w:r>
        <w:rPr>
          <w:rFonts w:eastAsia="Calibri" w:cs="" w:cstheme="minorBidi" w:eastAsiaTheme="minorHAnsi"/>
          <w:i/>
          <w:color w:val="auto"/>
          <w:sz w:val="18"/>
          <w:szCs w:val="18"/>
        </w:rPr>
      </w:r>
    </w:p>
    <w:p>
      <w:pPr>
        <w:pStyle w:val="Normal"/>
        <w:spacing w:lineRule="auto" w:line="240" w:before="240" w:after="0"/>
        <w:ind w:hanging="0" w:start="0"/>
        <w:rPr>
          <w:rFonts w:ascii="Calibri" w:hAnsi="Calibri" w:eastAsia="Calibri" w:cs="" w:asciiTheme="minorHAnsi" w:cstheme="minorBidi" w:eastAsiaTheme="minorHAnsi" w:hAnsiTheme="minorHAnsi"/>
          <w:i/>
          <w:color w:val="auto"/>
          <w:sz w:val="18"/>
          <w:szCs w:val="18"/>
        </w:rPr>
      </w:pPr>
      <w:r>
        <w:rPr>
          <w:rFonts w:eastAsia="Calibri" w:cs="" w:cstheme="minorBidi" w:eastAsiaTheme="minorHAnsi"/>
          <w:i/>
          <w:color w:val="auto"/>
          <w:sz w:val="18"/>
          <w:szCs w:val="18"/>
        </w:rPr>
      </w:r>
    </w:p>
    <w:p>
      <w:pPr>
        <w:pStyle w:val="Normal"/>
        <w:spacing w:lineRule="auto" w:line="240" w:before="240" w:after="0"/>
        <w:ind w:hanging="0" w:start="0"/>
        <w:rPr>
          <w:rFonts w:ascii="Calibri" w:hAnsi="Calibri" w:eastAsia="Calibri" w:cs="" w:asciiTheme="minorHAnsi" w:cstheme="minorBidi" w:eastAsiaTheme="minorHAnsi" w:hAnsiTheme="minorHAnsi"/>
          <w:i/>
          <w:color w:val="auto"/>
          <w:sz w:val="18"/>
          <w:szCs w:val="18"/>
        </w:rPr>
      </w:pPr>
      <w:r>
        <w:rPr>
          <w:rFonts w:eastAsia="Calibri" w:cs="" w:cstheme="minorBidi" w:eastAsiaTheme="minorHAnsi"/>
          <w:i/>
          <w:color w:val="auto"/>
          <w:sz w:val="18"/>
          <w:szCs w:val="18"/>
        </w:rPr>
      </w:r>
    </w:p>
    <w:p>
      <w:pPr>
        <w:pStyle w:val="Normal"/>
        <w:spacing w:lineRule="auto" w:line="240" w:before="240" w:after="0"/>
        <w:ind w:hanging="0" w:start="0"/>
        <w:rPr>
          <w:rFonts w:ascii="Calibri" w:hAnsi="Calibri" w:eastAsia="Calibri" w:cs="" w:asciiTheme="minorHAnsi" w:cstheme="minorBidi" w:eastAsiaTheme="minorHAnsi" w:hAnsiTheme="minorHAnsi"/>
          <w:i/>
          <w:color w:val="auto"/>
          <w:sz w:val="18"/>
          <w:szCs w:val="18"/>
        </w:rPr>
      </w:pPr>
      <w:r>
        <w:rPr>
          <w:rFonts w:eastAsia="Calibri" w:cs="" w:cstheme="minorBidi" w:eastAsiaTheme="minorHAnsi"/>
          <w:i/>
          <w:color w:val="auto"/>
          <w:sz w:val="18"/>
          <w:szCs w:val="18"/>
        </w:rPr>
      </w:r>
    </w:p>
    <w:p>
      <w:pPr>
        <w:pStyle w:val="Normal"/>
        <w:spacing w:lineRule="auto" w:line="240" w:before="240" w:after="0"/>
        <w:ind w:hanging="0" w:start="0"/>
        <w:rPr>
          <w:rFonts w:ascii="Calibri" w:hAnsi="Calibri" w:eastAsia="Calibri" w:cs="" w:asciiTheme="minorHAnsi" w:cstheme="minorBidi" w:eastAsiaTheme="minorHAnsi" w:hAnsiTheme="minorHAnsi"/>
          <w:i/>
          <w:color w:val="auto"/>
          <w:sz w:val="18"/>
          <w:szCs w:val="18"/>
        </w:rPr>
      </w:pPr>
      <w:r>
        <w:rPr>
          <w:rFonts w:eastAsia="Calibri" w:cs="" w:cstheme="minorBidi" w:eastAsiaTheme="minorHAnsi"/>
          <w:i/>
          <w:color w:val="auto"/>
          <w:sz w:val="18"/>
          <w:szCs w:val="18"/>
        </w:rPr>
      </w:r>
    </w:p>
    <w:tbl>
      <w:tblPr>
        <w:tblStyle w:val="Tablaconcuadrcul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895"/>
        <w:gridCol w:w="6675"/>
      </w:tblGrid>
      <w:tr>
        <w:trPr/>
        <w:tc>
          <w:tcPr>
            <w:tcW w:w="7895" w:type="dxa"/>
            <w:tcBorders>
              <w:bottom w:val="doub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i/>
                <w:sz w:val="18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FW1</w:t>
            </w:r>
          </w:p>
        </w:tc>
        <w:tc>
          <w:tcPr>
            <w:tcW w:w="6675" w:type="dxa"/>
            <w:tcBorders>
              <w:bottom w:val="doub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FW2</w:t>
            </w:r>
          </w:p>
        </w:tc>
      </w:tr>
      <w:tr>
        <w:trPr>
          <w:trHeight w:val="2690" w:hRule="atLeast"/>
        </w:trPr>
        <w:tc>
          <w:tcPr>
            <w:tcW w:w="7895" w:type="dxa"/>
            <w:tcBorders>
              <w:top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strike/>
                <w:color w:val="FF0000"/>
                <w:sz w:val="18"/>
                <w:szCs w:val="20"/>
                <w:lang w:val="en-US"/>
              </w:rPr>
            </w:pPr>
            <w:r>
              <w:rPr>
                <w:rFonts w:ascii="Consolas" w:hAnsi="Consolas"/>
                <w:b/>
                <w:strike/>
                <w:color w:val="FF0000"/>
                <w:sz w:val="18"/>
                <w:szCs w:val="20"/>
                <w:lang w:val="en-US"/>
              </w:rPr>
              <w:drawing>
                <wp:anchor behindDoc="0" distT="0" distB="0" distL="0" distR="0" simplePos="0" locked="0" layoutInCell="1" allowOverlap="1" relativeHeight="7">
                  <wp:simplePos x="0" y="0"/>
                  <wp:positionH relativeFrom="column">
                    <wp:posOffset>272415</wp:posOffset>
                  </wp:positionH>
                  <wp:positionV relativeFrom="paragraph">
                    <wp:posOffset>116205</wp:posOffset>
                  </wp:positionV>
                  <wp:extent cx="4457700" cy="1609725"/>
                  <wp:effectExtent l="0" t="0" r="0" b="0"/>
                  <wp:wrapSquare wrapText="largest"/>
                  <wp:docPr id="5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1609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strike/>
                <w:color w:val="FF0000"/>
                <w:sz w:val="18"/>
                <w:szCs w:val="20"/>
                <w:lang w:val="en-US"/>
              </w:rPr>
            </w:pPr>
            <w:r>
              <w:rPr>
                <w:rFonts w:ascii="Consolas" w:hAnsi="Consolas"/>
                <w:b/>
                <w:strike/>
                <w:color w:val="FF0000"/>
                <w:sz w:val="18"/>
                <w:szCs w:val="20"/>
                <w:lang w:val="en-US"/>
              </w:rPr>
            </w:r>
          </w:p>
        </w:tc>
        <w:tc>
          <w:tcPr>
            <w:tcW w:w="6675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color w:val="FF0000"/>
                <w:sz w:val="18"/>
                <w:szCs w:val="20"/>
                <w:lang w:val="en-US"/>
              </w:rPr>
            </w:pPr>
            <w:r>
              <w:rPr>
                <w:rFonts w:ascii="Consolas" w:hAnsi="Consolas"/>
                <w:b/>
                <w:color w:val="FF0000"/>
                <w:sz w:val="18"/>
                <w:szCs w:val="20"/>
                <w:lang w:val="en-US"/>
              </w:rPr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79375</wp:posOffset>
                  </wp:positionV>
                  <wp:extent cx="4101465" cy="1584960"/>
                  <wp:effectExtent l="0" t="0" r="0" b="0"/>
                  <wp:wrapSquare wrapText="largest"/>
                  <wp:docPr id="6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1465" cy="1584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240" w:before="240" w:after="0"/>
        <w:jc w:val="both"/>
        <w:rPr/>
      </w:pPr>
      <w:r>
        <w:rPr/>
        <w:t>Justificación de los resultados y modo de aplicación de las ACL</w:t>
      </w:r>
    </w:p>
    <w:tbl>
      <w:tblPr>
        <w:tblStyle w:val="Tablaconcuadrcul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570"/>
      </w:tblGrid>
      <w:tr>
        <w:trPr/>
        <w:tc>
          <w:tcPr>
            <w:tcW w:w="14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  <w: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strike w:val="false"/>
                <w:dstrike w:val="false"/>
                <w:color w:val="FF0000"/>
                <w:sz w:val="18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strike w:val="false"/>
                <w:dstrike w:val="false"/>
                <w:color w:val="FF0000"/>
                <w:sz w:val="18"/>
                <w:szCs w:val="20"/>
              </w:rPr>
              <w:t>Al no encajar en ninguna de las políticas de restricción, el tráfico en FW2 pasa por defecto a la entrada permisiva (20) de la ACL 110. Las ACLs 100 y 10 de FW1, se aplican a los puertos g1/0 (in) y g0/0 (in) respectivamente. En el caso de las ACLs de FW2, se aplican la 110 en fa1/0 (out) y la 100 en fa9/0 (in).</w:t>
            </w:r>
          </w:p>
          <w:p>
            <w:pPr>
              <w:pStyle w:val="Normal"/>
              <w:widowControl/>
              <w:suppressAutoHyphens w:val="true"/>
              <w:spacing w:lineRule="auto" w:line="240" w:before="12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8"/>
        </w:numPr>
        <w:spacing w:lineRule="auto" w:line="240" w:before="0" w:after="0"/>
        <w:rPr/>
      </w:pPr>
      <w:bookmarkStart w:id="0" w:name="_GoBack"/>
      <w:bookmarkEnd w:id="0"/>
      <w:r>
        <w:rPr>
          <w:i/>
        </w:rPr>
        <w:t>Kali Linux</w:t>
      </w:r>
      <w:r>
        <w:rPr/>
        <w:t xml:space="preserve"> </w:t>
      </w:r>
      <w:r>
        <w:rPr>
          <w:rFonts w:cs="Calibri" w:ascii="Calibri" w:hAnsi="Calibri" w:asciiTheme="minorHAnsi" w:cstheme="minorHAnsi" w:hAnsiTheme="minorHAnsi"/>
          <w:i/>
          <w:color w:val="auto"/>
          <w:sz w:val="18"/>
          <w:szCs w:val="18"/>
        </w:rPr>
        <w:t>(Calificación 10 puntos)</w:t>
      </w:r>
    </w:p>
    <w:p>
      <w:pPr>
        <w:pStyle w:val="Heading2"/>
        <w:numPr>
          <w:ilvl w:val="1"/>
          <w:numId w:val="8"/>
        </w:numPr>
        <w:rPr/>
      </w:pPr>
      <w:r>
        <w:rPr/>
        <w:t>Situación de partida. (</w:t>
      </w:r>
      <w:r>
        <w:rPr>
          <w:rFonts w:cs="Calibri" w:ascii="Calibri" w:hAnsi="Calibri" w:asciiTheme="minorHAnsi" w:cstheme="minorHAnsi" w:hAnsiTheme="minorHAnsi"/>
          <w:i/>
          <w:color w:val="auto"/>
          <w:sz w:val="18"/>
          <w:szCs w:val="18"/>
        </w:rPr>
        <w:t>Calificación 1,5 puntos)</w:t>
      </w:r>
      <w:r>
        <w:rPr/>
        <w:t>.</w:t>
      </w:r>
    </w:p>
    <w:p>
      <w:pPr>
        <w:pStyle w:val="Normal"/>
        <w:tabs>
          <w:tab w:val="clear" w:pos="284"/>
          <w:tab w:val="left" w:pos="3828" w:leader="none"/>
        </w:tabs>
        <w:spacing w:lineRule="auto" w:line="240" w:before="0" w:after="0"/>
        <w:jc w:val="both"/>
        <w:rPr/>
      </w:pPr>
      <w:r>
        <w:rPr>
          <w:b/>
          <w:color w:val="FF0000"/>
        </w:rPr>
        <w:t>Activa el “</w:t>
      </w:r>
      <w:r>
        <w:rPr>
          <w:b/>
          <w:i/>
          <w:color w:val="FF0000"/>
        </w:rPr>
        <w:t>forwarding”</w:t>
      </w:r>
      <w:r>
        <w:rPr/>
        <w:t xml:space="preserve"> y elabora una composición gráfica (</w:t>
      </w:r>
      <w:r>
        <w:rPr>
          <w:i/>
          <w:sz w:val="18"/>
        </w:rPr>
        <w:t>se valorará claridad</w:t>
      </w:r>
      <w:r>
        <w:rPr/>
        <w:t>) en donde se muestren los resultados de ejecutar:</w:t>
      </w:r>
    </w:p>
    <w:tbl>
      <w:tblPr>
        <w:tblStyle w:val="Tablaconcuadrcula"/>
        <w:tblW w:w="145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66"/>
        <w:gridCol w:w="5131"/>
        <w:gridCol w:w="4763"/>
      </w:tblGrid>
      <w:tr>
        <w:trPr/>
        <w:tc>
          <w:tcPr>
            <w:tcW w:w="4666" w:type="dxa"/>
            <w:tcBorders>
              <w:bottom w:val="doub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tabs>
                <w:tab w:val="clear" w:pos="284"/>
                <w:tab w:val="left" w:pos="3828" w:leader="none"/>
              </w:tabs>
              <w:suppressAutoHyphens w:val="true"/>
              <w:spacing w:lineRule="auto" w:line="240" w:before="0" w:after="120"/>
              <w:jc w:val="center"/>
              <w:rPr>
                <w:b/>
                <w:lang w:val="en-US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n-US" w:eastAsia="en-US" w:bidi="ar-SA"/>
              </w:rPr>
              <w:t>Ping desde Windows 10 a XP</w:t>
            </w:r>
          </w:p>
        </w:tc>
        <w:tc>
          <w:tcPr>
            <w:tcW w:w="5131" w:type="dxa"/>
            <w:tcBorders>
              <w:bottom w:val="doub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tabs>
                <w:tab w:val="clear" w:pos="284"/>
                <w:tab w:val="left" w:pos="3828" w:leader="none"/>
              </w:tabs>
              <w:suppressAutoHyphens w:val="true"/>
              <w:spacing w:lineRule="auto" w:line="240" w:before="0" w:after="120"/>
              <w:jc w:val="center"/>
              <w:rPr>
                <w:b/>
                <w:lang w:val="en-US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n-US" w:eastAsia="en-US" w:bidi="ar-SA"/>
              </w:rPr>
              <w:t>Ping desde XP a Windows 10</w:t>
            </w:r>
          </w:p>
        </w:tc>
        <w:tc>
          <w:tcPr>
            <w:tcW w:w="4763" w:type="dxa"/>
            <w:tcBorders>
              <w:bottom w:val="doub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tabs>
                <w:tab w:val="clear" w:pos="284"/>
                <w:tab w:val="left" w:pos="3828" w:leader="none"/>
              </w:tabs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 xml:space="preserve">Acceso desde XP a la página web </w:t>
            </w:r>
            <w:r>
              <w:rPr>
                <w:rFonts w:eastAsia="Calibri" w:cs=""/>
                <w:b/>
                <w:i/>
                <w:kern w:val="0"/>
                <w:sz w:val="22"/>
                <w:szCs w:val="22"/>
                <w:lang w:val="es-ES" w:eastAsia="en-US" w:bidi="ar-SA"/>
              </w:rPr>
              <w:t>saludos.html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.</w:t>
            </w:r>
          </w:p>
          <w:p>
            <w:pPr>
              <w:pStyle w:val="Normal"/>
              <w:widowControl/>
              <w:tabs>
                <w:tab w:val="clear" w:pos="284"/>
                <w:tab w:val="left" w:pos="3828" w:leader="none"/>
              </w:tabs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bCs/>
                <w:color w:val="FF0000"/>
                <w:kern w:val="0"/>
                <w:sz w:val="14"/>
                <w:szCs w:val="22"/>
                <w:lang w:val="es-ES" w:eastAsia="en-US" w:bidi="ar-SA"/>
              </w:rPr>
              <w:t>Esta página deberá aparecer personalizada con, al menos, tu nombre</w:t>
            </w:r>
          </w:p>
        </w:tc>
      </w:tr>
      <w:tr>
        <w:trPr/>
        <w:tc>
          <w:tcPr>
            <w:tcW w:w="4666" w:type="dxa"/>
            <w:tcBorders>
              <w:top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  <w: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  <w: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  <w:drawing>
                <wp:anchor behindDoc="0" distT="0" distB="0" distL="0" distR="0" simplePos="0" locked="0" layoutInCell="1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825750" cy="1754505"/>
                  <wp:effectExtent l="0" t="0" r="0" b="0"/>
                  <wp:wrapSquare wrapText="largest"/>
                  <wp:docPr id="7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5750" cy="1754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31" w:type="dxa"/>
            <w:tcBorders>
              <w:top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  <w: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  <w:drawing>
                <wp:anchor behindDoc="0" distT="0" distB="0" distL="0" distR="0" simplePos="0" locked="0" layoutInCell="1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121025" cy="1646555"/>
                  <wp:effectExtent l="0" t="0" r="0" b="0"/>
                  <wp:wrapSquare wrapText="largest"/>
                  <wp:docPr id="8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1025" cy="1646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63" w:type="dxa"/>
            <w:tcBorders>
              <w:top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  <w:r>
              <w:rPr/>
              <w:drawing>
                <wp:anchor behindDoc="0" distT="0" distB="0" distL="0" distR="0" simplePos="0" locked="0" layoutInCell="1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887345" cy="1582420"/>
                  <wp:effectExtent l="0" t="0" r="0" b="0"/>
                  <wp:wrapSquare wrapText="largest"/>
                  <wp:docPr id="9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7345" cy="15824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Heading2"/>
        <w:numPr>
          <w:ilvl w:val="1"/>
          <w:numId w:val="8"/>
        </w:numPr>
        <w:rPr/>
      </w:pPr>
      <w:r>
        <w:rPr/>
        <w:t xml:space="preserve">Script y administración remota. </w:t>
      </w:r>
      <w:r>
        <w:rPr>
          <w:rFonts w:cs="Calibri" w:ascii="Calibri" w:hAnsi="Calibri" w:asciiTheme="minorHAnsi" w:cstheme="minorHAnsi" w:hAnsiTheme="minorHAnsi"/>
          <w:color w:val="auto"/>
          <w:sz w:val="18"/>
          <w:szCs w:val="18"/>
        </w:rPr>
        <w:t>(Calificación 5 puntos)</w:t>
      </w:r>
      <w:r>
        <w:rPr>
          <w:rFonts w:cs="Calibri" w:cstheme="minorHAnsi"/>
          <w:sz w:val="18"/>
          <w:szCs w:val="18"/>
        </w:rPr>
        <w:t>.</w:t>
      </w:r>
    </w:p>
    <w:p>
      <w:pPr>
        <w:pStyle w:val="Normal"/>
        <w:tabs>
          <w:tab w:val="clear" w:pos="284"/>
          <w:tab w:val="left" w:pos="3828" w:leader="none"/>
        </w:tabs>
        <w:spacing w:lineRule="auto" w:line="240" w:before="0" w:after="120"/>
        <w:jc w:val="both"/>
        <w:rPr>
          <w:b/>
        </w:rPr>
      </w:pPr>
      <w:r>
        <w:rPr/>
        <w:t xml:space="preserve">Inserta el contenido del fichero con el </w:t>
      </w:r>
      <w:r>
        <w:rPr>
          <w:i/>
        </w:rPr>
        <w:t>script</w:t>
      </w:r>
      <w:r>
        <w:rPr/>
        <w:t xml:space="preserve"> [</w:t>
      </w:r>
      <w:r>
        <w:rPr>
          <w:b/>
          <w:color w:val="FF0000"/>
          <w:u w:val="single"/>
        </w:rPr>
        <w:t>incluyendo comentarios explicativos</w:t>
      </w:r>
      <w:r>
        <w:rPr/>
        <w:t xml:space="preserve">] correspondiente a la política de seguridad especificada en la guía de la actividad. </w:t>
      </w:r>
      <w:r>
        <w:br w:type="page"/>
      </w:r>
    </w:p>
    <w:p>
      <w:pPr>
        <w:pStyle w:val="Normal"/>
        <w:tabs>
          <w:tab w:val="clear" w:pos="284"/>
          <w:tab w:val="left" w:pos="3828" w:leader="none"/>
        </w:tabs>
        <w:spacing w:lineRule="auto" w:line="240" w:before="0" w:after="120"/>
        <w:jc w:val="both"/>
        <w:rPr>
          <w:b/>
        </w:rPr>
      </w:pPr>
      <w:r>
        <w:rPr>
          <w:b/>
        </w:rPr>
      </w:r>
    </w:p>
    <w:p>
      <w:pPr>
        <w:pStyle w:val="Heading3"/>
        <w:numPr>
          <w:ilvl w:val="2"/>
          <w:numId w:val="8"/>
        </w:numPr>
        <w:rPr/>
      </w:pPr>
      <w:r>
        <w:rPr/>
        <w:t xml:space="preserve">Script. </w:t>
      </w:r>
      <w:r>
        <w:rPr>
          <w:rFonts w:cs="Calibri" w:ascii="Calibri" w:hAnsi="Calibri" w:asciiTheme="minorHAnsi" w:cstheme="minorHAnsi" w:hAnsiTheme="minorHAnsi"/>
          <w:i/>
          <w:color w:val="auto"/>
          <w:sz w:val="18"/>
          <w:szCs w:val="18"/>
        </w:rPr>
        <w:t>(Calificación: 1 punto).</w:t>
      </w:r>
    </w:p>
    <w:tbl>
      <w:tblPr>
        <w:tblStyle w:val="Tablaconcuadrcula"/>
        <w:tblW w:w="145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560"/>
      </w:tblGrid>
      <w:tr>
        <w:trPr/>
        <w:tc>
          <w:tcPr>
            <w:tcW w:w="14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#!/bin/bash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echo 1 &gt; /proc/sys/net/ipv4/ip_forward # Habilitar forwarding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# Limpiar tablas y contadores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iptables -F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iptables -Z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# Política restrictiva default. Denegamos trafico entrante y saliente de Kali, así como el enrutado a través de Kali.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iptables -P INPUT DROP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iptables -P OUTPUT DROP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iptables -P FORWARD DROP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# Permitimos el echo-request entrante a Kali desde DMZ y el echo-reply saliente a DMZ (desde Kali).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iptables -A INPUT -p icmp --icmp-type echo-request -s 192.168.56.0/24 -j ACCEPT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iptables -A OUTPUT -p icmp --icmp-type echo-reply -d 192.168.56.0/24 -j ACCEPT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# Permitimos tráfico enrutado (debido a que son origen y destino diferentes a Kali) de echo-request de LAN → DMZ, y echo-reply de DMZ → LAN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iptables -A FORWARD -p icmp --icmp-type echo-request -s 192.168.57.0/24 -d 192.168.56.0/24 -j ACCEPT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iptables -A FORWARD -p icmp --icmp-type echo-reply -s 192.168.56.0/24 -d 192.168.57.0/24 -j ACCEPT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# Permitimos tráfico enrutado de paquetes TCP de origen DMZ:80 a destino LAN, así como las respuestas del cliente.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iptables -A FORWARD -p tcp -s 192.168.56.10/24 --sport 80 -d 192.168.57.0/24 -j ACCEPT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  <w:r>
              <w:rPr>
                <w:rFonts w:ascii="Consolas" w:hAnsi="Consolas"/>
                <w:color w:val="FF0000"/>
                <w:sz w:val="18"/>
                <w:lang w:val="en-US"/>
              </w:rPr>
              <w:t>iptables -A FORWARD -p tcp -s 192.168.57.0/24 -d 192.168.56.10/24 --dport 80 -j ACCEPT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sz w:val="18"/>
                <w:lang w:val="en-US"/>
              </w:rPr>
            </w:pPr>
            <w:r>
              <w:rPr>
                <w:rFonts w:ascii="Consolas" w:hAnsi="Consolas"/>
                <w:sz w:val="18"/>
                <w:lang w:val="en-US"/>
              </w:rPr>
            </w:r>
          </w:p>
        </w:tc>
      </w:tr>
    </w:tbl>
    <w:p>
      <w:pPr>
        <w:pStyle w:val="Heading3"/>
        <w:keepLines/>
        <w:widowControl/>
        <w:numPr>
          <w:ilvl w:val="0"/>
          <w:numId w:val="0"/>
        </w:numPr>
        <w:suppressAutoHyphens w:val="true"/>
        <w:spacing w:lineRule="auto" w:line="240" w:before="120" w:after="0"/>
        <w:ind w:hanging="0" w:start="0"/>
        <w:jc w:val="start"/>
        <w:rPr/>
      </w:pPr>
      <w:r>
        <w:rPr/>
      </w:r>
      <w:r>
        <w:br w:type="page"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 w:before="0" w:after="0"/>
        <w:ind w:hanging="0" w:start="0"/>
        <w:jc w:val="start"/>
        <w:outlineLvl w:val="2"/>
        <w:rPr/>
      </w:pPr>
      <w:r>
        <w:rPr/>
      </w:r>
    </w:p>
    <w:p>
      <w:pPr>
        <w:pStyle w:val="Heading3"/>
        <w:numPr>
          <w:ilvl w:val="2"/>
          <w:numId w:val="8"/>
        </w:numPr>
        <w:spacing w:lineRule="auto" w:line="240" w:before="120" w:after="0"/>
        <w:rPr/>
      </w:pPr>
      <w:r>
        <w:rPr/>
        <w:t xml:space="preserve"> </w:t>
      </w:r>
      <w:r>
        <w:rPr/>
        <w:t xml:space="preserve">Inicia el servicio SSH, ejecuta el </w:t>
      </w:r>
      <w:r>
        <w:rPr>
          <w:i/>
        </w:rPr>
        <w:t>script</w:t>
      </w:r>
      <w:r>
        <w:rPr/>
        <w:t xml:space="preserve"> y realiza el siguiente plan de pruebas </w:t>
      </w:r>
      <w:r>
        <w:rPr>
          <w:sz w:val="16"/>
        </w:rPr>
        <w:t>(Marcar (</w:t>
      </w:r>
      <w:sdt>
        <w:sdtPr>
          <w:id w:val="-550071822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sz w:val="16"/>
            </w:rPr>
          </w:r>
          <w:r>
            <w:rPr>
              <w:rFonts w:eastAsia="MS Gothic" w:hint="eastAsia" w:ascii="MS Gothic" w:hAnsi="MS Gothic"/>
              <w:sz w:val="16"/>
            </w:rPr>
            <w:t>☒</w:t>
          </w:r>
        </w:sdtContent>
      </w:sdt>
      <w:r>
        <w:rPr>
          <w:sz w:val="16"/>
        </w:rPr>
        <w:t>) cuando exista conectividad)</w:t>
      </w:r>
      <w:r>
        <w:rPr/>
        <w:t>.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ind w:hanging="284" w:start="284"/>
        <w:contextualSpacing w:val="false"/>
        <w:rPr>
          <w:rFonts w:eastAsia="Times New Roman" w:cs="Calibri" w:cstheme="minorHAnsi"/>
          <w:sz w:val="14"/>
          <w:szCs w:val="24"/>
          <w:lang w:eastAsia="es-ES"/>
        </w:rPr>
      </w:pPr>
      <w:r>
        <w:rPr>
          <w:rFonts w:eastAsia="Times New Roman" w:cs="Calibri" w:cstheme="minorHAnsi"/>
          <w:sz w:val="14"/>
          <w:szCs w:val="24"/>
          <w:lang w:eastAsia="es-ES"/>
        </w:rPr>
        <w:t xml:space="preserve">Calificación pruebas: 2 puntos </w:t>
      </w:r>
      <w:r>
        <w:rPr>
          <w:rFonts w:eastAsia="Times New Roman" w:cs="Calibri" w:cstheme="minorHAnsi"/>
          <w:b/>
          <w:bCs/>
          <w:sz w:val="14"/>
          <w:szCs w:val="24"/>
          <w:lang w:eastAsia="es-ES"/>
        </w:rPr>
        <w:t>(Cada respuesta incorrecta sufrirá una penalización de 0,5 puntos).</w:t>
      </w:r>
    </w:p>
    <w:p>
      <w:pPr>
        <w:pStyle w:val="ListParagraph"/>
        <w:numPr>
          <w:ilvl w:val="0"/>
          <w:numId w:val="7"/>
        </w:numPr>
        <w:tabs>
          <w:tab w:val="clear" w:pos="284"/>
          <w:tab w:val="left" w:pos="3828" w:leader="none"/>
        </w:tabs>
        <w:spacing w:lineRule="auto" w:line="240" w:before="0" w:after="120"/>
        <w:ind w:hanging="284" w:start="284"/>
        <w:contextualSpacing w:val="false"/>
        <w:jc w:val="both"/>
        <w:rPr>
          <w:sz w:val="14"/>
        </w:rPr>
      </w:pPr>
      <w:r>
        <w:rPr>
          <w:rFonts w:eastAsia="Times New Roman" w:cs="Calibri" w:cstheme="minorHAnsi"/>
          <w:sz w:val="14"/>
          <w:szCs w:val="24"/>
          <w:lang w:eastAsia="es-ES"/>
        </w:rPr>
        <w:t>Calificación explicaciones: 2 puntos.</w:t>
      </w:r>
      <w:r>
        <w:rPr>
          <w:rFonts w:eastAsia="Times New Roman" w:cs="Calibri" w:cstheme="minorHAnsi"/>
          <w:b/>
          <w:bCs/>
          <w:sz w:val="14"/>
          <w:szCs w:val="24"/>
          <w:lang w:eastAsia="es-ES"/>
        </w:rPr>
        <w:t xml:space="preserve"> NOTA: </w:t>
      </w:r>
      <w:r>
        <w:rPr>
          <w:rStyle w:val="Strong"/>
          <w:sz w:val="14"/>
        </w:rPr>
        <w:t xml:space="preserve">Deberás hacer referencia a la parte del </w:t>
      </w:r>
      <w:r>
        <w:rPr>
          <w:rStyle w:val="Emphasis"/>
          <w:b/>
          <w:bCs/>
          <w:sz w:val="14"/>
        </w:rPr>
        <w:t xml:space="preserve">script </w:t>
      </w:r>
      <w:r>
        <w:rPr>
          <w:sz w:val="14"/>
        </w:rPr>
        <w:t>(</w:t>
      </w:r>
      <w:r>
        <w:rPr>
          <w:rStyle w:val="Emphasis"/>
          <w:sz w:val="14"/>
        </w:rPr>
        <w:t xml:space="preserve">iptables </w:t>
      </w:r>
      <w:r>
        <w:rPr>
          <w:sz w:val="14"/>
        </w:rPr>
        <w:t>concretas)</w:t>
      </w:r>
      <w:r>
        <w:rPr>
          <w:rStyle w:val="Strong"/>
          <w:sz w:val="14"/>
        </w:rPr>
        <w:t xml:space="preserve"> correspondiente a los efectos observados en cada una de las pruebas</w:t>
      </w:r>
      <w:r>
        <w:rPr>
          <w:rFonts w:eastAsia="Times New Roman" w:cs="Times New Roman" w:ascii="Times New Roman" w:hAnsi="Times New Roman"/>
          <w:sz w:val="16"/>
          <w:szCs w:val="24"/>
          <w:lang w:eastAsia="es-ES"/>
        </w:rPr>
        <w:t>.</w:t>
      </w:r>
    </w:p>
    <w:tbl>
      <w:tblPr>
        <w:tblStyle w:val="Tablaconcuadrcula"/>
        <w:tblW w:w="5000" w:type="pct"/>
        <w:jc w:val="start"/>
        <w:tblInd w:w="0" w:type="dxa"/>
        <w:tblLayout w:type="fixed"/>
        <w:tblCellMar>
          <w:top w:w="57" w:type="dxa"/>
          <w:start w:w="57" w:type="dxa"/>
          <w:bottom w:w="57" w:type="dxa"/>
          <w:end w:w="57" w:type="dxa"/>
        </w:tblCellMar>
        <w:tblLook w:val="04a0" w:noHBand="0" w:noVBand="1" w:firstColumn="1" w:lastRow="0" w:lastColumn="0" w:firstRow="1"/>
      </w:tblPr>
      <w:tblGrid>
        <w:gridCol w:w="355"/>
        <w:gridCol w:w="609"/>
        <w:gridCol w:w="615"/>
        <w:gridCol w:w="1145"/>
        <w:gridCol w:w="641"/>
        <w:gridCol w:w="11205"/>
      </w:tblGrid>
      <w:tr>
        <w:trPr/>
        <w:tc>
          <w:tcPr>
            <w:tcW w:w="355" w:type="dxa"/>
            <w:tcBorders>
              <w:bottom w:val="doub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sz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s-ES" w:eastAsia="en-US" w:bidi="ar-SA"/>
              </w:rPr>
              <w:t>id</w:t>
            </w:r>
          </w:p>
        </w:tc>
        <w:tc>
          <w:tcPr>
            <w:tcW w:w="609" w:type="dxa"/>
            <w:tcBorders>
              <w:bottom w:val="doub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sz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s-ES" w:eastAsia="en-US" w:bidi="ar-SA"/>
              </w:rPr>
              <w:t>Prt.</w:t>
            </w:r>
          </w:p>
        </w:tc>
        <w:tc>
          <w:tcPr>
            <w:tcW w:w="615" w:type="dxa"/>
            <w:tcBorders>
              <w:bottom w:val="doub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sz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s-ES" w:eastAsia="en-US" w:bidi="ar-SA"/>
              </w:rPr>
              <w:t xml:space="preserve">Org. </w:t>
            </w:r>
          </w:p>
        </w:tc>
        <w:tc>
          <w:tcPr>
            <w:tcW w:w="1145" w:type="dxa"/>
            <w:tcBorders>
              <w:bottom w:val="doub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sz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s-ES" w:eastAsia="en-US" w:bidi="ar-SA"/>
              </w:rPr>
              <w:t>Dest.</w:t>
            </w:r>
          </w:p>
        </w:tc>
        <w:tc>
          <w:tcPr>
            <w:tcW w:w="641" w:type="dxa"/>
            <w:tcBorders>
              <w:bottom w:val="doub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sz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s-ES" w:eastAsia="en-US" w:bidi="ar-SA"/>
              </w:rPr>
              <w:t>Con.</w:t>
            </w:r>
          </w:p>
        </w:tc>
        <w:tc>
          <w:tcPr>
            <w:tcW w:w="11205" w:type="dxa"/>
            <w:tcBorders>
              <w:bottom w:val="doub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s-ES" w:eastAsia="en-US" w:bidi="ar-SA"/>
              </w:rPr>
              <w:t xml:space="preserve">Explicación (Cumplimiento de las especificaciones de la </w:t>
            </w:r>
            <w:r>
              <w:rPr>
                <w:rFonts w:eastAsia="Calibri" w:cs=""/>
                <w:b/>
                <w:color w:val="FF0000"/>
                <w:kern w:val="0"/>
                <w:sz w:val="20"/>
                <w:szCs w:val="22"/>
                <w:lang w:val="es-ES" w:eastAsia="en-US" w:bidi="ar-SA"/>
              </w:rPr>
              <w:t xml:space="preserve">política </w:t>
            </w:r>
            <w:r>
              <w:rPr>
                <w:rFonts w:eastAsia="Calibri" w:cs=""/>
                <w:b/>
                <w:kern w:val="0"/>
                <w:sz w:val="20"/>
                <w:szCs w:val="22"/>
                <w:lang w:val="es-ES" w:eastAsia="en-US" w:bidi="ar-SA"/>
              </w:rPr>
              <w:t xml:space="preserve">y parte del </w:t>
            </w:r>
            <w:r>
              <w:rPr>
                <w:rFonts w:eastAsia="Calibri" w:cs=""/>
                <w:b/>
                <w:i/>
                <w:color w:val="FF0000"/>
                <w:kern w:val="0"/>
                <w:sz w:val="20"/>
                <w:szCs w:val="22"/>
                <w:lang w:val="es-ES" w:eastAsia="en-US" w:bidi="ar-SA"/>
              </w:rPr>
              <w:t>script</w:t>
            </w:r>
            <w:r>
              <w:rPr>
                <w:rFonts w:eastAsia="Calibri" w:cs=""/>
                <w:b/>
                <w:color w:val="FF0000"/>
                <w:kern w:val="0"/>
                <w:sz w:val="20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"/>
                <w:b/>
                <w:kern w:val="0"/>
                <w:sz w:val="20"/>
                <w:szCs w:val="22"/>
                <w:lang w:val="es-ES" w:eastAsia="en-US" w:bidi="ar-SA"/>
              </w:rPr>
              <w:t>–</w:t>
            </w:r>
            <w:r>
              <w:rPr>
                <w:rFonts w:eastAsia="Calibri" w:cs=""/>
                <w:b/>
                <w:i/>
                <w:kern w:val="0"/>
                <w:sz w:val="20"/>
                <w:szCs w:val="22"/>
                <w:lang w:val="es-ES" w:eastAsia="en-US" w:bidi="ar-SA"/>
              </w:rPr>
              <w:t>iptables</w:t>
            </w:r>
            <w:r>
              <w:rPr>
                <w:rFonts w:eastAsia="Calibri" w:cs=""/>
                <w:b/>
                <w:kern w:val="0"/>
                <w:sz w:val="20"/>
                <w:szCs w:val="22"/>
                <w:lang w:val="es-ES" w:eastAsia="en-US" w:bidi="ar-SA"/>
              </w:rPr>
              <w:t>- implicada)</w:t>
            </w:r>
          </w:p>
        </w:tc>
      </w:tr>
      <w:tr>
        <w:trPr/>
        <w:tc>
          <w:tcPr>
            <w:tcW w:w="355" w:type="dxa"/>
            <w:tcBorders>
              <w:top w:val="doub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start="0"/>
              <w:contextualSpacing w:val="false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09" w:type="dxa"/>
            <w:tcBorders>
              <w:top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ES" w:eastAsia="en-US" w:bidi="ar-SA"/>
              </w:rPr>
              <w:t>icmp</w:t>
            </w:r>
          </w:p>
        </w:tc>
        <w:tc>
          <w:tcPr>
            <w:tcW w:w="615" w:type="dxa"/>
            <w:tcBorders>
              <w:top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W10</w:t>
            </w:r>
          </w:p>
        </w:tc>
        <w:tc>
          <w:tcPr>
            <w:tcW w:w="1145" w:type="dxa"/>
            <w:tcBorders>
              <w:top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Kali (DMZ)</w:t>
            </w:r>
          </w:p>
        </w:tc>
        <w:tc>
          <w:tcPr>
            <w:tcW w:w="641" w:type="dxa"/>
            <w:tcBorders>
              <w:top w:val="double" w:sz="4" w:space="0" w:color="000000"/>
            </w:tcBorders>
          </w:tcPr>
          <w:sdt>
            <w:sdtPr>
              <w:id w:val="871804018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rFonts w:ascii="MS Gothic" w:hAnsi="MS Gothic" w:eastAsia="MS Gothic"/>
                    <w:b/>
                    <w:color w:val="FF0000"/>
                    <w:sz w:val="2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0"/>
                    <w:szCs w:val="22"/>
                    <w:lang w:val="es-ES" w:eastAsia="en-US" w:bidi="ar-SA"/>
                  </w:rPr>
                  <w:t>x</w:t>
                </w:r>
              </w:p>
            </w:sdtContent>
          </w:sdt>
        </w:tc>
        <w:tc>
          <w:tcPr>
            <w:tcW w:w="11205" w:type="dxa"/>
            <w:tcBorders>
              <w:top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Cumple con la política: Permitir ping desde la red DMZ hacia el firewall, pero no al contrario.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-A INPUT -p icmp --icmp-type echo-request -s 192.168.56.0/24 -j ACCEPT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-A OUTPUT -p icmp --icmp-type echo-reply -d 192.168.56.0/24 -j ACCEPT</w:t>
            </w:r>
          </w:p>
        </w:tc>
      </w:tr>
      <w:tr>
        <w:trPr/>
        <w:tc>
          <w:tcPr>
            <w:tcW w:w="355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start="0"/>
              <w:contextualSpacing w:val="false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ES" w:eastAsia="en-US" w:bidi="ar-SA"/>
              </w:rPr>
              <w:t>icmp</w:t>
            </w:r>
          </w:p>
        </w:tc>
        <w:tc>
          <w:tcPr>
            <w:tcW w:w="6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W10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Kali (LAN)</w:t>
            </w:r>
          </w:p>
        </w:tc>
        <w:tc>
          <w:tcPr>
            <w:tcW w:w="641" w:type="dxa"/>
            <w:tcBorders/>
          </w:tcPr>
          <w:sdt>
            <w:sdtPr>
              <w:id w:val="-1442913933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rFonts w:ascii="MS Gothic" w:hAnsi="MS Gothic" w:eastAsia="MS Gothic"/>
                    <w:b/>
                    <w:color w:val="FF0000"/>
                    <w:sz w:val="2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0"/>
                    <w:szCs w:val="22"/>
                    <w:lang w:val="es-ES" w:eastAsia="en-US" w:bidi="ar-SA"/>
                  </w:rPr>
                  <w:t>x</w:t>
                </w:r>
              </w:p>
            </w:sdtContent>
          </w:sdt>
        </w:tc>
        <w:tc>
          <w:tcPr>
            <w:tcW w:w="112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Cumple con la política: Permitir ping desde la red DMZ hacia el firewall, pero no al contrario.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-A INPUT -p icmp --icmp-type echo-request -s 192.168.56.0/24 -j ACCEPT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-A OUTPUT -p icmp --icmp-type echo-reply -d 192.168.56.0/24 -j ACCEPT</w:t>
            </w:r>
          </w:p>
        </w:tc>
      </w:tr>
      <w:tr>
        <w:trPr/>
        <w:tc>
          <w:tcPr>
            <w:tcW w:w="355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start="0"/>
              <w:contextualSpacing w:val="false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ES" w:eastAsia="en-US" w:bidi="ar-SA"/>
              </w:rPr>
              <w:t>icmp</w:t>
            </w:r>
          </w:p>
        </w:tc>
        <w:tc>
          <w:tcPr>
            <w:tcW w:w="6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W10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XP</w:t>
            </w:r>
          </w:p>
        </w:tc>
        <w:tc>
          <w:tcPr>
            <w:tcW w:w="641" w:type="dxa"/>
            <w:tcBorders/>
          </w:tcPr>
          <w:sdt>
            <w:sdtPr>
              <w:id w:val="555982004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rFonts w:ascii="MS Gothic" w:hAnsi="MS Gothic" w:eastAsia="MS Gothic"/>
                    <w:b/>
                    <w:color w:val="FF0000"/>
                    <w:sz w:val="2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0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112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Cumple con la política: Permitir ping desde la LAN hacia la DMZ, pero no al contrario.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-A FORWARD -p icmp --icmp-type echo-request -s 192.168.57.0/24 -d 192.168.56.0/24 -j ACCEPT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-A FORWARD -p icmp --icmp-type echo-reply -s 192.168.56.0/24 -d 192.168.57.0/24 -j ACCEPT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(Es decir, cae en la política deny default)</w:t>
            </w:r>
          </w:p>
        </w:tc>
      </w:tr>
      <w:tr>
        <w:trPr/>
        <w:tc>
          <w:tcPr>
            <w:tcW w:w="355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start="0"/>
              <w:contextualSpacing w:val="false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ES" w:eastAsia="en-US" w:bidi="ar-SA"/>
              </w:rPr>
              <w:t>icmp</w:t>
            </w:r>
          </w:p>
        </w:tc>
        <w:tc>
          <w:tcPr>
            <w:tcW w:w="6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Kali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  <w:lang w:val="en-GB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n-GB" w:eastAsia="en-US" w:bidi="ar-SA"/>
              </w:rPr>
              <w:t>W10</w:t>
            </w:r>
          </w:p>
        </w:tc>
        <w:tc>
          <w:tcPr>
            <w:tcW w:w="641" w:type="dxa"/>
            <w:tcBorders/>
          </w:tcPr>
          <w:sdt>
            <w:sdtPr>
              <w:id w:val="945507424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rFonts w:ascii="MS Gothic" w:hAnsi="MS Gothic" w:eastAsia="MS Gothic"/>
                    <w:b/>
                    <w:color w:val="FF0000"/>
                    <w:sz w:val="2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0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112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Cumple con la política: Permitir ping desde la red DMZ hacia el firewall, pero no al contrario.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-A INPUT -p icmp --icmp-type echo-request -s 192.168.56.0/24 -j ACCEPT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-A OUTPUT -p icmp --icmp-type echo-reply -d 192.168.56.0/24 -j ACCEPT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(Es decir, cae en la política deny default)</w:t>
            </w:r>
          </w:p>
        </w:tc>
      </w:tr>
      <w:tr>
        <w:trPr/>
        <w:tc>
          <w:tcPr>
            <w:tcW w:w="355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start="0"/>
              <w:contextualSpacing w:val="false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ES" w:eastAsia="en-US" w:bidi="ar-SA"/>
              </w:rPr>
              <w:t>icmp</w:t>
            </w:r>
          </w:p>
        </w:tc>
        <w:tc>
          <w:tcPr>
            <w:tcW w:w="6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Kali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XP</w:t>
            </w:r>
          </w:p>
        </w:tc>
        <w:tc>
          <w:tcPr>
            <w:tcW w:w="641" w:type="dxa"/>
            <w:tcBorders/>
          </w:tcPr>
          <w:sdt>
            <w:sdtPr>
              <w:id w:val="1740060523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rFonts w:ascii="MS Gothic" w:hAnsi="MS Gothic" w:eastAsia="MS Gothic"/>
                    <w:b/>
                    <w:color w:val="FF0000"/>
                    <w:sz w:val="2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0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112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Cumple con la política restrictiva.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-P INPUT DROP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-P OUTPUT DROP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-P FORWARD DROP</w:t>
            </w:r>
          </w:p>
        </w:tc>
      </w:tr>
      <w:tr>
        <w:trPr/>
        <w:tc>
          <w:tcPr>
            <w:tcW w:w="355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start="0"/>
              <w:contextualSpacing w:val="false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0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ES" w:eastAsia="en-US" w:bidi="ar-SA"/>
              </w:rPr>
              <w:t>icmp</w:t>
            </w:r>
          </w:p>
        </w:tc>
        <w:tc>
          <w:tcPr>
            <w:tcW w:w="61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XP</w:t>
            </w:r>
          </w:p>
        </w:tc>
        <w:tc>
          <w:tcPr>
            <w:tcW w:w="114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Kali (LAN)</w:t>
            </w:r>
          </w:p>
        </w:tc>
        <w:tc>
          <w:tcPr>
            <w:tcW w:w="641" w:type="dxa"/>
            <w:tcBorders/>
            <w:shd w:color="auto" w:fill="auto" w:val="clear"/>
          </w:tcPr>
          <w:sdt>
            <w:sdtPr>
              <w:id w:val="2009478889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rFonts w:ascii="MS Gothic" w:hAnsi="MS Gothic" w:eastAsia="MS Gothic"/>
                    <w:b/>
                    <w:color w:val="FF0000"/>
                    <w:sz w:val="2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0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112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Cumple con la política restrictiva.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-P INPUT DROP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-P OUTPUT DROP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-P FORWARD DROP</w:t>
            </w:r>
          </w:p>
        </w:tc>
      </w:tr>
      <w:tr>
        <w:trPr/>
        <w:tc>
          <w:tcPr>
            <w:tcW w:w="355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start="0"/>
              <w:contextualSpacing w:val="false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0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ES" w:eastAsia="en-US" w:bidi="ar-SA"/>
              </w:rPr>
              <w:t>icmp</w:t>
            </w:r>
          </w:p>
        </w:tc>
        <w:tc>
          <w:tcPr>
            <w:tcW w:w="61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XP</w:t>
            </w:r>
          </w:p>
        </w:tc>
        <w:tc>
          <w:tcPr>
            <w:tcW w:w="114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Kali (DMZ)</w:t>
            </w:r>
          </w:p>
        </w:tc>
        <w:tc>
          <w:tcPr>
            <w:tcW w:w="641" w:type="dxa"/>
            <w:tcBorders/>
            <w:shd w:color="auto" w:fill="auto" w:val="clear"/>
          </w:tcPr>
          <w:sdt>
            <w:sdtPr>
              <w:id w:val="-405064839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rFonts w:ascii="MS Gothic" w:hAnsi="MS Gothic" w:eastAsia="MS Gothic"/>
                    <w:b/>
                    <w:color w:val="FF0000"/>
                    <w:sz w:val="2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0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112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Cumple con la política restrictiva.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-P INPUT DROP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-P OUTPUT DROP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-P FORWARD DROP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r>
          </w:p>
        </w:tc>
      </w:tr>
      <w:tr>
        <w:trPr/>
        <w:tc>
          <w:tcPr>
            <w:tcW w:w="355" w:type="dxa"/>
            <w:tcBorders>
              <w:bottom w:val="double" w:sz="4" w:space="0" w:color="000000"/>
            </w:tcBorders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start="0"/>
              <w:contextualSpacing w:val="false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09" w:type="dxa"/>
            <w:tcBorders>
              <w:bottom w:val="doub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ES" w:eastAsia="en-US" w:bidi="ar-SA"/>
              </w:rPr>
              <w:t>icmp</w:t>
            </w:r>
          </w:p>
        </w:tc>
        <w:tc>
          <w:tcPr>
            <w:tcW w:w="615" w:type="dxa"/>
            <w:tcBorders>
              <w:bottom w:val="doub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XP</w:t>
            </w:r>
          </w:p>
        </w:tc>
        <w:tc>
          <w:tcPr>
            <w:tcW w:w="1145" w:type="dxa"/>
            <w:tcBorders>
              <w:bottom w:val="doub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W10</w:t>
            </w:r>
          </w:p>
        </w:tc>
        <w:tc>
          <w:tcPr>
            <w:tcW w:w="641" w:type="dxa"/>
            <w:tcBorders>
              <w:bottom w:val="double" w:sz="4" w:space="0" w:color="000000"/>
            </w:tcBorders>
            <w:shd w:color="auto" w:fill="auto" w:val="clear"/>
          </w:tcPr>
          <w:sdt>
            <w:sdtPr>
              <w:id w:val="-1165081714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rFonts w:ascii="MS Gothic" w:hAnsi="MS Gothic" w:eastAsia="MS Gothic"/>
                    <w:b/>
                    <w:color w:val="FF0000"/>
                    <w:sz w:val="2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0"/>
                    <w:szCs w:val="22"/>
                    <w:lang w:val="es-ES" w:eastAsia="en-US" w:bidi="ar-SA"/>
                  </w:rPr>
                  <w:t>x</w:t>
                </w:r>
              </w:p>
            </w:sdtContent>
          </w:sdt>
        </w:tc>
        <w:tc>
          <w:tcPr>
            <w:tcW w:w="11205" w:type="dxa"/>
            <w:tcBorders>
              <w:bottom w:val="doub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Cumple con la política: Permitir ping desde la LAN hacia la DMZ, pero no al contrario.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-A FORWARD -p icmp --icmp-type echo-request -s 192.168.57.0/24 -d 192.168.56.0/24 -j ACCEPT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-A FORWARD -p icmp --icmp-type echo-reply -s 192.168.56.0/24 -d 192.168.57.0/24 -j ACCEPT</w:t>
            </w:r>
          </w:p>
        </w:tc>
      </w:tr>
      <w:tr>
        <w:trPr/>
        <w:tc>
          <w:tcPr>
            <w:tcW w:w="355" w:type="dxa"/>
            <w:tcBorders>
              <w:top w:val="double" w:sz="4" w:space="0" w:color="000000"/>
            </w:tcBorders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start="0"/>
              <w:contextualSpacing w:val="false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09" w:type="dxa"/>
            <w:tcBorders>
              <w:top w:val="doub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ES" w:eastAsia="en-US" w:bidi="ar-SA"/>
              </w:rPr>
              <w:t>http</w:t>
            </w:r>
          </w:p>
        </w:tc>
        <w:tc>
          <w:tcPr>
            <w:tcW w:w="615" w:type="dxa"/>
            <w:tcBorders>
              <w:top w:val="doub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Kali</w:t>
            </w:r>
          </w:p>
        </w:tc>
        <w:tc>
          <w:tcPr>
            <w:tcW w:w="1145" w:type="dxa"/>
            <w:tcBorders>
              <w:top w:val="doub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W10</w:t>
            </w:r>
          </w:p>
        </w:tc>
        <w:tc>
          <w:tcPr>
            <w:tcW w:w="641" w:type="dxa"/>
            <w:tcBorders>
              <w:top w:val="double" w:sz="4" w:space="0" w:color="000000"/>
            </w:tcBorders>
            <w:shd w:color="auto" w:fill="auto" w:val="clear"/>
          </w:tcPr>
          <w:sdt>
            <w:sdtPr>
              <w:id w:val="691728446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rFonts w:ascii="MS Gothic" w:hAnsi="MS Gothic" w:eastAsia="MS Gothic"/>
                    <w:b/>
                    <w:color w:val="FF0000"/>
                    <w:sz w:val="2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0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11205" w:type="dxa"/>
            <w:tcBorders>
              <w:top w:val="doub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Cumple con la política restrictiva.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-P INPUT DROP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-P OUTPUT DROP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-P FORWARD DROP</w:t>
            </w:r>
          </w:p>
        </w:tc>
      </w:tr>
      <w:tr>
        <w:trPr/>
        <w:tc>
          <w:tcPr>
            <w:tcW w:w="355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start="0"/>
              <w:contextualSpacing w:val="false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0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ES" w:eastAsia="en-US" w:bidi="ar-SA"/>
              </w:rPr>
              <w:t>http</w:t>
            </w:r>
          </w:p>
        </w:tc>
        <w:tc>
          <w:tcPr>
            <w:tcW w:w="61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XP</w:t>
            </w:r>
          </w:p>
        </w:tc>
        <w:tc>
          <w:tcPr>
            <w:tcW w:w="114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ES" w:eastAsia="en-US" w:bidi="ar-SA"/>
              </w:rPr>
              <w:t>W10</w:t>
            </w:r>
          </w:p>
        </w:tc>
        <w:tc>
          <w:tcPr>
            <w:tcW w:w="641" w:type="dxa"/>
            <w:tcBorders/>
            <w:shd w:color="auto" w:fill="auto" w:val="clear"/>
          </w:tcPr>
          <w:sdt>
            <w:sdtPr>
              <w:id w:val="1962067675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rFonts w:ascii="MS Gothic" w:hAnsi="MS Gothic" w:eastAsia="MS Gothic"/>
                    <w:b/>
                    <w:color w:val="FF0000"/>
                    <w:sz w:val="2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0"/>
                    <w:szCs w:val="22"/>
                    <w:lang w:val="es-ES" w:eastAsia="en-US" w:bidi="ar-SA"/>
                  </w:rPr>
                  <w:t>x</w:t>
                </w:r>
              </w:p>
            </w:sdtContent>
          </w:sdt>
        </w:tc>
        <w:tc>
          <w:tcPr>
            <w:tcW w:w="112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Cumple con la política: Permitir acceder al servidor http (192.168.56.10) desde la LAN.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-A FORWARD -p tcp -s 192.168.56.10/24 --sport 80 -d 192.168.57.0/24 -j ACCEPT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iptables -A FORWARD -p tcp -s 192.168.57.0/24 -d 192.168.56.10/24 --dport 80 -j ACCEPT</w:t>
            </w:r>
          </w:p>
        </w:tc>
      </w:tr>
    </w:tbl>
    <w:p>
      <w:pPr>
        <w:pStyle w:val="Heading2"/>
        <w:numPr>
          <w:ilvl w:val="1"/>
          <w:numId w:val="8"/>
        </w:numPr>
        <w:rPr/>
      </w:pPr>
      <w:r>
        <w:rPr/>
        <w:t xml:space="preserve">Contadores </w:t>
      </w:r>
      <w:r>
        <w:rPr>
          <w:rFonts w:eastAsia="Calibri" w:eastAsiaTheme="minorHAnsi"/>
        </w:rPr>
        <w:t>(calificación 1,5 puntos)</w:t>
      </w:r>
    </w:p>
    <w:p>
      <w:pPr>
        <w:pStyle w:val="Normal"/>
        <w:jc w:val="both"/>
        <w:rPr/>
      </w:pPr>
      <w:r>
        <w:rPr/>
        <w:t>Elabora una composición gráfica (</w:t>
      </w:r>
      <w:r>
        <w:rPr>
          <w:i/>
          <w:sz w:val="18"/>
        </w:rPr>
        <w:t>se valorará claridad</w:t>
      </w:r>
      <w:r>
        <w:rPr/>
        <w:t>) en donde se muestre el valor de los contadores (</w:t>
      </w:r>
      <w:r>
        <w:rPr>
          <w:rFonts w:ascii="Consolas" w:hAnsi="Consolas"/>
          <w:sz w:val="20"/>
        </w:rPr>
        <w:t xml:space="preserve">iptables –L –v) </w:t>
      </w:r>
      <w:r>
        <w:rPr/>
        <w:t xml:space="preserve">como consecuencia de ejecutar el anterior plan de pruebas. </w:t>
      </w:r>
      <w:r>
        <w:rPr>
          <w:b/>
          <w:u w:val="single"/>
        </w:rPr>
        <w:t>Explica y justifica los resultados observados</w:t>
      </w:r>
      <w:r>
        <w:rPr>
          <w:b/>
        </w:rPr>
        <w:t>.</w:t>
      </w:r>
    </w:p>
    <w:tbl>
      <w:tblPr>
        <w:tblStyle w:val="Tablaconcuadrcula"/>
        <w:tblW w:w="145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015"/>
        <w:gridCol w:w="5545"/>
      </w:tblGrid>
      <w:tr>
        <w:trPr/>
        <w:tc>
          <w:tcPr>
            <w:tcW w:w="9015" w:type="dxa"/>
            <w:tcBorders>
              <w:bottom w:val="doub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Captura</w:t>
            </w:r>
          </w:p>
        </w:tc>
        <w:tc>
          <w:tcPr>
            <w:tcW w:w="5545" w:type="dxa"/>
            <w:tcBorders>
              <w:bottom w:val="doub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18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 xml:space="preserve">Explicaciones </w:t>
            </w: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(y relación con las pruebas del plan)</w:t>
            </w:r>
          </w:p>
        </w:tc>
      </w:tr>
      <w:tr>
        <w:trPr/>
        <w:tc>
          <w:tcPr>
            <w:tcW w:w="9015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color w:val="FF0000"/>
                <w:sz w:val="18"/>
                <w:u w:val="single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76835</wp:posOffset>
                  </wp:positionV>
                  <wp:extent cx="5587365" cy="2157095"/>
                  <wp:effectExtent l="0" t="0" r="0" b="0"/>
                  <wp:wrapSquare wrapText="largest"/>
                  <wp:docPr id="10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7365" cy="2157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5545" w:type="dxa"/>
            <w:tcBorders>
              <w:top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Como podemos ver, hay un gran número de matches en las políticas por defecto, que incluyen todos los test icmp fallidos, así como los intentos de conexión http desde Kali a Win10 (debido al tiempo default de timeout, se reintenta la conexión hasta que pase dicho tiempo).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En el tráfico entrante, podemos observar que se han aceptado los paquetes ssh entrantes de WinXP, así como los pings de DMZ a Kali.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En el tráfico enrutado, observamos que se aceptan los pings de LAN a DMZ (dos primeras líneas), así como el intercambio de paquetes http entre Win10 y WinXP.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En el tráfico saliente, podemos observar que se aceptan los paquetes ssh a Win10, así como las respuestas a los pings de DMZ.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  <w:t>Esto muestra un correcto funcionamiento de la política de seguridad propuesta.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color w:val="FF0000"/>
                <w:sz w:val="18"/>
                <w:u w:val="none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8"/>
        </w:numPr>
        <w:rPr/>
      </w:pPr>
      <w:r>
        <w:rPr/>
        <w:t xml:space="preserve">Evidencias. </w:t>
      </w:r>
      <w:r>
        <w:rPr>
          <w:rFonts w:eastAsia="Calibri" w:eastAsiaTheme="minorHAnsi"/>
        </w:rPr>
        <w:t>(Calificación 2 puntos).</w:t>
      </w:r>
    </w:p>
    <w:p>
      <w:pPr>
        <w:pStyle w:val="Normal"/>
        <w:spacing w:lineRule="auto" w:line="240" w:before="0" w:after="120"/>
        <w:rPr/>
      </w:pPr>
      <w:r>
        <w:rPr/>
        <w:t xml:space="preserve">Elabora una composición gráfica </w:t>
      </w:r>
      <w:r>
        <w:rPr>
          <w:i/>
          <w:sz w:val="16"/>
        </w:rPr>
        <w:t xml:space="preserve">(se valorará claridad) </w:t>
      </w:r>
      <w:r>
        <w:rPr/>
        <w:t>con capturas de pantalla correspondientes a las pruebas siguientes</w:t>
      </w:r>
    </w:p>
    <w:tbl>
      <w:tblPr>
        <w:tblStyle w:val="Tablaconcuadrcula"/>
        <w:tblW w:w="145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280"/>
        <w:gridCol w:w="7280"/>
      </w:tblGrid>
      <w:tr>
        <w:trPr/>
        <w:tc>
          <w:tcPr>
            <w:tcW w:w="7280" w:type="dxa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16"/>
              </w:rPr>
            </w:pPr>
            <w:r>
              <w:rPr>
                <w:rFonts w:eastAsia="Calibri" w:cs=""/>
                <w:b/>
                <w:kern w:val="0"/>
                <w:sz w:val="16"/>
                <w:szCs w:val="22"/>
                <w:lang w:val="es-ES" w:eastAsia="en-US" w:bidi="ar-SA"/>
              </w:rPr>
              <w:t xml:space="preserve">Prueba 4. Ping desde el firewall </w:t>
            </w:r>
            <w:r>
              <w:rPr>
                <w:rFonts w:eastAsia="Calibri" w:cs=""/>
                <w:b/>
                <w:color w:val="FF0000"/>
                <w:kern w:val="0"/>
                <w:sz w:val="16"/>
                <w:szCs w:val="22"/>
                <w:lang w:val="es-ES" w:eastAsia="en-US" w:bidi="ar-SA"/>
              </w:rPr>
              <w:t>(</w:t>
            </w:r>
            <w:r>
              <w:rPr>
                <w:rFonts w:eastAsia="Calibri" w:cs=""/>
                <w:b/>
                <w:color w:val="FF0000"/>
                <w:kern w:val="0"/>
                <w:sz w:val="16"/>
                <w:szCs w:val="22"/>
                <w:u w:val="single"/>
                <w:lang w:val="es-ES" w:eastAsia="en-US" w:bidi="ar-SA"/>
              </w:rPr>
              <w:t>desde el terminal de administración remota</w:t>
            </w:r>
            <w:r>
              <w:rPr>
                <w:rFonts w:eastAsia="Calibri" w:cs=""/>
                <w:b/>
                <w:color w:val="FF0000"/>
                <w:kern w:val="0"/>
                <w:sz w:val="16"/>
                <w:szCs w:val="22"/>
                <w:lang w:val="es-ES" w:eastAsia="en-US" w:bidi="ar-SA"/>
              </w:rPr>
              <w:t>)</w:t>
            </w:r>
            <w:r>
              <w:rPr>
                <w:rFonts w:eastAsia="Calibri" w:cs=""/>
                <w:b/>
                <w:kern w:val="0"/>
                <w:sz w:val="16"/>
                <w:szCs w:val="22"/>
                <w:lang w:val="es-ES" w:eastAsia="en-US" w:bidi="ar-SA"/>
              </w:rPr>
              <w:t xml:space="preserve"> a la máquina 192.168.56.10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Emphasis"/>
                <w:rFonts w:ascii="Segoe UI" w:hAnsi="Segoe UI" w:cs="Segoe UI"/>
                <w:color w:val="495057"/>
                <w:sz w:val="14"/>
                <w:shd w:fill="FFFFFF" w:val="clear"/>
              </w:rPr>
            </w:pPr>
            <w:r>
              <w:rPr>
                <w:rStyle w:val="Emphasis"/>
                <w:rFonts w:eastAsia="Calibri" w:cs="Segoe UI" w:ascii="Segoe UI" w:hAnsi="Segoe UI"/>
                <w:color w:val="495057"/>
                <w:kern w:val="0"/>
                <w:sz w:val="14"/>
                <w:szCs w:val="22"/>
                <w:shd w:fill="FFFFFF" w:val="clear"/>
                <w:lang w:val="es-ES" w:eastAsia="en-US" w:bidi="ar-SA"/>
              </w:rPr>
              <w:t>(Se penalizará con 1 punto si no aparece desde el terminal de administración remota)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485640" cy="3034665"/>
                  <wp:effectExtent l="0" t="0" r="0" b="0"/>
                  <wp:wrapSquare wrapText="largest"/>
                  <wp:docPr id="11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5640" cy="3034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  <w:sz w:val="16"/>
              </w:rPr>
            </w:pPr>
            <w:r>
              <w:rPr>
                <w:i/>
                <w:sz w:val="16"/>
              </w:rPr>
            </w:r>
          </w:p>
        </w:tc>
        <w:tc>
          <w:tcPr>
            <w:tcW w:w="7280" w:type="dxa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240"/>
              <w:jc w:val="center"/>
              <w:rPr>
                <w:b/>
                <w:sz w:val="16"/>
              </w:rPr>
            </w:pPr>
            <w:r>
              <w:rPr>
                <w:rFonts w:eastAsia="Calibri" w:cs=""/>
                <w:b/>
                <w:kern w:val="0"/>
                <w:sz w:val="16"/>
                <w:szCs w:val="22"/>
                <w:lang w:val="es-ES" w:eastAsia="en-US" w:bidi="ar-SA"/>
              </w:rPr>
              <w:t>Prueba 8. Ping desde la máquina 192.168.57.2 a la máquina 192.168.56.10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485640" cy="2272030"/>
                  <wp:effectExtent l="0" t="0" r="0" b="0"/>
                  <wp:wrapSquare wrapText="largest"/>
                  <wp:docPr id="12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5640" cy="2272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728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728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7280" w:type="dxa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16"/>
              </w:rPr>
            </w:pPr>
            <w:r>
              <w:rPr>
                <w:rFonts w:eastAsia="Calibri" w:cs=""/>
                <w:b/>
                <w:kern w:val="0"/>
                <w:sz w:val="16"/>
                <w:szCs w:val="22"/>
                <w:lang w:val="es-ES" w:eastAsia="en-US" w:bidi="ar-SA"/>
              </w:rPr>
              <w:t>Prueba 9. http desde la máquina Kali Linux al servidor W10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485640" cy="2846070"/>
                  <wp:effectExtent l="0" t="0" r="0" b="0"/>
                  <wp:wrapSquare wrapText="largest"/>
                  <wp:docPr id="13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5640" cy="2846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</w:r>
          </w:p>
        </w:tc>
        <w:tc>
          <w:tcPr>
            <w:tcW w:w="7280" w:type="dxa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16"/>
              </w:rPr>
            </w:pPr>
            <w:r>
              <w:rPr>
                <w:rFonts w:eastAsia="Calibri" w:cs=""/>
                <w:b/>
                <w:kern w:val="0"/>
                <w:sz w:val="16"/>
                <w:szCs w:val="22"/>
                <w:lang w:val="es-ES" w:eastAsia="en-US" w:bidi="ar-SA"/>
              </w:rPr>
              <w:t>Prueba 10. http desde la máquina 192.168.57.2 al servidor W10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drawing>
                <wp:anchor behindDoc="0" distT="0" distB="0" distL="0" distR="0" simplePos="0" locked="0" layoutInCell="0" allowOverlap="1" relativeHeight="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485640" cy="3373755"/>
                  <wp:effectExtent l="0" t="0" r="0" b="0"/>
                  <wp:wrapSquare wrapText="largest"/>
                  <wp:docPr id="14" name="Imag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5640" cy="3373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728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728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6"/>
              </w:rPr>
            </w:pPr>
            <w:r>
              <w:rPr>
                <w:sz w:val="16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8"/>
        </w:numPr>
        <w:spacing w:before="0" w:after="0"/>
        <w:rPr/>
      </w:pPr>
      <w:r>
        <w:rPr>
          <w:i/>
        </w:rPr>
        <w:t>pfSense</w:t>
      </w:r>
      <w:r>
        <w:rPr/>
        <w:t xml:space="preserve"> </w:t>
      </w:r>
      <w:r>
        <w:rPr>
          <w:rFonts w:eastAsia="Calibri" w:cs="" w:ascii="Calibri" w:hAnsi="Calibri" w:asciiTheme="minorHAnsi" w:cstheme="minorBidi" w:eastAsiaTheme="minorHAnsi" w:hAnsiTheme="minorHAnsi"/>
          <w:i/>
          <w:color w:val="auto"/>
          <w:sz w:val="18"/>
          <w:szCs w:val="18"/>
        </w:rPr>
        <w:t>(Calificación 5 puntos).</w:t>
      </w:r>
    </w:p>
    <w:p>
      <w:pPr>
        <w:pStyle w:val="Heading2"/>
        <w:numPr>
          <w:ilvl w:val="1"/>
          <w:numId w:val="8"/>
        </w:numPr>
        <w:rPr/>
      </w:pPr>
      <w:r>
        <w:rPr/>
        <w:t xml:space="preserve">Situación de partida </w:t>
      </w:r>
      <w:r>
        <w:rPr>
          <w:rFonts w:eastAsia="Calibri" w:eastAsiaTheme="minorHAnsi"/>
        </w:rPr>
        <w:t>(</w:t>
      </w:r>
      <w:r>
        <w:rPr>
          <w:rFonts w:eastAsia="Calibri" w:cs="" w:ascii="Calibri" w:hAnsi="Calibri" w:asciiTheme="minorHAnsi" w:cstheme="minorBidi" w:eastAsiaTheme="minorHAnsi" w:hAnsiTheme="minorHAnsi"/>
          <w:i/>
          <w:color w:val="auto"/>
          <w:sz w:val="18"/>
          <w:szCs w:val="18"/>
        </w:rPr>
        <w:t>Calificación 1 punto).</w:t>
      </w:r>
    </w:p>
    <w:p>
      <w:pPr>
        <w:pStyle w:val="Normal"/>
        <w:jc w:val="both"/>
        <w:rPr/>
      </w:pPr>
      <w:r>
        <w:rPr/>
        <w:t xml:space="preserve">Elabora una composición gráfica </w:t>
      </w:r>
      <w:r>
        <w:rPr>
          <w:i/>
          <w:sz w:val="16"/>
        </w:rPr>
        <w:t xml:space="preserve">(se valorará claridad) </w:t>
      </w:r>
      <w:r>
        <w:rPr/>
        <w:t xml:space="preserve">con las reglas por defecto de </w:t>
      </w:r>
      <w:r>
        <w:rPr>
          <w:i/>
        </w:rPr>
        <w:t>pfSense</w:t>
      </w:r>
      <w:r>
        <w:rPr/>
        <w:t>, en las interfaces WAN (DMZ) y LAN y explica su significado. ¿Se puede prescindir de alguna/s de ellas?</w:t>
      </w:r>
    </w:p>
    <w:tbl>
      <w:tblPr>
        <w:tblStyle w:val="Tablaconcuadrcula"/>
        <w:tblW w:w="145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595"/>
        <w:gridCol w:w="3965"/>
      </w:tblGrid>
      <w:tr>
        <w:trPr/>
        <w:tc>
          <w:tcPr>
            <w:tcW w:w="10595" w:type="dxa"/>
            <w:tcBorders>
              <w:bottom w:val="doub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Capturas</w:t>
            </w:r>
          </w:p>
        </w:tc>
        <w:tc>
          <w:tcPr>
            <w:tcW w:w="3965" w:type="dxa"/>
            <w:tcBorders>
              <w:bottom w:val="doub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Explicaciones</w:t>
            </w:r>
          </w:p>
        </w:tc>
      </w:tr>
      <w:tr>
        <w:trPr/>
        <w:tc>
          <w:tcPr>
            <w:tcW w:w="10595" w:type="dxa"/>
            <w:tcBorders>
              <w:top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WAN (DMZ)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3965" w:type="dxa"/>
            <w:tcBorders>
              <w:top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</w:tc>
      </w:tr>
      <w:tr>
        <w:trPr/>
        <w:tc>
          <w:tcPr>
            <w:tcW w:w="105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LAN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3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8"/>
        </w:numPr>
        <w:rPr/>
      </w:pPr>
      <w:r>
        <w:rPr/>
        <w:t xml:space="preserve">Implementación de la política de seguridad </w:t>
      </w:r>
      <w:r>
        <w:rPr>
          <w:rFonts w:eastAsia="Calibri" w:cs="" w:ascii="Calibri" w:hAnsi="Calibri" w:asciiTheme="minorHAnsi" w:cstheme="minorBidi" w:eastAsiaTheme="minorHAnsi" w:hAnsiTheme="minorHAnsi"/>
          <w:i/>
          <w:color w:val="auto"/>
          <w:sz w:val="18"/>
          <w:szCs w:val="18"/>
        </w:rPr>
        <w:t>(Calificación 0,5 puntos).</w:t>
      </w:r>
    </w:p>
    <w:p>
      <w:pPr>
        <w:pStyle w:val="Normal"/>
        <w:ind w:start="284"/>
        <w:rPr/>
      </w:pPr>
      <w:r>
        <w:rPr/>
        <w:t xml:space="preserve">Elabora una composición gráfica </w:t>
      </w:r>
      <w:r>
        <w:rPr>
          <w:i/>
          <w:sz w:val="16"/>
        </w:rPr>
        <w:t xml:space="preserve">(se valorará claridad) </w:t>
      </w:r>
      <w:r>
        <w:rPr/>
        <w:t xml:space="preserve">en donde se muestren las reglas que has implementado. </w:t>
      </w:r>
      <w:r>
        <w:rPr>
          <w:b/>
        </w:rPr>
        <w:t>Se valorará especialmente la precisión de lo que pueda leerse en la columna “</w:t>
      </w:r>
      <w:r>
        <w:rPr>
          <w:b/>
          <w:i/>
        </w:rPr>
        <w:t>Description</w:t>
      </w:r>
      <w:r>
        <w:rPr/>
        <w:t>”.</w:t>
      </w:r>
    </w:p>
    <w:tbl>
      <w:tblPr>
        <w:tblStyle w:val="Tablaconcuadrcula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570"/>
      </w:tblGrid>
      <w:tr>
        <w:trPr/>
        <w:tc>
          <w:tcPr>
            <w:tcW w:w="14570" w:type="dxa"/>
            <w:tcBorders>
              <w:bottom w:val="doub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WAN (DMZ)</w:t>
            </w:r>
          </w:p>
        </w:tc>
      </w:tr>
      <w:tr>
        <w:trPr/>
        <w:tc>
          <w:tcPr>
            <w:tcW w:w="14570" w:type="dxa"/>
            <w:tcBorders>
              <w:top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4570" w:type="dxa"/>
            <w:tcBorders>
              <w:bottom w:val="doub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LAN</w:t>
            </w:r>
          </w:p>
        </w:tc>
      </w:tr>
      <w:tr>
        <w:trPr/>
        <w:tc>
          <w:tcPr>
            <w:tcW w:w="14570" w:type="dxa"/>
            <w:tcBorders>
              <w:top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  <w: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</w:tbl>
    <w:p>
      <w:pPr>
        <w:pStyle w:val="Heading2"/>
        <w:numPr>
          <w:ilvl w:val="1"/>
          <w:numId w:val="8"/>
        </w:numPr>
        <w:rPr/>
      </w:pPr>
      <w:r>
        <w:rPr/>
        <w:t xml:space="preserve">Pruebas </w:t>
      </w:r>
      <w:r>
        <w:rPr>
          <w:rFonts w:eastAsia="Calibri" w:eastAsiaTheme="minorHAnsi"/>
        </w:rPr>
        <w:t>(Calificación 2 puntos. Cada respuesta incorrecta sufrirá una penalización de 0,5 puntos).</w:t>
      </w:r>
    </w:p>
    <w:p>
      <w:pPr>
        <w:pStyle w:val="Normal"/>
        <w:spacing w:lineRule="auto" w:line="240" w:before="0" w:after="120"/>
        <w:jc w:val="both"/>
        <w:rPr/>
      </w:pPr>
      <w:r>
        <w:rPr/>
        <w:t xml:space="preserve">Cumplimenta el siguiente formulario correspondiente a la ejecución del plan de pruebas indicado, comparando la situación inicial con el resultado de implementar la política de seguridad indicada en la guía de la actividad. </w:t>
      </w:r>
      <w:r>
        <w:rPr>
          <w:sz w:val="16"/>
        </w:rPr>
        <w:t>(Marcar (</w:t>
      </w:r>
      <w:sdt>
        <w:sdtPr>
          <w:id w:val="-570880393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sz w:val="16"/>
            </w:rPr>
          </w:r>
          <w:r>
            <w:rPr>
              <w:rFonts w:eastAsia="MS Gothic" w:hint="eastAsia" w:ascii="MS Gothic" w:hAnsi="MS Gothic"/>
              <w:sz w:val="16"/>
            </w:rPr>
            <w:t>☒</w:t>
          </w:r>
        </w:sdtContent>
      </w:sdt>
      <w:r>
        <w:rPr>
          <w:sz w:val="16"/>
        </w:rPr>
        <w:t>) cuando exista conectividad)</w:t>
      </w:r>
      <w:r>
        <w:rPr/>
        <w:t>.</w:t>
      </w:r>
    </w:p>
    <w:tbl>
      <w:tblPr>
        <w:tblStyle w:val="Tablaconcuadrcula"/>
        <w:tblW w:w="5000" w:type="pct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  <w:tblLook w:val="04a0" w:noHBand="0" w:noVBand="1" w:firstColumn="1" w:lastRow="0" w:lastColumn="0" w:firstRow="1"/>
      </w:tblPr>
      <w:tblGrid>
        <w:gridCol w:w="167"/>
        <w:gridCol w:w="752"/>
        <w:gridCol w:w="1693"/>
        <w:gridCol w:w="1735"/>
        <w:gridCol w:w="902"/>
        <w:gridCol w:w="739"/>
        <w:gridCol w:w="8582"/>
      </w:tblGrid>
      <w:tr>
        <w:trPr/>
        <w:tc>
          <w:tcPr>
            <w:tcW w:w="167" w:type="dxa"/>
            <w:tcBorders>
              <w:bottom w:val="doub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sz w:val="12"/>
                <w:szCs w:val="12"/>
              </w:rPr>
            </w:pPr>
            <w:r>
              <w:rPr>
                <w:rFonts w:eastAsia="Calibri" w:cs=""/>
                <w:b/>
                <w:kern w:val="0"/>
                <w:sz w:val="12"/>
                <w:szCs w:val="12"/>
                <w:lang w:val="es-ES" w:eastAsia="en-US" w:bidi="ar-SA"/>
              </w:rPr>
              <w:t>id</w:t>
            </w:r>
          </w:p>
        </w:tc>
        <w:tc>
          <w:tcPr>
            <w:tcW w:w="752" w:type="dxa"/>
            <w:tcBorders>
              <w:bottom w:val="double" w:sz="4" w:space="0" w:color="000000"/>
            </w:tcBorders>
            <w:shd w:color="auto" w:fill="D9D9D9" w:themeFill="background1" w:themeFillShade="d9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Prot.</w:t>
            </w:r>
          </w:p>
        </w:tc>
        <w:tc>
          <w:tcPr>
            <w:tcW w:w="1693" w:type="dxa"/>
            <w:tcBorders>
              <w:bottom w:val="double" w:sz="4" w:space="0" w:color="000000"/>
            </w:tcBorders>
            <w:shd w:color="auto" w:fill="D9D9D9" w:themeFill="background1" w:themeFillShade="d9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 xml:space="preserve">Origen </w:t>
            </w:r>
          </w:p>
        </w:tc>
        <w:tc>
          <w:tcPr>
            <w:tcW w:w="1735" w:type="dxa"/>
            <w:tcBorders>
              <w:bottom w:val="double" w:sz="4" w:space="0" w:color="000000"/>
            </w:tcBorders>
            <w:shd w:color="auto" w:fill="D9D9D9" w:themeFill="background1" w:themeFillShade="d9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Destino</w:t>
            </w:r>
          </w:p>
        </w:tc>
        <w:tc>
          <w:tcPr>
            <w:tcW w:w="902" w:type="dxa"/>
            <w:tcBorders>
              <w:bottom w:val="double" w:sz="4" w:space="0" w:color="000000"/>
            </w:tcBorders>
            <w:shd w:color="auto" w:fill="D9D9D9" w:themeFill="background1" w:themeFillShade="d9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Inicial</w:t>
            </w:r>
          </w:p>
        </w:tc>
        <w:tc>
          <w:tcPr>
            <w:tcW w:w="739" w:type="dxa"/>
            <w:tcBorders>
              <w:bottom w:val="double" w:sz="4" w:space="0" w:color="000000"/>
            </w:tcBorders>
            <w:shd w:color="auto" w:fill="D9D9D9" w:themeFill="background1" w:themeFillShade="d9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Final</w:t>
            </w:r>
          </w:p>
        </w:tc>
        <w:tc>
          <w:tcPr>
            <w:tcW w:w="8582" w:type="dxa"/>
            <w:tcBorders>
              <w:bottom w:val="double" w:sz="4" w:space="0" w:color="000000"/>
            </w:tcBorders>
            <w:shd w:color="auto" w:fill="D9D9D9" w:themeFill="background1" w:themeFillShade="d9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Explicación y relación con el contenido de la cuestión anterior</w:t>
            </w:r>
          </w:p>
        </w:tc>
      </w:tr>
      <w:tr>
        <w:trPr/>
        <w:tc>
          <w:tcPr>
            <w:tcW w:w="167" w:type="dxa"/>
            <w:tcBorders>
              <w:top w:val="doub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 w:val="false"/>
              <w:jc w:val="start"/>
              <w:rPr>
                <w:i/>
                <w:sz w:val="16"/>
              </w:rPr>
            </w:pPr>
            <w:r>
              <w:rPr>
                <w:i/>
                <w:sz w:val="16"/>
              </w:rPr>
            </w:r>
          </w:p>
        </w:tc>
        <w:tc>
          <w:tcPr>
            <w:tcW w:w="752" w:type="dxa"/>
            <w:tcBorders>
              <w:top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ES" w:eastAsia="en-US" w:bidi="ar-SA"/>
              </w:rPr>
              <w:t xml:space="preserve">icmp </w:t>
            </w:r>
          </w:p>
        </w:tc>
        <w:tc>
          <w:tcPr>
            <w:tcW w:w="1693" w:type="dxa"/>
            <w:tcBorders>
              <w:top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192.168.56.10</w:t>
            </w:r>
          </w:p>
        </w:tc>
        <w:tc>
          <w:tcPr>
            <w:tcW w:w="1735" w:type="dxa"/>
            <w:tcBorders>
              <w:top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firewall (WAN)</w:t>
            </w:r>
          </w:p>
        </w:tc>
        <w:tc>
          <w:tcPr>
            <w:tcW w:w="902" w:type="dxa"/>
            <w:tcBorders>
              <w:top w:val="double" w:sz="4" w:space="0" w:color="000000"/>
            </w:tcBorders>
            <w:tcMar>
              <w:start w:w="108" w:type="dxa"/>
              <w:end w:w="108" w:type="dxa"/>
            </w:tcMar>
          </w:tcPr>
          <w:sdt>
            <w:sdtPr>
              <w:id w:val="1960290039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739" w:type="dxa"/>
            <w:tcBorders>
              <w:top w:val="double" w:sz="4" w:space="0" w:color="000000"/>
            </w:tcBorders>
            <w:tcMar>
              <w:start w:w="108" w:type="dxa"/>
              <w:end w:w="108" w:type="dxa"/>
            </w:tcMar>
          </w:tcPr>
          <w:sdt>
            <w:sdtPr>
              <w:id w:val="-775788425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8582" w:type="dxa"/>
            <w:tcBorders>
              <w:top w:val="double" w:sz="4" w:space="0" w:color="000000"/>
            </w:tcBorders>
            <w:tcMar>
              <w:top w:w="28" w:type="dxa"/>
              <w:start w:w="108" w:type="dxa"/>
              <w:bottom w:w="28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/>
        <w:tc>
          <w:tcPr>
            <w:tcW w:w="167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 w:val="false"/>
              <w:jc w:val="start"/>
              <w:rPr>
                <w:i/>
                <w:sz w:val="16"/>
              </w:rPr>
            </w:pPr>
            <w:r>
              <w:rPr>
                <w:i/>
                <w:sz w:val="16"/>
              </w:rPr>
            </w:r>
          </w:p>
        </w:tc>
        <w:tc>
          <w:tcPr>
            <w:tcW w:w="752" w:type="dxa"/>
            <w:tcBorders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ES" w:eastAsia="en-US" w:bidi="ar-SA"/>
              </w:rPr>
              <w:t>icmp</w:t>
            </w:r>
          </w:p>
        </w:tc>
        <w:tc>
          <w:tcPr>
            <w:tcW w:w="1693" w:type="dxa"/>
            <w:tcBorders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192.168.56.10</w:t>
            </w:r>
          </w:p>
        </w:tc>
        <w:tc>
          <w:tcPr>
            <w:tcW w:w="1735" w:type="dxa"/>
            <w:tcBorders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firewall (LAN)</w:t>
            </w:r>
          </w:p>
        </w:tc>
        <w:tc>
          <w:tcPr>
            <w:tcW w:w="902" w:type="dxa"/>
            <w:tcBorders/>
            <w:tcMar>
              <w:start w:w="108" w:type="dxa"/>
              <w:end w:w="108" w:type="dxa"/>
            </w:tcMar>
          </w:tcPr>
          <w:sdt>
            <w:sdtPr>
              <w:id w:val="528765878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739" w:type="dxa"/>
            <w:tcBorders/>
            <w:tcMar>
              <w:start w:w="108" w:type="dxa"/>
              <w:end w:w="108" w:type="dxa"/>
            </w:tcMar>
          </w:tcPr>
          <w:sdt>
            <w:sdtPr>
              <w:id w:val="541412787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8582" w:type="dxa"/>
            <w:tcBorders/>
            <w:tcMar>
              <w:top w:w="28" w:type="dxa"/>
              <w:start w:w="108" w:type="dxa"/>
              <w:bottom w:w="28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/>
        <w:tc>
          <w:tcPr>
            <w:tcW w:w="167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357" w:start="357"/>
              <w:contextualSpacing w:val="false"/>
              <w:jc w:val="start"/>
              <w:rPr>
                <w:i/>
                <w:sz w:val="16"/>
              </w:rPr>
            </w:pPr>
            <w:r>
              <w:rPr>
                <w:i/>
                <w:sz w:val="16"/>
              </w:rPr>
            </w:r>
          </w:p>
        </w:tc>
        <w:tc>
          <w:tcPr>
            <w:tcW w:w="752" w:type="dxa"/>
            <w:tcBorders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ES" w:eastAsia="en-US" w:bidi="ar-SA"/>
              </w:rPr>
              <w:t>icmp</w:t>
            </w:r>
          </w:p>
        </w:tc>
        <w:tc>
          <w:tcPr>
            <w:tcW w:w="1693" w:type="dxa"/>
            <w:tcBorders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192.168.56.10</w:t>
            </w:r>
          </w:p>
        </w:tc>
        <w:tc>
          <w:tcPr>
            <w:tcW w:w="1735" w:type="dxa"/>
            <w:tcBorders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192.168.57.2</w:t>
            </w:r>
          </w:p>
        </w:tc>
        <w:tc>
          <w:tcPr>
            <w:tcW w:w="902" w:type="dxa"/>
            <w:tcBorders/>
            <w:tcMar>
              <w:start w:w="108" w:type="dxa"/>
              <w:end w:w="108" w:type="dxa"/>
            </w:tcMar>
          </w:tcPr>
          <w:sdt>
            <w:sdtPr>
              <w:id w:val="-1267688073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739" w:type="dxa"/>
            <w:tcBorders/>
            <w:tcMar>
              <w:start w:w="108" w:type="dxa"/>
              <w:end w:w="108" w:type="dxa"/>
            </w:tcMar>
          </w:tcPr>
          <w:sdt>
            <w:sdtPr>
              <w:id w:val="-381635711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8582" w:type="dxa"/>
            <w:tcBorders/>
            <w:tcMar>
              <w:top w:w="28" w:type="dxa"/>
              <w:start w:w="108" w:type="dxa"/>
              <w:bottom w:w="28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/>
        <w:tc>
          <w:tcPr>
            <w:tcW w:w="167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357" w:start="357"/>
              <w:contextualSpacing w:val="false"/>
              <w:jc w:val="start"/>
              <w:rPr>
                <w:i/>
                <w:sz w:val="16"/>
              </w:rPr>
            </w:pPr>
            <w:r>
              <w:rPr>
                <w:i/>
                <w:sz w:val="16"/>
              </w:rPr>
            </w:r>
          </w:p>
        </w:tc>
        <w:tc>
          <w:tcPr>
            <w:tcW w:w="752" w:type="dxa"/>
            <w:tcBorders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ES" w:eastAsia="en-US" w:bidi="ar-SA"/>
              </w:rPr>
              <w:t>icmp</w:t>
            </w:r>
          </w:p>
        </w:tc>
        <w:tc>
          <w:tcPr>
            <w:tcW w:w="1693" w:type="dxa"/>
            <w:tcBorders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192.168.57.2</w:t>
            </w:r>
          </w:p>
        </w:tc>
        <w:tc>
          <w:tcPr>
            <w:tcW w:w="1735" w:type="dxa"/>
            <w:tcBorders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firewall (LAN)</w:t>
            </w:r>
          </w:p>
        </w:tc>
        <w:tc>
          <w:tcPr>
            <w:tcW w:w="902" w:type="dxa"/>
            <w:tcBorders/>
            <w:tcMar>
              <w:start w:w="108" w:type="dxa"/>
              <w:end w:w="108" w:type="dxa"/>
            </w:tcMar>
          </w:tcPr>
          <w:sdt>
            <w:sdtPr>
              <w:id w:val="949443530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739" w:type="dxa"/>
            <w:tcBorders/>
            <w:tcMar>
              <w:start w:w="108" w:type="dxa"/>
              <w:end w:w="108" w:type="dxa"/>
            </w:tcMar>
          </w:tcPr>
          <w:sdt>
            <w:sdtPr>
              <w:id w:val="170616883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8582" w:type="dxa"/>
            <w:tcBorders/>
            <w:tcMar>
              <w:top w:w="28" w:type="dxa"/>
              <w:start w:w="108" w:type="dxa"/>
              <w:bottom w:w="28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/>
        <w:tc>
          <w:tcPr>
            <w:tcW w:w="167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357" w:start="357"/>
              <w:contextualSpacing w:val="false"/>
              <w:jc w:val="start"/>
              <w:rPr>
                <w:i/>
                <w:sz w:val="16"/>
              </w:rPr>
            </w:pPr>
            <w:r>
              <w:rPr>
                <w:i/>
                <w:sz w:val="16"/>
              </w:rPr>
            </w:r>
          </w:p>
        </w:tc>
        <w:tc>
          <w:tcPr>
            <w:tcW w:w="752" w:type="dxa"/>
            <w:tcBorders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ES" w:eastAsia="en-US" w:bidi="ar-SA"/>
              </w:rPr>
              <w:t>icmp</w:t>
            </w:r>
          </w:p>
        </w:tc>
        <w:tc>
          <w:tcPr>
            <w:tcW w:w="1693" w:type="dxa"/>
            <w:tcBorders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192.168.57.2</w:t>
            </w:r>
          </w:p>
        </w:tc>
        <w:tc>
          <w:tcPr>
            <w:tcW w:w="1735" w:type="dxa"/>
            <w:tcBorders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firewall (WAN)</w:t>
            </w:r>
          </w:p>
        </w:tc>
        <w:tc>
          <w:tcPr>
            <w:tcW w:w="902" w:type="dxa"/>
            <w:tcBorders/>
            <w:tcMar>
              <w:start w:w="108" w:type="dxa"/>
              <w:end w:w="108" w:type="dxa"/>
            </w:tcMar>
          </w:tcPr>
          <w:sdt>
            <w:sdtPr>
              <w:id w:val="1500779399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739" w:type="dxa"/>
            <w:tcBorders/>
            <w:tcMar>
              <w:start w:w="108" w:type="dxa"/>
              <w:end w:w="108" w:type="dxa"/>
            </w:tcMar>
          </w:tcPr>
          <w:sdt>
            <w:sdtPr>
              <w:id w:val="-660776153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8582" w:type="dxa"/>
            <w:tcBorders/>
            <w:tcMar>
              <w:top w:w="28" w:type="dxa"/>
              <w:start w:w="108" w:type="dxa"/>
              <w:bottom w:w="28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/>
        <w:tc>
          <w:tcPr>
            <w:tcW w:w="167" w:type="dxa"/>
            <w:tcBorders>
              <w:bottom w:val="doub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357" w:start="357"/>
              <w:contextualSpacing w:val="false"/>
              <w:jc w:val="start"/>
              <w:rPr>
                <w:i/>
                <w:sz w:val="16"/>
              </w:rPr>
            </w:pPr>
            <w:r>
              <w:rPr>
                <w:i/>
                <w:sz w:val="16"/>
              </w:rPr>
            </w:r>
          </w:p>
        </w:tc>
        <w:tc>
          <w:tcPr>
            <w:tcW w:w="752" w:type="dxa"/>
            <w:tcBorders>
              <w:bottom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ES" w:eastAsia="en-US" w:bidi="ar-SA"/>
              </w:rPr>
              <w:t>icmp</w:t>
            </w:r>
          </w:p>
        </w:tc>
        <w:tc>
          <w:tcPr>
            <w:tcW w:w="1693" w:type="dxa"/>
            <w:tcBorders>
              <w:bottom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192.168.57.2</w:t>
            </w:r>
          </w:p>
        </w:tc>
        <w:tc>
          <w:tcPr>
            <w:tcW w:w="1735" w:type="dxa"/>
            <w:tcBorders>
              <w:bottom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192.168.56.10</w:t>
            </w:r>
          </w:p>
        </w:tc>
        <w:tc>
          <w:tcPr>
            <w:tcW w:w="902" w:type="dxa"/>
            <w:tcBorders>
              <w:bottom w:val="double" w:sz="4" w:space="0" w:color="000000"/>
            </w:tcBorders>
            <w:tcMar>
              <w:start w:w="108" w:type="dxa"/>
              <w:end w:w="108" w:type="dxa"/>
            </w:tcMar>
          </w:tcPr>
          <w:sdt>
            <w:sdtPr>
              <w:id w:val="-1636863632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739" w:type="dxa"/>
            <w:tcBorders>
              <w:bottom w:val="double" w:sz="4" w:space="0" w:color="000000"/>
            </w:tcBorders>
            <w:tcMar>
              <w:start w:w="108" w:type="dxa"/>
              <w:end w:w="108" w:type="dxa"/>
            </w:tcMar>
          </w:tcPr>
          <w:sdt>
            <w:sdtPr>
              <w:id w:val="-776247301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8582" w:type="dxa"/>
            <w:tcBorders>
              <w:bottom w:val="double" w:sz="4" w:space="0" w:color="000000"/>
            </w:tcBorders>
            <w:tcMar>
              <w:top w:w="28" w:type="dxa"/>
              <w:start w:w="108" w:type="dxa"/>
              <w:bottom w:w="28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/>
        <w:tc>
          <w:tcPr>
            <w:tcW w:w="167" w:type="dxa"/>
            <w:tcBorders>
              <w:top w:val="doub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357" w:start="357"/>
              <w:contextualSpacing w:val="false"/>
              <w:jc w:val="start"/>
              <w:rPr>
                <w:i/>
                <w:sz w:val="16"/>
              </w:rPr>
            </w:pPr>
            <w:r>
              <w:rPr>
                <w:i/>
                <w:sz w:val="16"/>
              </w:rPr>
            </w:r>
          </w:p>
        </w:tc>
        <w:tc>
          <w:tcPr>
            <w:tcW w:w="752" w:type="dxa"/>
            <w:tcBorders>
              <w:top w:val="double" w:sz="4" w:space="0" w:color="000000"/>
            </w:tcBorders>
            <w:shd w:color="auto" w:fill="auto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ES" w:eastAsia="en-US" w:bidi="ar-SA"/>
              </w:rPr>
              <w:t>http</w:t>
            </w:r>
          </w:p>
        </w:tc>
        <w:tc>
          <w:tcPr>
            <w:tcW w:w="1693" w:type="dxa"/>
            <w:tcBorders>
              <w:top w:val="double" w:sz="4" w:space="0" w:color="000000"/>
            </w:tcBorders>
            <w:shd w:color="auto" w:fill="auto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192.168.57.2</w:t>
            </w:r>
          </w:p>
        </w:tc>
        <w:tc>
          <w:tcPr>
            <w:tcW w:w="1735" w:type="dxa"/>
            <w:tcBorders>
              <w:top w:val="double" w:sz="4" w:space="0" w:color="000000"/>
            </w:tcBorders>
            <w:shd w:color="auto" w:fill="auto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Servidor http</w:t>
            </w:r>
          </w:p>
        </w:tc>
        <w:tc>
          <w:tcPr>
            <w:tcW w:w="902" w:type="dxa"/>
            <w:tcBorders>
              <w:top w:val="double" w:sz="4" w:space="0" w:color="000000"/>
            </w:tcBorders>
            <w:shd w:color="auto" w:fill="auto" w:val="clear"/>
            <w:tcMar>
              <w:start w:w="108" w:type="dxa"/>
              <w:end w:w="108" w:type="dxa"/>
            </w:tcMar>
          </w:tcPr>
          <w:sdt>
            <w:sdtPr>
              <w:id w:val="694971313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739" w:type="dxa"/>
            <w:tcBorders>
              <w:top w:val="double" w:sz="4" w:space="0" w:color="000000"/>
            </w:tcBorders>
            <w:shd w:color="auto" w:fill="auto" w:val="clear"/>
            <w:tcMar>
              <w:start w:w="108" w:type="dxa"/>
              <w:end w:w="108" w:type="dxa"/>
            </w:tcMar>
          </w:tcPr>
          <w:sdt>
            <w:sdtPr>
              <w:id w:val="1908791994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center"/>
                  <w:rPr>
                    <w:b/>
                    <w:color w:val="FF0000"/>
                  </w:rPr>
                </w:pPr>
                <w:r>
                  <w:rPr>
                    <w:rFonts w:eastAsia="MS Gothic" w:cs="" w:hint="eastAsia" w:ascii="MS Gothic" w:hAnsi="MS Gothic"/>
                    <w:b/>
                    <w:color w:val="FF0000"/>
                    <w:kern w:val="0"/>
                    <w:sz w:val="22"/>
                    <w:szCs w:val="22"/>
                    <w:lang w:val="es-ES" w:eastAsia="en-US" w:bidi="ar-SA"/>
                  </w:rPr>
                  <w:t>☐</w:t>
                </w:r>
              </w:p>
            </w:sdtContent>
          </w:sdt>
        </w:tc>
        <w:tc>
          <w:tcPr>
            <w:tcW w:w="8582" w:type="dxa"/>
            <w:tcBorders>
              <w:top w:val="double" w:sz="4" w:space="0" w:color="000000"/>
            </w:tcBorders>
            <w:tcMar>
              <w:top w:w="28" w:type="dxa"/>
              <w:start w:w="108" w:type="dxa"/>
              <w:bottom w:w="28" w:type="dxa"/>
              <w:end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</w:tbl>
    <w:p>
      <w:pPr>
        <w:pStyle w:val="Heading2"/>
        <w:numPr>
          <w:ilvl w:val="1"/>
          <w:numId w:val="8"/>
        </w:numPr>
        <w:rPr/>
      </w:pPr>
      <w:r>
        <w:rPr/>
        <w:t xml:space="preserve"> </w:t>
      </w:r>
      <w:r>
        <w:rPr/>
        <w:t xml:space="preserve">Registro </w:t>
      </w:r>
      <w:r>
        <w:rPr>
          <w:rFonts w:eastAsia="Calibri" w:eastAsiaTheme="minorHAnsi"/>
        </w:rPr>
        <w:t>(Calificación 1,5 puntos)</w:t>
      </w:r>
    </w:p>
    <w:p>
      <w:pPr>
        <w:pStyle w:val="Normal"/>
        <w:spacing w:lineRule="auto" w:line="240" w:before="0" w:after="120"/>
        <w:jc w:val="both"/>
        <w:rPr/>
      </w:pPr>
      <w:r>
        <w:rPr/>
        <w:t xml:space="preserve">Elabora una composición gráfica </w:t>
      </w:r>
      <w:r>
        <w:rPr>
          <w:i/>
          <w:sz w:val="16"/>
        </w:rPr>
        <w:t xml:space="preserve">(se valorará claridad) </w:t>
      </w:r>
      <w:r>
        <w:rPr/>
        <w:t>que muestre el registro (</w:t>
      </w:r>
      <w:r>
        <w:rPr>
          <w:i/>
        </w:rPr>
        <w:t>log</w:t>
      </w:r>
      <w:r>
        <w:rPr/>
        <w:t>) correspondiente al plan de pruebas realizado y con los ajustes indicados en la guía de la actividad</w:t>
      </w:r>
    </w:p>
    <w:tbl>
      <w:tblPr>
        <w:tblStyle w:val="Tablaconcuadrcula"/>
        <w:tblW w:w="145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560"/>
      </w:tblGrid>
      <w:tr>
        <w:trPr/>
        <w:tc>
          <w:tcPr>
            <w:tcW w:w="14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</w:r>
          </w:p>
        </w:tc>
      </w:tr>
    </w:tbl>
    <w:p>
      <w:pPr>
        <w:pStyle w:val="Normal"/>
        <w:spacing w:lineRule="auto" w:line="240" w:before="0" w:after="120"/>
        <w:jc w:val="center"/>
        <w:rPr>
          <w:i/>
          <w:sz w:val="18"/>
        </w:rPr>
      </w:pPr>
      <w:r>
        <w:rPr>
          <w:i/>
          <w:sz w:val="18"/>
        </w:rPr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footnotePr>
        <w:numFmt w:val="decimal"/>
      </w:footnotePr>
      <w:type w:val="nextPage"/>
      <w:pgSz w:orient="landscape" w:w="16838" w:h="11906"/>
      <w:pgMar w:left="1134" w:right="1134" w:gutter="0" w:header="709" w:top="851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 Narrow">
    <w:charset w:val="01" w:characterSet="utf-8"/>
    <w:family w:val="swiss"/>
    <w:pitch w:val="variable"/>
  </w:font>
  <w:font w:name="MS Gothic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447805648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14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447805648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14</w:t>
        </w:r>
        <w:r>
          <w:rPr/>
          <w:fldChar w:fldCharType="end"/>
        </w:r>
      </w:p>
    </w:sdtContent>
  </w:sdt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sz w:val="18"/>
          <w:szCs w:val="18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sz w:val="18"/>
          <w:szCs w:val="18"/>
        </w:rPr>
        <w:t>NOTA: Se sugiere verificar con Packet Tracer en modo simulación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numPr>
        <w:ilvl w:val="0"/>
        <w:numId w:val="0"/>
      </w:numPr>
      <w:spacing w:lineRule="auto" w:line="240" w:before="0" w:after="240"/>
      <w:ind w:hanging="0" w:start="0"/>
      <w:jc w:val="center"/>
      <w:rPr>
        <w:rStyle w:val="BookTitle"/>
        <w:i w:val="false"/>
      </w:rPr>
    </w:pPr>
    <w:r>
      <w:rPr>
        <w:rStyle w:val="BookTitle"/>
        <w:i w:val="false"/>
      </w:rPr>
      <w:t>Seguridad en Sistemas y Redes. Actividad Cortafuegos 2025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numPr>
        <w:ilvl w:val="0"/>
        <w:numId w:val="0"/>
      </w:numPr>
      <w:spacing w:lineRule="auto" w:line="240" w:before="0" w:after="240"/>
      <w:ind w:hanging="0" w:start="0"/>
      <w:jc w:val="center"/>
      <w:rPr>
        <w:rStyle w:val="BookTitle"/>
        <w:i w:val="false"/>
      </w:rPr>
    </w:pPr>
    <w:r>
      <w:rPr>
        <w:rStyle w:val="BookTitle"/>
        <w:i w:val="false"/>
      </w:rPr>
      <w:t>Seguridad en Sistemas y Redes. Actividad Cortafuegos 2025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º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222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942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662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82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102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822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542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262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50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764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284" w:hanging="284"/>
      </w:pPr>
      <w:rPr/>
    </w:lvl>
    <w:lvl w:ilvl="1">
      <w:start w:val="1"/>
      <w:numFmt w:val="upperRoman"/>
      <w:lvlText w:val="%1.%2."/>
      <w:lvlJc w:val="start"/>
      <w:pPr>
        <w:tabs>
          <w:tab w:val="num" w:pos="0"/>
        </w:tabs>
        <w:ind w:start="284" w:hanging="284"/>
      </w:pPr>
      <w:rPr>
        <w:sz w:val="26"/>
        <w:szCs w:val="26"/>
      </w:rPr>
    </w:lvl>
    <w:lvl w:ilvl="2">
      <w:start w:val="1"/>
      <w:numFmt w:val="lowerLetter"/>
      <w:lvlText w:val="%1.%2.%3)"/>
      <w:lvlJc w:val="start"/>
      <w:pPr>
        <w:tabs>
          <w:tab w:val="num" w:pos="0"/>
        </w:tabs>
        <w:ind w:start="284" w:hanging="284"/>
      </w:pPr>
      <w:rPr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shadow w:val="false"/>
        <w:emboss w:val="false"/>
        <w:imprint w:val="false"/>
        <w:vanish w:val="false"/>
        <w:spacing w:val="0"/>
        <w:kern w:val="0"/>
        <w:position w:val="0"/>
        <w:sz w:val="22"/>
        <w:u w:val="none"/>
        <w:effect w:val="none"/>
        <w:vertAlign w:val="baseline"/>
        <w:em w:val="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>
          <w14:cntxtAlts/>
        </w14:cntxtAlts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6"/>
  <w:defaultTabStop w:val="284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f6748"/>
    <w:pPr>
      <w:keepNext w:val="true"/>
      <w:keepLines/>
      <w:numPr>
        <w:ilvl w:val="0"/>
        <w:numId w:val="8"/>
      </w:numPr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autoRedefine/>
    <w:uiPriority w:val="9"/>
    <w:unhideWhenUsed/>
    <w:qFormat/>
    <w:rsid w:val="00bc180b"/>
    <w:pPr>
      <w:keepNext w:val="true"/>
      <w:keepLines/>
      <w:numPr>
        <w:ilvl w:val="1"/>
        <w:numId w:val="8"/>
      </w:numPr>
      <w:spacing w:lineRule="auto" w:line="240" w:before="2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7e7600"/>
    <w:pPr>
      <w:keepNext w:val="true"/>
      <w:keepLines/>
      <w:numPr>
        <w:ilvl w:val="2"/>
        <w:numId w:val="8"/>
      </w:numPr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rsid w:val="00b209df"/>
    <w:rPr>
      <w:color w:val="0000FF"/>
      <w:u w:val="single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ff674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b734e4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b734e4"/>
    <w:rPr/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e61baa"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e61baa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bc180b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7e2bf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71697"/>
    <w:rPr>
      <w:i/>
      <w:iCs/>
    </w:rPr>
  </w:style>
  <w:style w:type="character" w:styleId="Strong">
    <w:name w:val="Strong"/>
    <w:basedOn w:val="DefaultParagraphFont"/>
    <w:uiPriority w:val="22"/>
    <w:qFormat/>
    <w:rsid w:val="009a076b"/>
    <w:rPr>
      <w:b/>
      <w:bCs/>
    </w:rPr>
  </w:style>
  <w:style w:type="character" w:styleId="BookTitle">
    <w:name w:val="Book Title"/>
    <w:basedOn w:val="DefaultParagraphFont"/>
    <w:uiPriority w:val="33"/>
    <w:qFormat/>
    <w:rsid w:val="005d51e4"/>
    <w:rPr>
      <w:b/>
      <w:bCs/>
      <w:i/>
      <w:iCs/>
      <w:spacing w:val="5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7e7600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lp-block" w:customStyle="1">
    <w:name w:val="help-block"/>
    <w:basedOn w:val="DefaultParagraphFont"/>
    <w:qFormat/>
    <w:rsid w:val="007f1fb0"/>
    <w:rPr/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060f30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b734e4"/>
    <w:pPr>
      <w:tabs>
        <w:tab w:val="clear" w:pos="284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b734e4"/>
    <w:pPr>
      <w:tabs>
        <w:tab w:val="clear" w:pos="284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TextonotapieCar"/>
    <w:uiPriority w:val="99"/>
    <w:semiHidden/>
    <w:unhideWhenUsed/>
    <w:rsid w:val="00e61baa"/>
    <w:pPr>
      <w:spacing w:lineRule="auto" w:line="240" w:before="0" w:after="0"/>
    </w:pPr>
    <w:rPr>
      <w:sz w:val="20"/>
      <w:szCs w:val="20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7e2bf1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68574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s-ES_tradnl" w:eastAsia="es-ES_tradnl"/>
    </w:rPr>
  </w:style>
  <w:style w:type="paragraph" w:styleId="Default" w:customStyle="1">
    <w:name w:val="Default"/>
    <w:qFormat/>
    <w:rsid w:val="00bc180b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000000"/>
      <w:kern w:val="0"/>
      <w:sz w:val="24"/>
      <w:szCs w:val="24"/>
      <w:lang w:val="es-E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060f3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footnotes" Target="footnotes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76723-3DA4-4EFD-863C-F7BB39213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Application>LibreOffice/26.2.0.3$Linux_X86_64 LibreOffice_project/620$Build-3</Application>
  <AppVersion>15.0000</AppVersion>
  <Pages>14</Pages>
  <Words>2268</Words>
  <Characters>12078</Characters>
  <CharactersWithSpaces>14033</CharactersWithSpaces>
  <Paragraphs>305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2025-01-29T11:27:00Z</dcterms:created>
  <dc:creator>Usuario de Windows</dc:creator>
  <dc:description/>
  <dc:language>es-ES</dc:language>
  <cp:lastModifiedBy/>
  <cp:lastPrinted>2024-01-16T18:18:00Z</cp:lastPrinted>
  <dcterms:modified xsi:type="dcterms:W3CDTF">2026-02-15T15:01:47Z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