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Manual de Usuario</w:t>
      </w:r>
    </w:p>
    <w:p w:rsidR="00000000" w:rsidDel="00000000" w:rsidP="00000000" w:rsidRDefault="00000000" w:rsidRPr="00000000" w14:paraId="0000000A">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Proyecto Middleware ETL</w:t>
      </w:r>
    </w:p>
    <w:p w:rsidR="00000000" w:rsidDel="00000000" w:rsidP="00000000" w:rsidRDefault="00000000" w:rsidRPr="00000000" w14:paraId="0000000B">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Índice</w:t>
      </w:r>
    </w:p>
    <w:p w:rsidR="00000000" w:rsidDel="00000000" w:rsidP="00000000" w:rsidRDefault="00000000" w:rsidRPr="00000000" w14:paraId="00000016">
      <w:pP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sz w:val="44"/>
          <w:szCs w:val="44"/>
        </w:rPr>
      </w:pPr>
      <w:bookmarkStart w:colFirst="0" w:colLast="0" w:name="_4w9o3nkyqp1z" w:id="0"/>
      <w:bookmarkEnd w:id="0"/>
      <w:r w:rsidDel="00000000" w:rsidR="00000000" w:rsidRPr="00000000">
        <w:rPr>
          <w:rFonts w:ascii="Times New Roman" w:cs="Times New Roman" w:eastAsia="Times New Roman" w:hAnsi="Times New Roman"/>
          <w:sz w:val="44"/>
          <w:szCs w:val="44"/>
          <w:rtl w:val="0"/>
        </w:rPr>
        <w:t xml:space="preserve">Objetivo</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de manera específica las funcionalidades de nuestro sistema Middleware-ETL.</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sz w:val="44"/>
          <w:szCs w:val="44"/>
        </w:rPr>
      </w:pPr>
      <w:bookmarkStart w:colFirst="0" w:colLast="0" w:name="_p7jf0llvix32" w:id="1"/>
      <w:bookmarkEnd w:id="1"/>
      <w:r w:rsidDel="00000000" w:rsidR="00000000" w:rsidRPr="00000000">
        <w:rPr>
          <w:rFonts w:ascii="Times New Roman" w:cs="Times New Roman" w:eastAsia="Times New Roman" w:hAnsi="Times New Roman"/>
          <w:sz w:val="44"/>
          <w:szCs w:val="44"/>
          <w:rtl w:val="0"/>
        </w:rPr>
        <w:t xml:space="preserve">Módulo 1: Gestión de tareas orquestadas (Airflow UI)</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funcionalidades de este módulo están hechas especialmente para el usuario administrador, donde este tendrá la responsabilidad de ejecutar manualmente las cargas masivas, como singulares de cada entidad dentro del sistema middleware;</w:t>
      </w:r>
    </w:p>
    <w:p w:rsidR="00000000" w:rsidDel="00000000" w:rsidP="00000000" w:rsidRDefault="00000000" w:rsidRPr="00000000" w14:paraId="0000002D">
      <w:pPr>
        <w:pStyle w:val="Heading2"/>
        <w:rPr>
          <w:sz w:val="36"/>
          <w:szCs w:val="36"/>
        </w:rPr>
      </w:pPr>
      <w:bookmarkStart w:colFirst="0" w:colLast="0" w:name="_io8fp2wk9as" w:id="2"/>
      <w:bookmarkEnd w:id="2"/>
      <w:r w:rsidDel="00000000" w:rsidR="00000000" w:rsidRPr="00000000">
        <w:rPr>
          <w:sz w:val="36"/>
          <w:szCs w:val="36"/>
          <w:rtl w:val="0"/>
        </w:rPr>
        <w:t xml:space="preserve">1.1 CARGA MASIVA DE DATOS</w:t>
      </w:r>
    </w:p>
    <w:p w:rsidR="00000000" w:rsidDel="00000000" w:rsidP="00000000" w:rsidRDefault="00000000" w:rsidRPr="00000000" w14:paraId="0000002E">
      <w:pPr>
        <w:pStyle w:val="Heading3"/>
        <w:rPr>
          <w:rFonts w:ascii="Times New Roman" w:cs="Times New Roman" w:eastAsia="Times New Roman" w:hAnsi="Times New Roman"/>
          <w:color w:val="000000"/>
          <w:sz w:val="32"/>
          <w:szCs w:val="32"/>
        </w:rPr>
      </w:pPr>
      <w:bookmarkStart w:colFirst="0" w:colLast="0" w:name="_h1fxes971cn" w:id="3"/>
      <w:bookmarkEnd w:id="3"/>
      <w:r w:rsidDel="00000000" w:rsidR="00000000" w:rsidRPr="00000000">
        <w:rPr>
          <w:rFonts w:ascii="Times New Roman" w:cs="Times New Roman" w:eastAsia="Times New Roman" w:hAnsi="Times New Roman"/>
          <w:color w:val="000000"/>
          <w:sz w:val="32"/>
          <w:szCs w:val="32"/>
          <w:rtl w:val="0"/>
        </w:rPr>
        <w:t xml:space="preserve">1.1.1 INICIAR DAG DE CARGA INICIAL</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con perfil de administrador a la interfaz gráfica de Airflow.</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iniciar sesión, te aparecerán distintos DAGs que tienes desarrollados.</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Escoger el DAG con el nombre de “dag master pipeline”.</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Luego, en la parte superior derecha del cuadro de los DAGs, llegar a la columna de “Actions”.</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Presionar el botón de “Play” para inicializar el DAG.</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2"/>
        <w:rPr>
          <w:rFonts w:ascii="Times New Roman" w:cs="Times New Roman" w:eastAsia="Times New Roman" w:hAnsi="Times New Roman"/>
          <w:sz w:val="36"/>
          <w:szCs w:val="36"/>
        </w:rPr>
      </w:pPr>
      <w:bookmarkStart w:colFirst="0" w:colLast="0" w:name="_xi9ayuzc112x" w:id="4"/>
      <w:bookmarkEnd w:id="4"/>
      <w:r w:rsidDel="00000000" w:rsidR="00000000" w:rsidRPr="00000000">
        <w:rPr>
          <w:rFonts w:ascii="Times New Roman" w:cs="Times New Roman" w:eastAsia="Times New Roman" w:hAnsi="Times New Roman"/>
          <w:sz w:val="36"/>
          <w:szCs w:val="36"/>
          <w:rtl w:val="0"/>
        </w:rPr>
        <w:t xml:space="preserve">1.2 CARGA UNITARIA</w:t>
      </w:r>
    </w:p>
    <w:p w:rsidR="00000000" w:rsidDel="00000000" w:rsidP="00000000" w:rsidRDefault="00000000" w:rsidRPr="00000000" w14:paraId="00000036">
      <w:pPr>
        <w:pStyle w:val="Heading3"/>
        <w:rPr>
          <w:rFonts w:ascii="Times New Roman" w:cs="Times New Roman" w:eastAsia="Times New Roman" w:hAnsi="Times New Roman"/>
          <w:color w:val="000000"/>
          <w:sz w:val="32"/>
          <w:szCs w:val="32"/>
        </w:rPr>
      </w:pPr>
      <w:bookmarkStart w:colFirst="0" w:colLast="0" w:name="_ae6q0sk24o29" w:id="5"/>
      <w:bookmarkEnd w:id="5"/>
      <w:r w:rsidDel="00000000" w:rsidR="00000000" w:rsidRPr="00000000">
        <w:rPr>
          <w:rFonts w:ascii="Times New Roman" w:cs="Times New Roman" w:eastAsia="Times New Roman" w:hAnsi="Times New Roman"/>
          <w:color w:val="000000"/>
          <w:sz w:val="32"/>
          <w:szCs w:val="32"/>
          <w:rtl w:val="0"/>
        </w:rPr>
        <w:t xml:space="preserve">1.2.1 INICIAR DAG UNITARIO</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con perfil de administrador a la interfaz gráfica de Airflow.</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te aparecerán distintos DAGs que tienes desarrollados.</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Escoger el DAG con el nombre de la entidad a iniciar.</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en la parte superior derecha del cuadro de los DAGs, llegar a la columna de “Actions”.</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Presionar el botón de “Play” para inicializar el DAG.</w:t>
      </w:r>
    </w:p>
    <w:p w:rsidR="00000000" w:rsidDel="00000000" w:rsidP="00000000" w:rsidRDefault="00000000" w:rsidRPr="00000000" w14:paraId="0000003C">
      <w:pPr>
        <w:jc w:val="left"/>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ab/>
      </w:r>
    </w:p>
    <w:p w:rsidR="00000000" w:rsidDel="00000000" w:rsidP="00000000" w:rsidRDefault="00000000" w:rsidRPr="00000000" w14:paraId="0000003D">
      <w:pPr>
        <w:pStyle w:val="Heading1"/>
        <w:rPr>
          <w:rFonts w:ascii="Times New Roman" w:cs="Times New Roman" w:eastAsia="Times New Roman" w:hAnsi="Times New Roman"/>
          <w:sz w:val="44"/>
          <w:szCs w:val="44"/>
        </w:rPr>
      </w:pPr>
      <w:bookmarkStart w:colFirst="0" w:colLast="0" w:name="_gpu0m33nm0oe" w:id="6"/>
      <w:bookmarkEnd w:id="6"/>
      <w:r w:rsidDel="00000000" w:rsidR="00000000" w:rsidRPr="00000000">
        <w:rPr>
          <w:rFonts w:ascii="Times New Roman" w:cs="Times New Roman" w:eastAsia="Times New Roman" w:hAnsi="Times New Roman"/>
          <w:sz w:val="44"/>
          <w:szCs w:val="44"/>
          <w:rtl w:val="0"/>
        </w:rPr>
        <w:t xml:space="preserve">Módulo 2: Dashboard colaboradores</w:t>
      </w:r>
    </w:p>
    <w:p w:rsidR="00000000" w:rsidDel="00000000" w:rsidP="00000000" w:rsidRDefault="00000000" w:rsidRPr="00000000" w14:paraId="0000003E">
      <w:pPr>
        <w:rPr/>
      </w:pPr>
      <w:r w:rsidDel="00000000" w:rsidR="00000000" w:rsidRPr="00000000">
        <w:rPr>
          <w:sz w:val="24"/>
          <w:szCs w:val="24"/>
          <w:rtl w:val="0"/>
        </w:rPr>
        <w:t xml:space="preserve">En este módulo podrán acceder solo usuarios que previamente se le asignan permisos con  una cuenta única, solo para el ingreso correcto al dashboard. Esto se realiza a través de un link que se le asignará a un colaborador, y dependiendo en qué grupo de departamento esté, en el dashboard se le mostrará de una u otra forma</w:t>
      </w:r>
      <w:r w:rsidDel="00000000" w:rsidR="00000000" w:rsidRPr="00000000">
        <w:rPr>
          <w:rtl w:val="0"/>
        </w:rPr>
        <w:t xml:space="preserve">.</w:t>
      </w:r>
    </w:p>
    <w:p w:rsidR="00000000" w:rsidDel="00000000" w:rsidP="00000000" w:rsidRDefault="00000000" w:rsidRPr="00000000" w14:paraId="0000003F">
      <w:pPr>
        <w:pStyle w:val="Heading2"/>
        <w:rPr>
          <w:rFonts w:ascii="Times New Roman" w:cs="Times New Roman" w:eastAsia="Times New Roman" w:hAnsi="Times New Roman"/>
          <w:sz w:val="36"/>
          <w:szCs w:val="36"/>
        </w:rPr>
      </w:pPr>
      <w:bookmarkStart w:colFirst="0" w:colLast="0" w:name="_14kw4etefdrw" w:id="7"/>
      <w:bookmarkEnd w:id="7"/>
      <w:r w:rsidDel="00000000" w:rsidR="00000000" w:rsidRPr="00000000">
        <w:rPr>
          <w:rFonts w:ascii="Times New Roman" w:cs="Times New Roman" w:eastAsia="Times New Roman" w:hAnsi="Times New Roman"/>
          <w:sz w:val="36"/>
          <w:szCs w:val="36"/>
          <w:rtl w:val="0"/>
        </w:rPr>
        <w:t xml:space="preserve">2.1 DASHBOARD</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tab/>
      </w:r>
      <w:r w:rsidDel="00000000" w:rsidR="00000000" w:rsidRPr="00000000">
        <w:rPr>
          <w:rFonts w:ascii="Times New Roman" w:cs="Times New Roman" w:eastAsia="Times New Roman" w:hAnsi="Times New Roman"/>
          <w:sz w:val="32"/>
          <w:szCs w:val="32"/>
          <w:rtl w:val="0"/>
        </w:rPr>
        <w:t xml:space="preserve">2.1.1 INGRESO A DASHBOARD PRINCIPAL</w:t>
      </w:r>
      <w:r w:rsidDel="00000000" w:rsidR="00000000" w:rsidRPr="00000000">
        <w:rPr>
          <w:rtl w:val="0"/>
        </w:rPr>
      </w:r>
    </w:p>
    <w:p w:rsidR="00000000" w:rsidDel="00000000" w:rsidP="00000000" w:rsidRDefault="00000000" w:rsidRPr="00000000" w14:paraId="00000041">
      <w:pPr>
        <w:numPr>
          <w:ilvl w:val="0"/>
          <w:numId w:val="1"/>
        </w:numPr>
        <w:ind w:left="1440" w:hanging="360"/>
        <w:rPr>
          <w:u w:val="none"/>
        </w:rPr>
      </w:pPr>
      <w:r w:rsidDel="00000000" w:rsidR="00000000" w:rsidRPr="00000000">
        <w:rPr>
          <w:rtl w:val="0"/>
        </w:rPr>
        <w:t xml:space="preserve">Ingresar al link que se le asignó, para poder ingresar.</w:t>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Iniciar sesión con la cuenta asignada.</w:t>
      </w:r>
    </w:p>
    <w:p w:rsidR="00000000" w:rsidDel="00000000" w:rsidP="00000000" w:rsidRDefault="00000000" w:rsidRPr="00000000" w14:paraId="00000043">
      <w:pPr>
        <w:numPr>
          <w:ilvl w:val="0"/>
          <w:numId w:val="1"/>
        </w:numPr>
        <w:ind w:left="1440" w:hanging="360"/>
        <w:rPr>
          <w:u w:val="none"/>
        </w:rPr>
      </w:pPr>
      <w:r w:rsidDel="00000000" w:rsidR="00000000" w:rsidRPr="00000000">
        <w:rPr>
          <w:rtl w:val="0"/>
        </w:rPr>
        <w:t xml:space="preserve">Una vez dentro, tendrás la disponibilidad de ver tus gráficos personalizados.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drawing>
        <wp:inline distB="114300" distT="114300" distL="114300" distR="114300">
          <wp:extent cx="2233613" cy="54939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3613" cy="54939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