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Sistema de Gestión para Heladería Cafetería con Módulo Integrado de Monitoreo de Consumo de Agua y Energía</w:t>
      </w:r>
    </w:p>
    <w:p>
      <w:pPr>
        <w:jc w:val="center"/>
      </w:pPr>
      <w:r>
        <w:t>Universidad: [PENDIENTE: universidad]</w:t>
      </w:r>
    </w:p>
    <w:p>
      <w:pPr>
        <w:jc w:val="center"/>
      </w:pPr>
      <w:r>
        <w:t>Facultad: [PENDIENTE: facultad]</w:t>
      </w:r>
    </w:p>
    <w:p>
      <w:pPr>
        <w:jc w:val="center"/>
      </w:pPr>
      <w:r>
        <w:t>Carrera: [PENDIENTE: carrera]</w:t>
      </w:r>
    </w:p>
    <w:p>
      <w:pPr>
        <w:jc w:val="center"/>
      </w:pPr>
      <w:r>
        <w:t>Asignatura: Programación Web II</w:t>
      </w:r>
    </w:p>
    <w:p>
      <w:pPr>
        <w:jc w:val="center"/>
      </w:pPr>
      <w:r>
        <w:t>Integrantes: [PENDIENTE: integrantes]</w:t>
      </w:r>
    </w:p>
    <w:p>
      <w:pPr>
        <w:jc w:val="center"/>
      </w:pPr>
      <w:r>
        <w:t>Docente: [PENDIENTE: docente]</w:t>
      </w:r>
    </w:p>
    <w:p>
      <w:pPr>
        <w:jc w:val="center"/>
      </w:pPr>
      <w:r>
        <w:t>Gestión y fecha: [PENDIENTE: gestión y fecha]</w:t>
      </w:r>
    </w:p>
    <w:p>
      <w:r>
        <w:br w:type="page"/>
      </w:r>
    </w:p>
    <w:p>
      <w:pPr>
        <w:pStyle w:val="Heading1"/>
        <w:spacing w:before="240" w:after="120"/>
      </w:pPr>
      <w:r>
        <w:t>Hoja de control documental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Versión</w:t>
            </w:r>
          </w:p>
        </w:tc>
        <w:tc>
          <w:tcPr>
            <w:tcW w:type="dxa" w:w="234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Fecha</w:t>
            </w:r>
          </w:p>
        </w:tc>
        <w:tc>
          <w:tcPr>
            <w:tcW w:type="dxa" w:w="234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Descripción del cambio</w:t>
            </w:r>
          </w:p>
        </w:tc>
        <w:tc>
          <w:tcPr>
            <w:tcW w:type="dxa" w:w="234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Responsable</w:t>
            </w:r>
          </w:p>
        </w:tc>
      </w:tr>
      <w:tr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1.0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2026-09-30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Elaboración inicial basada en el repositorio</w:t>
            </w:r>
          </w:p>
        </w:tc>
        <w:tc>
          <w:tcPr>
            <w:tcW w:type="dxa" w:w="234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[PENDIENTE]</w:t>
            </w:r>
          </w:p>
        </w:tc>
      </w:tr>
    </w:tbl>
    <w:p/>
    <w:p>
      <w:pPr>
        <w:pStyle w:val="Heading1"/>
        <w:spacing w:before="240" w:after="120"/>
      </w:pPr>
      <w:r>
        <w:t>Índice general</w:t>
      </w:r>
    </w:p>
    <w:p>
      <w:pPr>
        <w:spacing w:line="360" w:lineRule="auto" w:after="120"/>
      </w:pPr>
      <w:r>
        <w:t>Capítulo I. Introducción; Capítulo II. Ingeniería de requisitos; Capítulo III. Modelado UML; Capítulo IV. Base de datos; Capítulo V. Arquitectura; Capítulo VI. Desarrollo; Capítulo VII. Docker; Capítulo VIII. Investigación; Capítulo IX. Pruebas; Capítulo X. Instalación; Capítulo XI. Despliegue; Capítulo XII. Conclusiones; referencias y anexos.</w:t>
      </w:r>
    </w:p>
    <w:p>
      <w:pPr>
        <w:pStyle w:val="Heading1"/>
        <w:spacing w:before="240" w:after="120"/>
      </w:pPr>
      <w:r>
        <w:t>Índice de figuras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N.º</w:t>
            </w:r>
          </w:p>
        </w:tc>
        <w:tc>
          <w:tcPr>
            <w:tcW w:type="dxa" w:w="468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Figura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1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Casos de uso del POS</w:t>
            </w:r>
          </w:p>
        </w:tc>
      </w:tr>
      <w:tr>
        <w:tc>
          <w:tcPr>
            <w:tcW w:type="dxa" w:w="468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2</w:t>
            </w:r>
          </w:p>
        </w:tc>
        <w:tc>
          <w:tcPr>
            <w:tcW w:type="dxa" w:w="468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Casos de uso del módulo de monitoreo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3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Modelo entidad relación del POS</w:t>
            </w:r>
          </w:p>
        </w:tc>
      </w:tr>
      <w:tr>
        <w:tc>
          <w:tcPr>
            <w:tcW w:type="dxa" w:w="468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4</w:t>
            </w:r>
          </w:p>
        </w:tc>
        <w:tc>
          <w:tcPr>
            <w:tcW w:type="dxa" w:w="468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Modelo entidad relación del monitoreo</w:t>
            </w:r>
          </w:p>
        </w:tc>
      </w:tr>
    </w:tbl>
    <w:p/>
    <w:p>
      <w:pPr>
        <w:pStyle w:val="Heading1"/>
        <w:spacing w:before="240" w:after="120"/>
      </w:pPr>
      <w:r>
        <w:t>CAPÍTULO I. INTRODUCCIÓN</w:t>
      </w:r>
    </w:p>
    <w:p>
      <w:pPr>
        <w:pStyle w:val="Heading2"/>
        <w:spacing w:before="240" w:after="120"/>
      </w:pPr>
      <w:r>
        <w:t>Antecedentes</w:t>
      </w:r>
    </w:p>
    <w:p>
      <w:pPr>
        <w:spacing w:line="360" w:lineRule="auto" w:after="120"/>
      </w:pPr>
      <w:r>
        <w:t>La operación de una heladería/cafetería integra ventas, caja, pedidos, inventario y atención al cliente. El proyecto centraliza estos procesos y añade una aplicación autónoma para registrar, clasificar y alertar sobre el consumo de agua y energía.</w:t>
      </w:r>
    </w:p>
    <w:p>
      <w:pPr>
        <w:pStyle w:val="Heading2"/>
        <w:spacing w:before="240" w:after="120"/>
      </w:pPr>
      <w:r>
        <w:t>Planteamiento del problema</w:t>
      </w:r>
    </w:p>
    <w:p>
      <w:pPr>
        <w:spacing w:line="360" w:lineRule="auto" w:after="120"/>
      </w:pPr>
      <w:r>
        <w:t>Se requiere preservar la trazabilidad de ventas, pagos, stock y turnos, a la vez que se registran consumos operativos. La integración debe tolerar indisponibilidad temporal sin compartir tablas entre aplicaciones.</w:t>
      </w:r>
    </w:p>
    <w:p>
      <w:pPr>
        <w:pStyle w:val="Heading2"/>
        <w:spacing w:before="240" w:after="120"/>
      </w:pPr>
      <w:r>
        <w:t>Justificación</w:t>
      </w:r>
    </w:p>
    <w:p>
      <w:pPr>
        <w:spacing w:line="360" w:lineRule="auto" w:after="120"/>
      </w:pPr>
      <w:r>
        <w:t>La propuesta aplica arquitectura por capas, API REST, transacciones, JWT, RBAC, RLS y contenedores. Contribuye al uso responsable de recursos y permite aplicar conocimientos de programación web y bases de datos.</w:t>
      </w:r>
    </w:p>
    <w:p>
      <w:pPr>
        <w:pStyle w:val="Heading2"/>
        <w:spacing w:before="240" w:after="120"/>
      </w:pPr>
      <w:r>
        <w:t>Objetivos</w:t>
      </w:r>
    </w:p>
    <w:p>
      <w:pPr>
        <w:spacing w:line="360" w:lineRule="auto" w:after="120"/>
      </w:pPr>
      <w:r>
        <w:t>Objetivo general: desarrollar un sistema de gestión para heladería/cafetería integrado por API con un módulo de monitoreo de agua y energía. Objetivos específicos: registrar operación comercial, trazabilidad e inventario; reportar consumo; clasificar y alertar; y aplicar seguridad e infraestructura reproducible.</w:t>
      </w:r>
    </w:p>
    <w:p>
      <w:pPr>
        <w:pStyle w:val="Heading2"/>
        <w:spacing w:before="240" w:after="120"/>
      </w:pPr>
      <w:r>
        <w:t>Alcance y ODS</w:t>
      </w:r>
    </w:p>
    <w:p>
      <w:pPr>
        <w:spacing w:line="360" w:lineRule="auto" w:after="120"/>
      </w:pPr>
      <w:r>
        <w:t>Incluye POS, Monitoreo, React, Express, Sequelize, PostgreSQL/Supabase, contratos, Docker y manifiestos Kubernetes. Se alinea con ODS 6, ODS 7 y ODS 12. La URL pública y la evidencia de despliegue permanecen pendientes.</w:t>
      </w:r>
    </w:p>
    <w:p>
      <w:pPr>
        <w:pStyle w:val="Heading1"/>
        <w:spacing w:before="240" w:after="120"/>
      </w:pPr>
      <w:r>
        <w:t>CAPÍTULO II. INGENIERÍA DE REQUERIMIENTOS</w:t>
      </w:r>
    </w:p>
    <w:p>
      <w:pPr>
        <w:pStyle w:val="Heading2"/>
        <w:spacing w:before="240" w:after="120"/>
      </w:pPr>
      <w:r>
        <w:t>Requerimientos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Código</w:t>
            </w:r>
          </w:p>
        </w:tc>
        <w:tc>
          <w:tcPr>
            <w:tcW w:type="dxa" w:w="312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Descripción</w:t>
            </w:r>
          </w:p>
        </w:tc>
        <w:tc>
          <w:tcPr>
            <w:tcW w:type="dxa" w:w="312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Módulo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RF01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Registrar venta normal, multiproducto y pagos divididos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Ventas</w:t>
            </w:r>
          </w:p>
        </w:tc>
      </w:tr>
      <w:tr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RF02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Rechazar venta sin stock; anular y devolver con reposición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Ventas/inventario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RF03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Abrir/cerrar turno, calcular diferencia y consumo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Caja</w:t>
            </w:r>
          </w:p>
        </w:tc>
      </w:tr>
      <w:tr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RF04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Gestionar mesas y pedidos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Pedidos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RF05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Gestionar inventario, recetas, clientes y promociones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POS</w:t>
            </w:r>
          </w:p>
        </w:tc>
      </w:tr>
      <w:tr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RF06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Enviar consumos y recibir alertas de forma idempotente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Integración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RF07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Registrar, clasificar y alertar consumos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Monitoreo</w:t>
            </w:r>
          </w:p>
        </w:tc>
      </w:tr>
      <w:tr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RF08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Gestionar metas, tarifas, notificaciones y recomendaciones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Monitoreo</w:t>
            </w:r>
          </w:p>
        </w:tc>
      </w:tr>
    </w:tbl>
    <w:p/>
    <w:p>
      <w:pPr>
        <w:pStyle w:val="Heading2"/>
        <w:spacing w:before="240" w:after="120"/>
      </w:pPr>
      <w:r>
        <w:t>Requerimientos no funcionales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Código</w:t>
            </w:r>
          </w:p>
        </w:tc>
        <w:tc>
          <w:tcPr>
            <w:tcW w:type="dxa" w:w="312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Categoría</w:t>
            </w:r>
          </w:p>
        </w:tc>
        <w:tc>
          <w:tcPr>
            <w:tcW w:type="dxa" w:w="312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Criterio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RNF01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Seguridad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JWT, RBAC, RLS, validación y rate limiting.</w:t>
            </w:r>
          </w:p>
        </w:tc>
      </w:tr>
      <w:tr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RNF02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Integridad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Transacciones y funciones PostgreSQL para operaciones críticas.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RNF03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Disponibilidad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Colas, reintentos, backoff y health checks.</w:t>
            </w:r>
          </w:p>
        </w:tc>
      </w:tr>
      <w:tr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RNF04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Trazabilidad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Auditoría y movimientos.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RNF05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Portabilidad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Docker y Kubernetes.</w:t>
            </w:r>
          </w:p>
        </w:tc>
      </w:tr>
      <w:tr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RNF06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Mantenibilidad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Capas, contratos y módulos separados.</w:t>
            </w:r>
          </w:p>
        </w:tc>
      </w:tr>
    </w:tbl>
    <w:p/>
    <w:p>
      <w:pPr>
        <w:pStyle w:val="Heading2"/>
        <w:spacing w:before="240" w:after="120"/>
      </w:pPr>
      <w:r>
        <w:t>Reglas de negocio y restricciones</w:t>
      </w:r>
    </w:p>
    <w:p>
      <w:pPr>
        <w:spacing w:line="360" w:lineRule="auto" w:after="120"/>
      </w:pPr>
      <w:r>
        <w:t>Un cajero mantiene un único turno abierto. Las ventas anuladas conservan historial. Las devoluciones no pueden superar lo vendido. El stock, los insumos y los puntos dejan trazabilidad. Los consumos y alertas se procesan idempotentemente. Los umbrales no se solapan, las metas se limitan a 0-100 %, y POS/Monitoreo no tienen claves foráneas cruzadas.</w:t>
      </w:r>
    </w:p>
    <w:p>
      <w:pPr>
        <w:pStyle w:val="Heading1"/>
        <w:spacing w:before="240" w:after="120"/>
      </w:pPr>
      <w:r>
        <w:t>CAPÍTULO III. MODELADO UML</w:t>
      </w:r>
    </w:p>
    <w:p>
      <w:pPr>
        <w:spacing w:line="360" w:lineRule="auto" w:after="120"/>
      </w:pPr>
      <w:r>
        <w:t>La Figura 1 representa los casos de uso del POS y la Figura 2 los del monitoreo. Los actores identificados incluyen cajero, mesero, encargado de inventario, administrador, supervisor, responsable de recursos, sistema POS y sistema de monitoreo.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6086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-casos-de-us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608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1. Diagrama de casos de uso del POS. Fuente: repositorio del proyecto.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23757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itoreo-casos-de-us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37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2. Diagrama de casos de uso del módulo de monitoreo. Fuente: repositorio del proyecto.</w:t>
      </w:r>
    </w:p>
    <w:p>
      <w:pPr>
        <w:pStyle w:val="Heading2"/>
        <w:spacing w:before="240" w:after="120"/>
      </w:pPr>
      <w:r>
        <w:t>Descripción de casos de uso críticos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Caso</w:t>
            </w:r>
          </w:p>
        </w:tc>
        <w:tc>
          <w:tcPr>
            <w:tcW w:type="dxa" w:w="156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Actor</w:t>
            </w:r>
          </w:p>
        </w:tc>
        <w:tc>
          <w:tcPr>
            <w:tcW w:type="dxa" w:w="156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Precondición</w:t>
            </w:r>
          </w:p>
        </w:tc>
        <w:tc>
          <w:tcPr>
            <w:tcW w:type="dxa" w:w="156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Flujo</w:t>
            </w:r>
          </w:p>
        </w:tc>
        <w:tc>
          <w:tcPr>
            <w:tcW w:type="dxa" w:w="156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Alternativo</w:t>
            </w:r>
          </w:p>
        </w:tc>
        <w:tc>
          <w:tcPr>
            <w:tcW w:type="dxa" w:w="156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Postcondición</w:t>
            </w:r>
          </w:p>
        </w:tc>
      </w:tr>
      <w:tr>
        <w:tc>
          <w:tcPr>
            <w:tcW w:type="dxa" w:w="156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Registrar venta</w:t>
            </w:r>
          </w:p>
        </w:tc>
        <w:tc>
          <w:tcPr>
            <w:tcW w:type="dxa" w:w="156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Cajero</w:t>
            </w:r>
          </w:p>
        </w:tc>
        <w:tc>
          <w:tcPr>
            <w:tcW w:type="dxa" w:w="156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JWT, permiso, turno</w:t>
            </w:r>
          </w:p>
        </w:tc>
        <w:tc>
          <w:tcPr>
            <w:tcW w:type="dxa" w:w="156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Valida stock/pagos y registra</w:t>
            </w:r>
          </w:p>
        </w:tc>
        <w:tc>
          <w:tcPr>
            <w:tcW w:type="dxa" w:w="156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Stock o pago inválido</w:t>
            </w:r>
          </w:p>
        </w:tc>
        <w:tc>
          <w:tcPr>
            <w:tcW w:type="dxa" w:w="156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Venta y auditoría</w:t>
            </w:r>
          </w:p>
        </w:tc>
      </w:tr>
      <w:tr>
        <w:tc>
          <w:tcPr>
            <w:tcW w:type="dxa" w:w="156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Cerrar turno</w:t>
            </w:r>
          </w:p>
        </w:tc>
        <w:tc>
          <w:tcPr>
            <w:tcW w:type="dxa" w:w="156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Cajero</w:t>
            </w:r>
          </w:p>
        </w:tc>
        <w:tc>
          <w:tcPr>
            <w:tcW w:type="dxa" w:w="156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Turno abierto</w:t>
            </w:r>
          </w:p>
        </w:tc>
        <w:tc>
          <w:tcPr>
            <w:tcW w:type="dxa" w:w="156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Calcula efectivo y consumo</w:t>
            </w:r>
          </w:p>
        </w:tc>
        <w:tc>
          <w:tcPr>
            <w:tcW w:type="dxa" w:w="156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Monto inválido</w:t>
            </w:r>
          </w:p>
        </w:tc>
        <w:tc>
          <w:tcPr>
            <w:tcW w:type="dxa" w:w="156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Turno cerrado</w:t>
            </w:r>
          </w:p>
        </w:tc>
      </w:tr>
      <w:tr>
        <w:tc>
          <w:tcPr>
            <w:tcW w:type="dxa" w:w="156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Anular venta</w:t>
            </w:r>
          </w:p>
        </w:tc>
        <w:tc>
          <w:tcPr>
            <w:tcW w:type="dxa" w:w="156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Supervisor</w:t>
            </w:r>
          </w:p>
        </w:tc>
        <w:tc>
          <w:tcPr>
            <w:tcW w:type="dxa" w:w="156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Venta activa</w:t>
            </w:r>
          </w:p>
        </w:tc>
        <w:tc>
          <w:tcPr>
            <w:tcW w:type="dxa" w:w="156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Restituye existencias</w:t>
            </w:r>
          </w:p>
        </w:tc>
        <w:tc>
          <w:tcPr>
            <w:tcW w:type="dxa" w:w="156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Ya anulada</w:t>
            </w:r>
          </w:p>
        </w:tc>
        <w:tc>
          <w:tcPr>
            <w:tcW w:type="dxa" w:w="156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Historial conservado</w:t>
            </w:r>
          </w:p>
        </w:tc>
      </w:tr>
      <w:tr>
        <w:tc>
          <w:tcPr>
            <w:tcW w:type="dxa" w:w="156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Procesar devolución</w:t>
            </w:r>
          </w:p>
        </w:tc>
        <w:tc>
          <w:tcPr>
            <w:tcW w:type="dxa" w:w="156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Usuario autorizado</w:t>
            </w:r>
          </w:p>
        </w:tc>
        <w:tc>
          <w:tcPr>
            <w:tcW w:type="dxa" w:w="156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Venta válida</w:t>
            </w:r>
          </w:p>
        </w:tc>
        <w:tc>
          <w:tcPr>
            <w:tcW w:type="dxa" w:w="156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Valida cantidades y restituye</w:t>
            </w:r>
          </w:p>
        </w:tc>
        <w:tc>
          <w:tcPr>
            <w:tcW w:type="dxa" w:w="156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Supera vendido</w:t>
            </w:r>
          </w:p>
        </w:tc>
        <w:tc>
          <w:tcPr>
            <w:tcW w:type="dxa" w:w="156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Devolución trazable</w:t>
            </w:r>
          </w:p>
        </w:tc>
      </w:tr>
      <w:tr>
        <w:tc>
          <w:tcPr>
            <w:tcW w:type="dxa" w:w="156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Recibir consumo</w:t>
            </w:r>
          </w:p>
        </w:tc>
        <w:tc>
          <w:tcPr>
            <w:tcW w:type="dxa" w:w="156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POS</w:t>
            </w:r>
          </w:p>
        </w:tc>
        <w:tc>
          <w:tcPr>
            <w:tcW w:type="dxa" w:w="156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Credencial integración</w:t>
            </w:r>
          </w:p>
        </w:tc>
        <w:tc>
          <w:tcPr>
            <w:tcW w:type="dxa" w:w="156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Valida y encola</w:t>
            </w:r>
          </w:p>
        </w:tc>
        <w:tc>
          <w:tcPr>
            <w:tcW w:type="dxa" w:w="156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Duplicado</w:t>
            </w:r>
          </w:p>
        </w:tc>
        <w:tc>
          <w:tcPr>
            <w:tcW w:type="dxa" w:w="156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Una recepción</w:t>
            </w:r>
          </w:p>
        </w:tc>
      </w:tr>
      <w:tr>
        <w:tc>
          <w:tcPr>
            <w:tcW w:type="dxa" w:w="156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Clasificar consumo</w:t>
            </w:r>
          </w:p>
        </w:tc>
        <w:tc>
          <w:tcPr>
            <w:tcW w:type="dxa" w:w="156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Worker</w:t>
            </w:r>
          </w:p>
        </w:tc>
        <w:tc>
          <w:tcPr>
            <w:tcW w:type="dxa" w:w="156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Registro pendiente</w:t>
            </w:r>
          </w:p>
        </w:tc>
        <w:tc>
          <w:tcPr>
            <w:tcW w:type="dxa" w:w="156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Compara umbral</w:t>
            </w:r>
          </w:p>
        </w:tc>
        <w:tc>
          <w:tcPr>
            <w:tcW w:type="dxa" w:w="156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Sin umbral</w:t>
            </w:r>
          </w:p>
        </w:tc>
        <w:tc>
          <w:tcPr>
            <w:tcW w:type="dxa" w:w="156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Nivel asignado</w:t>
            </w:r>
          </w:p>
        </w:tc>
      </w:tr>
      <w:tr>
        <w:tc>
          <w:tcPr>
            <w:tcW w:type="dxa" w:w="156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Generar alerta</w:t>
            </w:r>
          </w:p>
        </w:tc>
        <w:tc>
          <w:tcPr>
            <w:tcW w:type="dxa" w:w="156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Worker</w:t>
            </w:r>
          </w:p>
        </w:tc>
        <w:tc>
          <w:tcPr>
            <w:tcW w:type="dxa" w:w="156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Exceso</w:t>
            </w:r>
          </w:p>
        </w:tc>
        <w:tc>
          <w:tcPr>
            <w:tcW w:type="dxa" w:w="156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Crea y encola alerta</w:t>
            </w:r>
          </w:p>
        </w:tc>
        <w:tc>
          <w:tcPr>
            <w:tcW w:type="dxa" w:w="156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Sin destinatario</w:t>
            </w:r>
          </w:p>
        </w:tc>
        <w:tc>
          <w:tcPr>
            <w:tcW w:type="dxa" w:w="156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Entrega pendiente</w:t>
            </w:r>
          </w:p>
        </w:tc>
      </w:tr>
    </w:tbl>
    <w:p/>
    <w:p>
      <w:pPr>
        <w:pStyle w:val="Heading2"/>
        <w:spacing w:before="240" w:after="120"/>
      </w:pPr>
      <w:r>
        <w:t>Diagrama de clases</w:t>
      </w:r>
    </w:p>
    <w:p>
      <w:pPr>
        <w:spacing w:line="360" w:lineRule="auto" w:after="120"/>
      </w:pPr>
      <w:r>
        <w:t>En POS, Usuario, Rol y Permiso sustentan el acceso; Venta, DetalleVenta, Pago y TurnoCaja modelan operación; Producto, Insumo, RecetaInsumo y MovimientoInventario modelan existencias. En Monitoreo, Organizacion, PuntoMedicion, TipoRecurso, RegistroConsumo, UmbralClasificacion y Alerta constituyen el núcleo. Las clases de colas y recepción aíslan la integración REST.</w:t>
      </w:r>
    </w:p>
    <w:p>
      <w:pPr>
        <w:pStyle w:val="Heading1"/>
        <w:spacing w:before="240" w:after="120"/>
      </w:pPr>
      <w:r>
        <w:t>CAPÍTULO IV. BASE DE DATOS</w:t>
      </w:r>
    </w:p>
    <w:p>
      <w:pPr>
        <w:spacing w:line="360" w:lineRule="auto" w:after="120"/>
      </w:pPr>
      <w:r>
        <w:t>Las Figuras 3 y 4 describen bases independientes sin claves foráneas cruzadas. Se priorizan UUID y NUMERIC para claves, dinero y cantidades.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64613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-entidades-relacion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6461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3. Modelo entidad relación del POS. Fuente: repositorio del proyecto.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48341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itoreo-entidades-relacion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4834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Figura 4. Modelo entidad relación del monitoreo. Fuente: repositorio del proyecto.</w:t>
      </w:r>
    </w:p>
    <w:p>
      <w:pPr>
        <w:pStyle w:val="Heading2"/>
        <w:spacing w:before="240" w:after="120"/>
      </w:pPr>
      <w:r>
        <w:t>Diccionario de datos</w:t>
      </w:r>
    </w:p>
    <w:p>
      <w:pPr>
        <w:pStyle w:val="Heading3"/>
        <w:spacing w:before="240" w:after="120"/>
      </w:pPr>
      <w:r>
        <w:t>POS</w:t>
      </w:r>
    </w:p>
    <w:p>
      <w:pPr>
        <w:pStyle w:val="Heading3"/>
        <w:spacing w:before="240" w:after="120"/>
      </w:pPr>
      <w:r>
        <w:t>Monitoreo</w:t>
      </w:r>
    </w:p>
    <w:p>
      <w:pPr>
        <w:pStyle w:val="Heading3"/>
        <w:spacing w:before="240" w:after="120"/>
      </w:pPr>
      <w:r>
        <w:t>organizacion - 001_v1_0_monitoreo_ddl.sql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312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312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Restricción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id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UUID PRIMARY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PK</w:t>
            </w:r>
          </w:p>
        </w:tc>
      </w:tr>
      <w:tr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nombre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TEXT NOT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NN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nit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TEXT UNIQUE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—</w:t>
            </w:r>
          </w:p>
        </w:tc>
      </w:tr>
      <w:tr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estado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TEXT NOT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NN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creado_en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TIMESTAMPTZ NOT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NN</w:t>
            </w:r>
          </w:p>
        </w:tc>
      </w:tr>
    </w:tbl>
    <w:p/>
    <w:p>
      <w:pPr>
        <w:pStyle w:val="Heading3"/>
        <w:spacing w:before="240" w:after="120"/>
      </w:pPr>
      <w:r>
        <w:t>usuario - 001_v1_0_monitoreo_ddl.sql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312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312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Restricción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id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UUID PRIMARY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PK</w:t>
            </w:r>
          </w:p>
        </w:tc>
      </w:tr>
      <w:tr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email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TEXT NOT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NN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nombre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TEXT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—</w:t>
            </w:r>
          </w:p>
        </w:tc>
      </w:tr>
      <w:tr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estado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TEXT NOT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NN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creado_en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TIMESTAMPTZ NOT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NN</w:t>
            </w:r>
          </w:p>
        </w:tc>
      </w:tr>
    </w:tbl>
    <w:p/>
    <w:p>
      <w:pPr>
        <w:pStyle w:val="Heading3"/>
        <w:spacing w:before="240" w:after="120"/>
      </w:pPr>
      <w:r>
        <w:t>rol - 001_v1_0_monitoreo_ddl.sql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312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312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Restricción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id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UUID PRIMARY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PK</w:t>
            </w:r>
          </w:p>
        </w:tc>
      </w:tr>
      <w:tr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nombre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TEXT NOT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NN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estado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TEXT NOT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NN</w:t>
            </w:r>
          </w:p>
        </w:tc>
      </w:tr>
    </w:tbl>
    <w:p/>
    <w:p>
      <w:pPr>
        <w:pStyle w:val="Heading3"/>
        <w:spacing w:before="240" w:after="120"/>
      </w:pPr>
      <w:r>
        <w:t>permiso - 001_v1_0_monitoreo_ddl.sql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312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312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Restricción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id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UUID PRIMARY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PK</w:t>
            </w:r>
          </w:p>
        </w:tc>
      </w:tr>
      <w:tr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nombre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TEXT NOT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NN</w:t>
            </w:r>
          </w:p>
        </w:tc>
      </w:tr>
    </w:tbl>
    <w:p/>
    <w:p>
      <w:pPr>
        <w:pStyle w:val="Heading3"/>
        <w:spacing w:before="240" w:after="120"/>
      </w:pPr>
      <w:r>
        <w:t>rol_permiso - 001_v1_0_monitoreo_ddl.sql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312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312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Restricción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id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UUID PRIMARY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PK</w:t>
            </w:r>
          </w:p>
        </w:tc>
      </w:tr>
      <w:tr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rol_id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UUID NOT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NN; FK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permiso_id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UUID NOT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NN; FK</w:t>
            </w:r>
          </w:p>
        </w:tc>
      </w:tr>
    </w:tbl>
    <w:p/>
    <w:p>
      <w:pPr>
        <w:pStyle w:val="Heading3"/>
        <w:spacing w:before="240" w:after="120"/>
      </w:pPr>
      <w:r>
        <w:t>usuario_organizacion - 001_v1_0_monitoreo_ddl.sql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312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312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Restricción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id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UUID PRIMARY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PK</w:t>
            </w:r>
          </w:p>
        </w:tc>
      </w:tr>
      <w:tr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usuario_id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UUID NOT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NN; FK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organizacion_id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UUID NOT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NN; FK</w:t>
            </w:r>
          </w:p>
        </w:tc>
      </w:tr>
      <w:tr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rol_id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UUID NOT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NN; FK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estado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TEXT NOT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NN</w:t>
            </w:r>
          </w:p>
        </w:tc>
      </w:tr>
      <w:tr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creado_en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TIMESTAMPTZ NOT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NN</w:t>
            </w:r>
          </w:p>
        </w:tc>
      </w:tr>
    </w:tbl>
    <w:p/>
    <w:p>
      <w:pPr>
        <w:pStyle w:val="Heading3"/>
        <w:spacing w:before="240" w:after="120"/>
      </w:pPr>
      <w:r>
        <w:t>integracion - 001_v1_0_monitoreo_ddl.sql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312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312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Restricción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id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UUID PRIMARY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PK</w:t>
            </w:r>
          </w:p>
        </w:tc>
      </w:tr>
      <w:tr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organizacion_id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UUID NOT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NN; FK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nombre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TEXT NOT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NN</w:t>
            </w:r>
          </w:p>
        </w:tc>
      </w:tr>
      <w:tr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api_key_hash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TEXT NOT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NN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estado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TEXT NOT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NN</w:t>
            </w:r>
          </w:p>
        </w:tc>
      </w:tr>
      <w:tr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ultimo_uso_en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TIMESTAMPTZ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—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creado_en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TIMESTAMPTZ NOT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NN</w:t>
            </w:r>
          </w:p>
        </w:tc>
      </w:tr>
    </w:tbl>
    <w:p/>
    <w:p>
      <w:pPr>
        <w:pStyle w:val="Heading3"/>
        <w:spacing w:before="240" w:after="120"/>
      </w:pPr>
      <w:r>
        <w:t>tipo_recurso - 001_v1_0_monitoreo_ddl.sql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312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312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Restricción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id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UUID PRIMARY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PK</w:t>
            </w:r>
          </w:p>
        </w:tc>
      </w:tr>
      <w:tr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codigo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TEXT NOT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NN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nombre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TEXT NOT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NN</w:t>
            </w:r>
          </w:p>
        </w:tc>
      </w:tr>
      <w:tr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unidad_base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TEXT NOT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NN</w:t>
            </w:r>
          </w:p>
        </w:tc>
      </w:tr>
    </w:tbl>
    <w:p/>
    <w:p>
      <w:pPr>
        <w:pStyle w:val="Heading3"/>
        <w:spacing w:before="240" w:after="120"/>
      </w:pPr>
      <w:r>
        <w:t>punto_medicion - 001_v1_0_monitoreo_ddl.sql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312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312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Restricción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id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UUID PRIMARY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PK</w:t>
            </w:r>
          </w:p>
        </w:tc>
      </w:tr>
      <w:tr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organizacion_id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UUID NOT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NN; FK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tipo_recurso_id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UUID NOT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NN; FK</w:t>
            </w:r>
          </w:p>
        </w:tc>
      </w:tr>
      <w:tr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codigo_medidor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TEXT NOT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NN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nombre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TEXT NOT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NN</w:t>
            </w:r>
          </w:p>
        </w:tc>
      </w:tr>
      <w:tr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estado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TEXT NOT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NN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creado_en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TIMESTAMPTZ NOT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NN</w:t>
            </w:r>
          </w:p>
        </w:tc>
      </w:tr>
    </w:tbl>
    <w:p/>
    <w:p>
      <w:pPr>
        <w:pStyle w:val="Heading3"/>
        <w:spacing w:before="240" w:after="120"/>
      </w:pPr>
      <w:r>
        <w:t>recepcion_consumo_pos - 001_v1_0_monitoreo_ddl.sql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312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312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Restricción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id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UUID PRIMARY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PK</w:t>
            </w:r>
          </w:p>
        </w:tc>
      </w:tr>
      <w:tr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consumo_externo_id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UUID NOT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NN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idempotency_key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TEXT NOT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NN</w:t>
            </w:r>
          </w:p>
        </w:tc>
      </w:tr>
      <w:tr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organizacion_id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UUID NOT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NN; FK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punto_medicion_id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UUID REFERENCES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FK</w:t>
            </w:r>
          </w:p>
        </w:tc>
      </w:tr>
      <w:tr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tipo_recurso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TEXT NOT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NN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cantidad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NUMERIC(14,3) NOT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NN</w:t>
            </w:r>
          </w:p>
        </w:tc>
      </w:tr>
      <w:tr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unidad_medida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TEXT NOT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NN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fecha_consumo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TIMESTAMPTZ NOT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NN</w:t>
            </w:r>
          </w:p>
        </w:tc>
      </w:tr>
      <w:tr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origen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TEXT NOT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NN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estado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TEXT NOT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NN</w:t>
            </w:r>
          </w:p>
        </w:tc>
      </w:tr>
      <w:tr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recepcionado_en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TIMESTAMPTZ NOT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NN</w:t>
            </w:r>
          </w:p>
        </w:tc>
      </w:tr>
    </w:tbl>
    <w:p/>
    <w:p>
      <w:pPr>
        <w:pStyle w:val="Heading3"/>
        <w:spacing w:before="240" w:after="120"/>
      </w:pPr>
      <w:r>
        <w:t>cola_procesamiento - 001_v1_0_monitoreo_ddl.sql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312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312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Restricción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id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UUID PRIMARY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PK</w:t>
            </w:r>
          </w:p>
        </w:tc>
      </w:tr>
      <w:tr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recepcion_id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UUID NOT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NN; FK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estado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TEXT NOT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NN</w:t>
            </w:r>
          </w:p>
        </w:tc>
      </w:tr>
      <w:tr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intentos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INT NOT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NN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proximo_intento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TIMESTAMPTZ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—</w:t>
            </w:r>
          </w:p>
        </w:tc>
      </w:tr>
      <w:tr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ultimo_error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TEXT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—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creado_en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TIMESTAMPTZ NOT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NN</w:t>
            </w:r>
          </w:p>
        </w:tc>
      </w:tr>
    </w:tbl>
    <w:p/>
    <w:p>
      <w:pPr>
        <w:pStyle w:val="Heading3"/>
        <w:spacing w:before="240" w:after="120"/>
      </w:pPr>
      <w:r>
        <w:t>registro_consumo - 001_v1_0_monitoreo_ddl.sql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312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312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Restricción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id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UUID PRIMARY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PK</w:t>
            </w:r>
          </w:p>
        </w:tc>
      </w:tr>
      <w:tr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recepcion_id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UUID NOT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NN; FK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organizacion_id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UUID NOT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NN; FK</w:t>
            </w:r>
          </w:p>
        </w:tc>
      </w:tr>
      <w:tr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punto_medicion_id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UUID REFERENCES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FK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tipo_recurso_id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UUID NOT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NN; FK</w:t>
            </w:r>
          </w:p>
        </w:tc>
      </w:tr>
      <w:tr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tipo_recurso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TEXT NOT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NN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cantidad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NUMERIC(14,3) NOT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NN</w:t>
            </w:r>
          </w:p>
        </w:tc>
      </w:tr>
      <w:tr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unidad_medida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TEXT NOT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NN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fecha_consumo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TIMESTAMPTZ NOT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NN</w:t>
            </w:r>
          </w:p>
        </w:tc>
      </w:tr>
      <w:tr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clasificacion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TEXT NOT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NN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origen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TEXT NOT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NN</w:t>
            </w:r>
          </w:p>
        </w:tc>
      </w:tr>
      <w:tr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creado_en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TIMESTAMPTZ NOT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NN</w:t>
            </w:r>
          </w:p>
        </w:tc>
      </w:tr>
    </w:tbl>
    <w:p/>
    <w:p>
      <w:pPr>
        <w:pStyle w:val="Heading3"/>
        <w:spacing w:before="240" w:after="120"/>
      </w:pPr>
      <w:r>
        <w:t>umbral_clasificacion - 001_v1_0_monitoreo_ddl.sql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312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312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Restricción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id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UUID PRIMARY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PK</w:t>
            </w:r>
          </w:p>
        </w:tc>
      </w:tr>
      <w:tr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organizacion_id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UUID NOT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NN; FK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tipo_recurso_id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UUID NOT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NN; FK</w:t>
            </w:r>
          </w:p>
        </w:tc>
      </w:tr>
      <w:tr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nombre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TEXT NOT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NN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nivel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TEXT NOT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NN</w:t>
            </w:r>
          </w:p>
        </w:tc>
      </w:tr>
      <w:tr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limite_inferior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NUMERIC(14,3) NOT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NN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limite_superior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NUMERIC(14,3) NOT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NN</w:t>
            </w:r>
          </w:p>
        </w:tc>
      </w:tr>
      <w:tr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estado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TEXT NOT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NN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creado_en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TIMESTAMPTZ NOT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NN</w:t>
            </w:r>
          </w:p>
        </w:tc>
      </w:tr>
    </w:tbl>
    <w:p/>
    <w:p>
      <w:pPr>
        <w:pStyle w:val="Heading3"/>
        <w:spacing w:before="240" w:after="120"/>
      </w:pPr>
      <w:r>
        <w:t>alerta - 001_v1_0_monitoreo_ddl.sql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312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312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Restricción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id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UUID PRIMARY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PK</w:t>
            </w:r>
          </w:p>
        </w:tc>
      </w:tr>
      <w:tr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organizacion_id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UUID NOT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NN; FK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registro_consumo_id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UUID REFERENCES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FK</w:t>
            </w:r>
          </w:p>
        </w:tc>
      </w:tr>
      <w:tr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umbral_id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UUID REFERENCES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FK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nivel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TEXT NOT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NN</w:t>
            </w:r>
          </w:p>
        </w:tc>
      </w:tr>
      <w:tr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tipo_recurso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TEXT NOT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NN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mensaje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TEXT NOT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NN</w:t>
            </w:r>
          </w:p>
        </w:tc>
      </w:tr>
      <w:tr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fecha_generacion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TIMESTAMPTZ NOT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NN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estado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TEXT NOT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NN</w:t>
            </w:r>
          </w:p>
        </w:tc>
      </w:tr>
      <w:tr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creado_en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TIMESTAMPTZ NOT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NN</w:t>
            </w:r>
          </w:p>
        </w:tc>
      </w:tr>
    </w:tbl>
    <w:p/>
    <w:p>
      <w:pPr>
        <w:pStyle w:val="Heading3"/>
        <w:spacing w:before="240" w:after="120"/>
      </w:pPr>
      <w:r>
        <w:t>notificacion - 001_v1_0_monitoreo_ddl.sql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312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312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Restricción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id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UUID PRIMARY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PK</w:t>
            </w:r>
          </w:p>
        </w:tc>
      </w:tr>
      <w:tr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alerta_id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UUID NOT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NN; FK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usuario_id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UUID REFERENCES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FK</w:t>
            </w:r>
          </w:p>
        </w:tc>
      </w:tr>
      <w:tr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canal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TEXT NOT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NN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estado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TEXT NOT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NN</w:t>
            </w:r>
          </w:p>
        </w:tc>
      </w:tr>
      <w:tr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creada_en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TIMESTAMPTZ NOT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NN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vista_en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TIMESTAMPTZ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—</w:t>
            </w:r>
          </w:p>
        </w:tc>
      </w:tr>
    </w:tbl>
    <w:p/>
    <w:p>
      <w:pPr>
        <w:pStyle w:val="Heading3"/>
        <w:spacing w:before="240" w:after="120"/>
      </w:pPr>
      <w:r>
        <w:t>entrega_alerta - 001_v1_0_monitoreo_ddl.sql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312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312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Restricción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id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UUID PRIMARY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PK</w:t>
            </w:r>
          </w:p>
        </w:tc>
      </w:tr>
      <w:tr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alerta_id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UUID NOT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NN; FK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estado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TEXT NOT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NN</w:t>
            </w:r>
          </w:p>
        </w:tc>
      </w:tr>
      <w:tr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intentos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INT NOT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NN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proximo_intento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TIMESTAMPTZ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—</w:t>
            </w:r>
          </w:p>
        </w:tc>
      </w:tr>
      <w:tr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ultimo_error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TEXT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—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creada_en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TIMESTAMPTZ NOT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NN</w:t>
            </w:r>
          </w:p>
        </w:tc>
      </w:tr>
    </w:tbl>
    <w:p/>
    <w:p>
      <w:pPr>
        <w:pStyle w:val="Heading3"/>
        <w:spacing w:before="240" w:after="120"/>
      </w:pPr>
      <w:r>
        <w:t>meta_reduccion - 001_v1_0_monitoreo_ddl.sql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312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312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Restricción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id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UUID PRIMARY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PK</w:t>
            </w:r>
          </w:p>
        </w:tc>
      </w:tr>
      <w:tr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organizacion_id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UUID NOT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NN; FK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tipo_recurso_id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UUID NOT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NN; FK</w:t>
            </w:r>
          </w:p>
        </w:tc>
      </w:tr>
      <w:tr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nombre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TEXT NOT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NN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porcentaje_reduccion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NUMERIC(5,2) NOT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NN</w:t>
            </w:r>
          </w:p>
        </w:tc>
      </w:tr>
      <w:tr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fecha_inicio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DATE NOT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NN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fecha_fin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DATE NOT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NN</w:t>
            </w:r>
          </w:p>
        </w:tc>
      </w:tr>
      <w:tr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estado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TEXT NOT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NN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creado_en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TIMESTAMPTZ NOT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NN</w:t>
            </w:r>
          </w:p>
        </w:tc>
      </w:tr>
    </w:tbl>
    <w:p/>
    <w:p>
      <w:pPr>
        <w:pStyle w:val="Heading3"/>
        <w:spacing w:before="240" w:after="120"/>
      </w:pPr>
      <w:r>
        <w:t>tarifa - 001_v1_0_monitoreo_ddl.sql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312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312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Restricción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id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UUID PRIMARY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PK</w:t>
            </w:r>
          </w:p>
        </w:tc>
      </w:tr>
      <w:tr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organizacion_id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UUID REFERENCES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FK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tipo_recurso_id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UUID NOT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NN; FK</w:t>
            </w:r>
          </w:p>
        </w:tc>
      </w:tr>
      <w:tr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nombre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TEXT NOT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NN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monto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NUMERIC(14,4) NOT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NN</w:t>
            </w:r>
          </w:p>
        </w:tc>
      </w:tr>
      <w:tr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unidad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TEXT NOT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NN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fecha_inicio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DATE NOT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NN</w:t>
            </w:r>
          </w:p>
        </w:tc>
      </w:tr>
      <w:tr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fecha_fin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DATE NOT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NN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creado_en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TIMESTAMPTZ NOT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NN</w:t>
            </w:r>
          </w:p>
        </w:tc>
      </w:tr>
    </w:tbl>
    <w:p/>
    <w:p>
      <w:pPr>
        <w:pStyle w:val="Heading3"/>
        <w:spacing w:before="240" w:after="120"/>
      </w:pPr>
      <w:r>
        <w:t>recomendacion - 001_v1_0_monitoreo_ddl.sql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312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312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Restricción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id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UUID PRIMARY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PK</w:t>
            </w:r>
          </w:p>
        </w:tc>
      </w:tr>
      <w:tr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organizacion_id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UUID NOT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NN; FK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titulo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TEXT NOT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NN</w:t>
            </w:r>
          </w:p>
        </w:tc>
      </w:tr>
      <w:tr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descripcion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TEXT NOT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NN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prioridad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TEXT NOT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NN</w:t>
            </w:r>
          </w:p>
        </w:tc>
      </w:tr>
      <w:tr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estado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TEXT NOT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NN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creada_en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TIMESTAMPTZ NOT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NN</w:t>
            </w:r>
          </w:p>
        </w:tc>
      </w:tr>
    </w:tbl>
    <w:p/>
    <w:p>
      <w:pPr>
        <w:pStyle w:val="Heading3"/>
        <w:spacing w:before="240" w:after="120"/>
      </w:pPr>
      <w:r>
        <w:t>auditoria_cambio - 001_v1_0_monitoreo_ddl.sql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Columna</w:t>
            </w:r>
          </w:p>
        </w:tc>
        <w:tc>
          <w:tcPr>
            <w:tcW w:type="dxa" w:w="312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312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Restricción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id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UUID PRIMARY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PK</w:t>
            </w:r>
          </w:p>
        </w:tc>
      </w:tr>
      <w:tr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entidad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TEXT NOT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NN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entidad_id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UUID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—</w:t>
            </w:r>
          </w:p>
        </w:tc>
      </w:tr>
      <w:tr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accion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TEXT NOT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NN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usuario_id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UUID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—</w:t>
            </w:r>
          </w:p>
        </w:tc>
      </w:tr>
      <w:tr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req_id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TEXT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—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detalle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JSONB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—</w:t>
            </w:r>
          </w:p>
        </w:tc>
      </w:tr>
      <w:tr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creado_en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TIMESTAMPTZ NOT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NN</w:t>
            </w:r>
          </w:p>
        </w:tc>
      </w:tr>
    </w:tbl>
    <w:p/>
    <w:p>
      <w:pPr>
        <w:pStyle w:val="Heading1"/>
        <w:spacing w:before="240" w:after="120"/>
      </w:pPr>
      <w:r>
        <w:t>CAPÍTULO V. ARQUITECTURA DEL SISTEMA</w:t>
      </w:r>
    </w:p>
    <w:p>
      <w:pPr>
        <w:spacing w:line="360" w:lineRule="auto" w:after="120"/>
      </w:pPr>
      <w:r>
        <w:t>La arquitectura prevista es routes → controllers → services → repositories → models. La documentación registra handlers inline en rutas del POS, por lo que se reporta como diferencia de implementación. Docker Compose coordina cuatro servicios y Supabase provee la base externa. Kubernetes contiene recursos de despliegue; AWS está previsto sin una arquitectura IaC verificable.</w:t>
      </w:r>
    </w:p>
    <w:p>
      <w:pPr>
        <w:pStyle w:val="Heading2"/>
        <w:spacing w:before="240" w:after="120"/>
      </w:pPr>
      <w:r>
        <w:t>Flujo de integración</w:t>
      </w:r>
    </w:p>
    <w:p>
      <w:pPr>
        <w:spacing w:line="360" w:lineRule="auto" w:after="120"/>
      </w:pPr>
      <w:r>
        <w:t>POS cierra turno, calcula y guarda ConsumoReportado; ColaIntegracion y un worker envían el contrato consumption.v1 a Monitoreo. Allí se registra la recepción idempotente, se procesa, clasifica y genera alerta. La alerta se entrega al POS mediante alerts.v1, evitando duplicados.</w:t>
      </w:r>
    </w:p>
    <w:p>
      <w:pPr>
        <w:pStyle w:val="Heading1"/>
        <w:spacing w:before="240" w:after="120"/>
      </w:pPr>
      <w:r>
        <w:t>CAPÍTULO VI. DESARROLLO DEL SISTEMA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Capa</w:t>
            </w:r>
          </w:p>
        </w:tc>
        <w:tc>
          <w:tcPr>
            <w:tcW w:type="dxa" w:w="312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Tecnología</w:t>
            </w:r>
          </w:p>
        </w:tc>
        <w:tc>
          <w:tcPr>
            <w:tcW w:type="dxa" w:w="312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Evidencia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Frontend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React 18/19 y Vite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pos/frontend, monitoreo/frontend</w:t>
            </w:r>
          </w:p>
        </w:tc>
      </w:tr>
      <w:tr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Backend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Node.js y Express 5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app.js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ORM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Sequelize 6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src/models</w:t>
            </w:r>
          </w:p>
        </w:tc>
      </w:tr>
      <w:tr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Datos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PostgreSQL/Supabase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migraciones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Seguridad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JWT, RBAC, RLS, zod, helmet, cors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middlewares/shared docs</w:t>
            </w:r>
          </w:p>
        </w:tc>
      </w:tr>
      <w:tr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Infraestructura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Docker, Kubernetes, AWS previsto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infrastructure</w:t>
            </w:r>
          </w:p>
        </w:tc>
      </w:tr>
    </w:tbl>
    <w:p/>
    <w:p>
      <w:pPr>
        <w:spacing w:line="360" w:lineRule="auto" w:after="120"/>
      </w:pPr>
      <w:r>
        <w:t>La plantilla académica que menciona Laravel se traduce al stack real Node.js/Express/React/PostgreSQL. No se atribuye PHP, Blade, Eloquent o MySQL al repositorio. Los modelos Sequelize, rutas, middleware y páginas React cumplen los roles equivalentes.</w:t>
      </w:r>
    </w:p>
    <w:p>
      <w:pPr>
        <w:pStyle w:val="Heading1"/>
        <w:spacing w:before="240" w:after="120"/>
      </w:pPr>
      <w:r>
        <w:t>CAPÍTULO VII. IMPLEMENTACIÓN CON DOCKER</w:t>
      </w:r>
    </w:p>
    <w:p>
      <w:pPr>
        <w:spacing w:line="360" w:lineRule="auto" w:after="120"/>
      </w:pPr>
      <w:r>
        <w:t>Se verificaron cuatro Dockerfiles: POS backend y frontend, Monitoreo backend y frontend. docker-compose.yml expone 3000, 4000, 5173 y 5174; incluye health checks y límites de recursos. Se añadieron .dockerignore en los cuatro contextos para evitar copiar dependencias, secretos y artefactos.</w:t>
      </w:r>
    </w:p>
    <w:p>
      <w:pPr>
        <w:spacing w:line="360" w:lineRule="auto" w:after="120"/>
      </w:pPr>
      <w:r>
        <w:t>[INSERTAR CAPTURA: docker compose build. Ruta: docs/proyecto-final/evidencias/07-docker-build.png.]</w:t>
      </w:r>
    </w:p>
    <w:p>
      <w:pPr>
        <w:spacing w:line="360" w:lineRule="auto" w:after="120"/>
      </w:pPr>
      <w:r>
        <w:t>[INSERTAR CAPTURA: docker compose up -d. Ruta: docs/proyecto-final/evidencias/07-docker-up.png.]</w:t>
      </w:r>
    </w:p>
    <w:p>
      <w:pPr>
        <w:spacing w:line="360" w:lineRule="auto" w:after="120"/>
      </w:pPr>
      <w:r>
        <w:t>[INSERTAR CAPTURA: docker compose ps. Ruta: docs/proyecto-final/evidencias/07-docker-ps.png.]</w:t>
      </w:r>
    </w:p>
    <w:p>
      <w:pPr>
        <w:spacing w:line="360" w:lineRule="auto" w:after="120"/>
      </w:pPr>
      <w:r>
        <w:t>[INSERTAR CAPTURA: docker compose logs. Ruta: docs/proyecto-final/evidencias/07-docker-logs.png.]</w:t>
      </w:r>
    </w:p>
    <w:p>
      <w:pPr>
        <w:spacing w:line="360" w:lineRule="auto" w:after="120"/>
      </w:pPr>
      <w:r>
        <w:t>[INSERTAR CAPTURA: sistema en Docker. Ruta: docs/proyecto-final/evidencias/07-sistema-docker.png.]</w:t>
      </w:r>
    </w:p>
    <w:p>
      <w:pPr>
        <w:pStyle w:val="Heading1"/>
        <w:spacing w:before="240" w:after="120"/>
      </w:pPr>
      <w:r>
        <w:t>CAPÍTULO VIII. INVESTIGACIÓN EN FORMATO IMRyD</w:t>
      </w:r>
    </w:p>
    <w:p>
      <w:pPr>
        <w:pStyle w:val="Heading2"/>
        <w:spacing w:before="240" w:after="120"/>
      </w:pPr>
      <w:r>
        <w:t>Introducción y metodología</w:t>
      </w:r>
    </w:p>
    <w:p>
      <w:pPr>
        <w:spacing w:line="360" w:lineRule="auto" w:after="120"/>
      </w:pPr>
      <w:r>
        <w:t>El hosting publica aplicaciones en red y Docker las distribuye como imágenes reproducibles. Se compararon Render, Railway y Koyeb a través de sus sitios oficiales por compatibilidad Docker, gestión desde repositorio, HTTPS, servicios, secretos y limitaciones de plan.</w:t>
      </w:r>
    </w:p>
    <w:p>
      <w:pPr>
        <w:pStyle w:val="Heading2"/>
        <w:spacing w:before="240" w:after="120"/>
      </w:pPr>
      <w:r>
        <w:t>Resultados y discusión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Plataforma</w:t>
            </w:r>
          </w:p>
        </w:tc>
        <w:tc>
          <w:tcPr>
            <w:tcW w:type="dxa" w:w="312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Docker</w:t>
            </w:r>
          </w:p>
        </w:tc>
        <w:tc>
          <w:tcPr>
            <w:tcW w:type="dxa" w:w="312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Conclusión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Render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Construye desde Dockerfile o usa imagen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Apta para servicios individuales.</w:t>
            </w:r>
          </w:p>
        </w:tc>
      </w:tr>
      <w:tr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Railway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Usa Dockerfile; traduce cada servicio Compose</w:t>
            </w:r>
          </w:p>
        </w:tc>
        <w:tc>
          <w:tcPr>
            <w:tcW w:type="dxa" w:w="312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Apta si se crean cuatro servicios.</w:t>
            </w:r>
          </w:p>
        </w:tc>
      </w:tr>
      <w:tr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Koyeb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Admite contenedores o repositorios Git</w:t>
            </w:r>
          </w:p>
        </w:tc>
        <w:tc>
          <w:tcPr>
            <w:tcW w:type="dxa" w:w="312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Alternativa contenerizada.</w:t>
            </w:r>
          </w:p>
        </w:tc>
      </w:tr>
    </w:tbl>
    <w:p/>
    <w:p>
      <w:pPr>
        <w:spacing w:line="360" w:lineRule="auto" w:after="120"/>
      </w:pPr>
      <w:r>
        <w:t>[PENDIENTE: plataforma elegida, URL pública y evidencia.] No se afirma un despliegue no verificado.</w:t>
      </w:r>
    </w:p>
    <w:p>
      <w:pPr>
        <w:pStyle w:val="Heading1"/>
        <w:spacing w:before="240" w:after="120"/>
      </w:pPr>
      <w:r>
        <w:t>CAPÍTULO IX. PRUEBAS</w:t>
      </w:r>
    </w:p>
    <w:p>
      <w:pPr>
        <w:spacing w:line="360" w:lineRule="auto" w:after="120"/>
      </w:pPr>
      <w:r>
        <w:t>Existe un runbook integrado de 17 pasos para turnos, ventas, consumos, idempotencia, alertas, anulación y auditoría. Se identificaron pruebas Jest/Vitest en POS y unitarias/integración en Monitoreo. Los resultados reales requieren ejecución.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ID</w:t>
            </w:r>
          </w:p>
        </w:tc>
        <w:tc>
          <w:tcPr>
            <w:tcW w:type="dxa" w:w="187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Caso</w:t>
            </w:r>
          </w:p>
        </w:tc>
        <w:tc>
          <w:tcPr>
            <w:tcW w:type="dxa" w:w="187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Esperado</w:t>
            </w:r>
          </w:p>
        </w:tc>
        <w:tc>
          <w:tcPr>
            <w:tcW w:type="dxa" w:w="187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Resultado</w:t>
            </w:r>
          </w:p>
        </w:tc>
        <w:tc>
          <w:tcPr>
            <w:tcW w:type="dxa" w:w="1872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CP01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Venta y pago dividido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Venta y total válidos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[PENDIENTE]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Pendiente</w:t>
            </w:r>
          </w:p>
        </w:tc>
      </w:tr>
      <w:tr>
        <w:tc>
          <w:tcPr>
            <w:tcW w:type="dxa" w:w="1872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CP02</w:t>
            </w:r>
          </w:p>
        </w:tc>
        <w:tc>
          <w:tcPr>
            <w:tcW w:type="dxa" w:w="1872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Stock insuficiente</w:t>
            </w:r>
          </w:p>
        </w:tc>
        <w:tc>
          <w:tcPr>
            <w:tcW w:type="dxa" w:w="1872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Rechazo sin cambios</w:t>
            </w:r>
          </w:p>
        </w:tc>
        <w:tc>
          <w:tcPr>
            <w:tcW w:type="dxa" w:w="1872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[PENDIENTE]</w:t>
            </w:r>
          </w:p>
        </w:tc>
        <w:tc>
          <w:tcPr>
            <w:tcW w:type="dxa" w:w="1872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Pendiente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CP03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Anulación/devolución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Stock restaurado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[PENDIENTE]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Pendiente</w:t>
            </w:r>
          </w:p>
        </w:tc>
      </w:tr>
      <w:tr>
        <w:tc>
          <w:tcPr>
            <w:tcW w:type="dxa" w:w="1872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CP04</w:t>
            </w:r>
          </w:p>
        </w:tc>
        <w:tc>
          <w:tcPr>
            <w:tcW w:type="dxa" w:w="1872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Cierre de turno</w:t>
            </w:r>
          </w:p>
        </w:tc>
        <w:tc>
          <w:tcPr>
            <w:tcW w:type="dxa" w:w="1872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Diferencia y consumos</w:t>
            </w:r>
          </w:p>
        </w:tc>
        <w:tc>
          <w:tcPr>
            <w:tcW w:type="dxa" w:w="1872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[PENDIENTE]</w:t>
            </w:r>
          </w:p>
        </w:tc>
        <w:tc>
          <w:tcPr>
            <w:tcW w:type="dxa" w:w="1872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Pendiente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CP05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Idempotencia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Sin duplicados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[PENDIENTE]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Pendiente</w:t>
            </w:r>
          </w:p>
        </w:tc>
      </w:tr>
      <w:tr>
        <w:tc>
          <w:tcPr>
            <w:tcW w:type="dxa" w:w="1872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CP06</w:t>
            </w:r>
          </w:p>
        </w:tc>
        <w:tc>
          <w:tcPr>
            <w:tcW w:type="dxa" w:w="1872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Seguridad</w:t>
            </w:r>
          </w:p>
        </w:tc>
        <w:tc>
          <w:tcPr>
            <w:tcW w:type="dxa" w:w="1872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Rechazo JWT/payload/permiso</w:t>
            </w:r>
          </w:p>
        </w:tc>
        <w:tc>
          <w:tcPr>
            <w:tcW w:type="dxa" w:w="1872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[PENDIENTE]</w:t>
            </w:r>
          </w:p>
        </w:tc>
        <w:tc>
          <w:tcPr>
            <w:tcW w:type="dxa" w:w="1872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Pendiente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CP07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Resiliencia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Reintento y recuperación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[PENDIENTE]</w:t>
            </w:r>
          </w:p>
        </w:tc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Pendiente</w:t>
            </w:r>
          </w:p>
        </w:tc>
      </w:tr>
    </w:tbl>
    <w:p/>
    <w:p>
      <w:pPr>
        <w:spacing w:line="360" w:lineRule="auto" w:after="120"/>
      </w:pPr>
      <w:r>
        <w:t>[INSERTAR CAPTURA: ejecución de pruebas npm test en cada aplicación. Ruta: docs/proyecto-final/evidencias/09-pruebas.png.]</w:t>
      </w:r>
    </w:p>
    <w:p>
      <w:pPr>
        <w:pStyle w:val="Heading1"/>
        <w:spacing w:before="240" w:after="120"/>
      </w:pPr>
      <w:r>
        <w:t>CAPÍTULO X. MANUAL DE INSTALACIÓN</w:t>
      </w:r>
    </w:p>
    <w:p>
      <w:pPr>
        <w:spacing w:line="360" w:lineRule="auto" w:after="120"/>
      </w:pPr>
      <w:r>
        <w:t>Instalar Docker Desktop. Copiar .env.example a .env y completar secretos sin publicarlos. Desde la raíz ejecutar docker compose build y docker compose up -d. Verificar con docker compose ps y docker compose logs. Abrir http://localhost:5173 (POS), http://localhost:5174 (Monitoreo), y usar puertos 3000/4000 para backends. Supabase debe tener las migraciones y credenciales disponibles.</w:t>
      </w:r>
    </w:p>
    <w:p>
      <w:pPr>
        <w:pStyle w:val="Heading1"/>
        <w:spacing w:before="240" w:after="120"/>
      </w:pPr>
      <w:r>
        <w:t>CAPÍTULO XI. MANUAL DE DESPLIEGUE</w:t>
      </w:r>
    </w:p>
    <w:p>
      <w:pPr>
        <w:spacing w:line="360" w:lineRule="auto" w:after="120"/>
      </w:pPr>
      <w:r>
        <w:t>Seleccionar una plataforma, crear cuatro servicios a partir de sus Dockerfiles, cargar secretos en su gestor de variables, configurar URLs internas, CORS y health checks, publicar frontends y ejecutar la prueba integrada. [PENDIENTE: plataforma, URL y capturas de despliegue.]</w:t>
      </w:r>
    </w:p>
    <w:p>
      <w:pPr>
        <w:pStyle w:val="Heading1"/>
        <w:spacing w:before="240" w:after="120"/>
      </w:pPr>
      <w:r>
        <w:t>CAPÍTULO XII. CONCLUSIONES Y RECOMENDACIONES</w:t>
      </w:r>
    </w:p>
    <w:p>
      <w:pPr>
        <w:spacing w:line="360" w:lineRule="auto" w:after="120"/>
      </w:pPr>
      <w:r>
        <w:t>El repositorio implementa dos aplicaciones separadas que integran operación comercial y monitoreo por API y colas. La separación de datos, idempotencia y trazabilidad son decisiones centrales. Se recomienda ejecutar la matriz de pruebas, unificar el puerto 4000/4001, formalizar la migración canónica, completar IaC/AWS si procede, añadir CI/CD y publicar evidencia de un despliegue real.</w:t>
      </w:r>
    </w:p>
    <w:p>
      <w:pPr>
        <w:pStyle w:val="Heading1"/>
        <w:spacing w:before="240" w:after="120"/>
      </w:pPr>
      <w:r>
        <w:t>Inconsistencias detectadas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Hallazgo</w:t>
            </w:r>
          </w:p>
        </w:tc>
        <w:tc>
          <w:tcPr>
            <w:tcW w:type="dxa" w:w="468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Tratamiento en este informe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Puerto de Monitoreo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README indica 4001; env, Compose y K8s indican 4000. Se usa 4000.</w:t>
            </w:r>
          </w:p>
        </w:tc>
      </w:tr>
      <w:tr>
        <w:tc>
          <w:tcPr>
            <w:tcW w:type="dxa" w:w="468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Capa de controladores</w:t>
            </w:r>
          </w:p>
        </w:tc>
        <w:tc>
          <w:tcPr>
            <w:tcW w:type="dxa" w:w="468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La arquitectura la prevé; el POS documenta handlers inline.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Conteo de pruebas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Fuentes difieren; no se afirma conteo único sin ejecución.</w:t>
            </w:r>
          </w:p>
        </w:tc>
      </w:tr>
      <w:tr>
        <w:tc>
          <w:tcPr>
            <w:tcW w:type="dxa" w:w="468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Migraciones POS</w:t>
            </w:r>
          </w:p>
        </w:tc>
        <w:tc>
          <w:tcPr>
            <w:tcW w:type="dxa" w:w="468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Se adopta database/pos/migrations como canónica conforme a documentación.</w:t>
            </w:r>
          </w:p>
        </w:tc>
      </w:tr>
    </w:tbl>
    <w:p/>
    <w:p>
      <w:pPr>
        <w:pStyle w:val="Heading1"/>
        <w:spacing w:before="240" w:after="120"/>
      </w:pPr>
      <w:r>
        <w:t>Referencias bibliográficas</w:t>
      </w:r>
    </w:p>
    <w:p>
      <w:pPr>
        <w:spacing w:line="360" w:lineRule="auto" w:after="120"/>
      </w:pPr>
      <w:r>
        <w:t>Docker. (s. f.). Docker Compose. https://docs.docker.com/compose/</w:t>
      </w:r>
    </w:p>
    <w:p>
      <w:pPr>
        <w:spacing w:line="360" w:lineRule="auto" w:after="120"/>
      </w:pPr>
      <w:r>
        <w:t>Koyeb. (s. f.). Documentation. https://www.koyeb.com/docs</w:t>
      </w:r>
    </w:p>
    <w:p>
      <w:pPr>
        <w:spacing w:line="360" w:lineRule="auto" w:after="120"/>
      </w:pPr>
      <w:r>
        <w:t>Kubernetes. (s. f.). Service. https://kubernetes.io/docs/concepts/services-networking/service/</w:t>
      </w:r>
    </w:p>
    <w:p>
      <w:pPr>
        <w:spacing w:line="360" w:lineRule="auto" w:after="120"/>
      </w:pPr>
      <w:r>
        <w:t>Railway. (s. f.). Deploy a Docker Compose app to production. https://docs.railway.com/guides/docker-compose</w:t>
      </w:r>
    </w:p>
    <w:p>
      <w:pPr>
        <w:spacing w:line="360" w:lineRule="auto" w:after="120"/>
      </w:pPr>
      <w:r>
        <w:t>Render. (s. f.). Docker on Render. https://render.com/docs/docker</w:t>
      </w:r>
    </w:p>
    <w:p>
      <w:pPr>
        <w:spacing w:line="360" w:lineRule="auto" w:after="120"/>
      </w:pPr>
      <w:r>
        <w:t>Proyecto Heladería Monitoreo. (2026). Código fuente y documentación interna del repositorio.</w:t>
      </w:r>
    </w:p>
    <w:p>
      <w:pPr>
        <w:pStyle w:val="Heading1"/>
        <w:spacing w:before="240" w:after="120"/>
      </w:pPr>
      <w:r>
        <w:t>Anexos y pendientes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Elemento</w:t>
            </w:r>
          </w:p>
        </w:tc>
        <w:tc>
          <w:tcPr>
            <w:tcW w:type="dxa" w:w="4680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.dockerignore en cuatro servicios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Completado</w:t>
            </w:r>
          </w:p>
        </w:tc>
      </w:tr>
      <w:tr>
        <w:tc>
          <w:tcPr>
            <w:tcW w:type="dxa" w:w="468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Datos institucionales</w:t>
            </w:r>
          </w:p>
        </w:tc>
        <w:tc>
          <w:tcPr>
            <w:tcW w:type="dxa" w:w="468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[PENDIENTE]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URL pública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[PENDIENTE]</w:t>
            </w:r>
          </w:p>
        </w:tc>
      </w:tr>
      <w:tr>
        <w:tc>
          <w:tcPr>
            <w:tcW w:type="dxa" w:w="468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Capturas Docker/pruebas/despliegue</w:t>
            </w:r>
          </w:p>
        </w:tc>
        <w:tc>
          <w:tcPr>
            <w:tcW w:type="dxa" w:w="468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[PENDIENTE]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Video demostración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[PENDIENTE]</w:t>
            </w:r>
          </w:p>
        </w:tc>
      </w:tr>
      <w:tr>
        <w:tc>
          <w:tcPr>
            <w:tcW w:type="dxa" w:w="468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Resultados matriz de pruebas</w:t>
            </w:r>
          </w:p>
        </w:tc>
        <w:tc>
          <w:tcPr>
            <w:tcW w:type="dxa" w:w="4680"/>
            <w:shd w:fill="EAF2F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[PENDIENTE]</w:t>
            </w:r>
          </w:p>
        </w:tc>
      </w:tr>
      <w:tr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Arquitectura AWS/IaC si se usa AWS</w:t>
            </w:r>
          </w:p>
        </w:tc>
        <w:tc>
          <w:tcPr>
            <w:tcW w:type="dxa" w:w="4680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[PENDIENTE]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Sistema Heladería Cafetería y Monitoreo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