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Informe Consolidado Final de Auditoría Integral</w:t>
      </w:r>
    </w:p>
    <w:p>
      <w:pPr>
        <w:pStyle w:val="Subtitle"/>
      </w:pPr>
      <w:r/>
    </w:p>
    <w:p>
      <w:pPr>
        <w:pStyle w:val="Author"/>
      </w:pPr>
      <w:r>
        <w:t xml:space="preserve">Equipo de Auditoría BizSmartHub</w:t>
      </w:r>
    </w:p>
    <w:p>
      <w:pPr>
        <w:pStyle w:val="Date"/>
      </w:pPr>
      <w:r>
        <w:t xml:space="preserve">11 de mayo de 2026 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nota-de-revisión-post-validación"/>
    <w:bookmarkEnd w:id="9"/>
    <w:bookmarkStart w:id="14" w:name="introducción"/>
    <w:p>
      <w:pPr>
        <w:pStyle w:val="Heading1"/>
      </w:pPr>
      <w:r>
        <w:t xml:space="preserve">1. INTRODUCCIÓN</w:t>
      </w:r>
    </w:p>
    <w:bookmarkStart w:id="10" w:name="empresas-auditadas"/>
    <w:p>
      <w:pPr>
        <w:pStyle w:val="Heading2"/>
      </w:pPr>
      <w:r>
        <w:t xml:space="preserve">1.1. Empresas auditadas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RUC</w:t>
            </w:r>
          </w:p>
        </w:tc>
        <w:tc>
          <w:tcPr/>
          <w:p>
            <w:pPr>
              <w:pStyle w:val="Compact"/>
            </w:pPr>
            <w:r>
              <w:t xml:space="preserve">Naturaleza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Clase Ingreso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CMO GROUP S.A.</w:t>
            </w:r>
          </w:p>
        </w:tc>
        <w:tc>
          <w:tcPr/>
          <w:p>
            <w:pPr>
              <w:pStyle w:val="Compact"/>
            </w:pPr>
            <w:r>
              <w:t xml:space="preserve">22011489</w:t>
            </w:r>
          </w:p>
        </w:tc>
        <w:tc>
          <w:tcPr/>
          <w:p>
            <w:pPr>
              <w:pStyle w:val="Compact"/>
            </w:pPr>
            <w:r>
              <w:t xml:space="preserve">Holding del grupo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INTEGRAL CONSULTORES S.A.C.</w:t>
            </w:r>
          </w:p>
        </w:tc>
        <w:tc>
          <w:tcPr/>
          <w:p>
            <w:pPr>
              <w:pStyle w:val="Compact"/>
            </w:pPr>
            <w:r>
              <w:t xml:space="preserve">80688541</w:t>
            </w:r>
          </w:p>
        </w:tc>
        <w:tc>
          <w:tcPr/>
          <w:p>
            <w:pPr>
              <w:pStyle w:val="Compact"/>
            </w:pPr>
            <w:r>
              <w:t xml:space="preserve">Consultoría profesional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MEDARQ S.A.C.</w:t>
            </w:r>
          </w:p>
        </w:tc>
        <w:tc>
          <w:tcPr/>
          <w:p>
            <w:pPr>
              <w:pStyle w:val="Compact"/>
            </w:pPr>
            <w:r>
              <w:t xml:space="preserve">80688706</w:t>
            </w:r>
          </w:p>
        </w:tc>
        <w:tc>
          <w:tcPr/>
          <w:p>
            <w:pPr>
              <w:pStyle w:val="Compact"/>
            </w:pPr>
            <w:r>
              <w:t xml:space="preserve">Arquitectura/Servicios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COMPAÑÍA AMERICANA CONSTRUCCIÓN Y EQUIPAMIENTO S.A.C.</w:t>
            </w:r>
          </w:p>
        </w:tc>
        <w:tc>
          <w:tcPr/>
          <w:p>
            <w:pPr>
              <w:pStyle w:val="Compact"/>
            </w:pPr>
            <w:r>
              <w:t xml:space="preserve">80688524</w:t>
            </w:r>
          </w:p>
        </w:tc>
        <w:tc>
          <w:tcPr/>
          <w:p>
            <w:pPr>
              <w:pStyle w:val="Compact"/>
            </w:pPr>
            <w:r>
              <w:t xml:space="preserve">Construcción/Equipamiento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</w:tr>
    </w:tbl>
    <w:bookmarkEnd w:id="10"/>
    <w:bookmarkStart w:id="11" w:name="alcance"/>
    <w:p>
      <w:pPr>
        <w:pStyle w:val="Heading2"/>
      </w:pPr>
      <w:r>
        <w:t xml:space="preserve">1.2. Alcance</w:t>
      </w:r>
    </w:p>
    <w:p>
      <w:pPr>
        <w:pStyle w:val="FirstParagraph"/>
      </w:pPr>
      <w:r>
        <w:t>Auditoría 360° sobre los datos productivos del ERP S10 (SQL Server sistema ERP S10 productivo — base de datos CMO con 2,035 tablas + 1,382 vistas), conectado vía VPN FortiGate.</w:t>
      </w:r>
    </w:p>
    <w:p>
      <w:pPr>
        <w:pStyle w:val="BodyText"/>
      </w:pPr>
      <w:r>
        <w:rPr>
          <w:b/>
          <w:bCs/>
        </w:rPr>
        <w:t xml:space="preserve">Período auditado:</w:t>
      </w:r>
      <w:r>
        <w:t xml:space="preserve"> </w:t>
      </w:r>
      <w:r>
        <w:t xml:space="preserve">Ejercicio 2026 YTD (1 enero – 11 mayo), con referencias 2025 y comparativos retroactivos.</w:t>
      </w:r>
    </w:p>
    <w:p>
      <w:pPr>
        <w:pStyle w:val="BodyText"/>
      </w:pPr>
      <w:r>
        <w:rPr>
          <w:b/>
          <w:bCs/>
        </w:rPr>
        <w:t xml:space="preserve">Procedimientos aplicados:</w:t>
      </w:r>
    </w:p>
    <w:p>
      <w:pPr>
        <w:pStyle w:val="Compact"/>
        <w:numPr>
          <w:ilvl w:val="0"/>
          <w:numId w:val="1001"/>
        </w:numPr>
      </w:pPr>
      <w:r>
        <w:t xml:space="preserve">Pruebas analíticas globales (no muestreo)</w:t>
      </w:r>
    </w:p>
    <w:p>
      <w:pPr>
        <w:pStyle w:val="Compact"/>
        <w:numPr>
          <w:ilvl w:val="0"/>
          <w:numId w:val="1001"/>
        </w:numPr>
      </w:pPr>
      <w:r>
        <w:t xml:space="preserve">Pruebas de exhaustividad (conteo asientos vs documentos)</w:t>
      </w:r>
    </w:p>
    <w:p>
      <w:pPr>
        <w:pStyle w:val="Compact"/>
        <w:numPr>
          <w:ilvl w:val="0"/>
          <w:numId w:val="1001"/>
        </w:numPr>
      </w:pPr>
      <w:r>
        <w:t xml:space="preserve">Pruebas de existencia (NroD presente vs NULL)</w:t>
      </w:r>
    </w:p>
    <w:p>
      <w:pPr>
        <w:pStyle w:val="Compact"/>
        <w:numPr>
          <w:ilvl w:val="0"/>
          <w:numId w:val="1001"/>
        </w:numPr>
      </w:pPr>
      <w:r>
        <w:t xml:space="preserve">Pruebas de corte (cut-off mensual)</w:t>
      </w:r>
    </w:p>
    <w:p>
      <w:pPr>
        <w:pStyle w:val="Compact"/>
        <w:numPr>
          <w:ilvl w:val="0"/>
          <w:numId w:val="1001"/>
        </w:numPr>
      </w:pPr>
      <w:r>
        <w:t xml:space="preserve">Identificación de atípicos (&gt;S/100,000)</w:t>
      </w:r>
    </w:p>
    <w:p>
      <w:pPr>
        <w:pStyle w:val="Compact"/>
        <w:numPr>
          <w:ilvl w:val="0"/>
          <w:numId w:val="1001"/>
        </w:numPr>
      </w:pPr>
      <w:r>
        <w:t xml:space="preserve">Conciliación cruzada (ingresos contables vs facturas emitidas)</w:t>
      </w:r>
    </w:p>
    <w:p>
      <w:pPr>
        <w:pStyle w:val="Compact"/>
        <w:numPr>
          <w:ilvl w:val="0"/>
          <w:numId w:val="1001"/>
        </w:numPr>
      </w:pPr>
      <w:r>
        <w:t xml:space="preserve">Aging de cuentas (0-30, 31-60, 61-90, &gt;90 días)</w:t>
      </w:r>
    </w:p>
    <w:p>
      <w:pPr>
        <w:pStyle w:val="Compact"/>
        <w:numPr>
          <w:ilvl w:val="0"/>
          <w:numId w:val="1001"/>
        </w:numPr>
      </w:pPr>
      <w:r>
        <w:t xml:space="preserve">Validación bancarización Ley 28194</w:t>
      </w:r>
    </w:p>
    <w:p>
      <w:pPr>
        <w:pStyle w:val="Compact"/>
        <w:numPr>
          <w:ilvl w:val="0"/>
          <w:numId w:val="1001"/>
        </w:numPr>
      </w:pPr>
      <w:r>
        <w:t xml:space="preserve">Validación cumplimiento laboral (CTS, participaciones)</w:t>
      </w:r>
    </w:p>
    <w:p>
      <w:pPr>
        <w:pStyle w:val="Compact"/>
        <w:numPr>
          <w:ilvl w:val="0"/>
          <w:numId w:val="1001"/>
        </w:numPr>
      </w:pPr>
      <w:r>
        <w:t xml:space="preserve">Verificación contra origen S10 (28+ queries de cruce)</w:t>
      </w:r>
    </w:p>
    <w:bookmarkEnd w:id="11"/>
    <w:bookmarkStart w:id="12" w:name="marco-normativo"/>
    <w:p>
      <w:pPr>
        <w:pStyle w:val="Heading2"/>
      </w:pPr>
      <w:r>
        <w:t xml:space="preserve">1.3. Marco normativo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Aplicación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 011-2010-EF (PCGE)</w:t>
            </w:r>
          </w:p>
        </w:tc>
        <w:tc>
          <w:tcPr/>
          <w:p>
            <w:pPr>
              <w:pStyle w:val="Compact"/>
            </w:pPr>
            <w:r>
              <w:t xml:space="preserve">Plan Contable General Empresarial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TUO LIR — DS 179-2004-EF</w:t>
            </w:r>
          </w:p>
        </w:tc>
        <w:tc>
          <w:tcPr/>
          <w:p>
            <w:pPr>
              <w:pStyle w:val="Compact"/>
            </w:pPr>
            <w:r>
              <w:t xml:space="preserve">Impuesto a la Renta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TUO Ley IGV — DS 055-99-EF</w:t>
            </w:r>
          </w:p>
        </w:tc>
        <w:tc>
          <w:tcPr/>
          <w:p>
            <w:pPr>
              <w:pStyle w:val="Compact"/>
            </w:pPr>
            <w:r>
              <w:t xml:space="preserve">Impuesto General a las Ventas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TUO Código Tributario — DS 133-2013-EF</w:t>
            </w:r>
          </w:p>
        </w:tc>
        <w:tc>
          <w:tcPr/>
          <w:p>
            <w:pPr>
              <w:pStyle w:val="Compact"/>
            </w:pPr>
            <w:r>
              <w:t xml:space="preserve">Normas administrativas tributarias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Ley 28194</w:t>
            </w:r>
          </w:p>
        </w:tc>
        <w:tc>
          <w:tcPr/>
          <w:p>
            <w:pPr>
              <w:pStyle w:val="Compact"/>
            </w:pPr>
            <w:r>
              <w:t xml:space="preserve">Bancarización (medios de pago)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 155-2004-EF</w:t>
            </w:r>
          </w:p>
        </w:tc>
        <w:tc>
          <w:tcPr/>
          <w:p>
            <w:pPr>
              <w:pStyle w:val="Compact"/>
            </w:pPr>
            <w:r>
              <w:t xml:space="preserve">Sistema de detracciones (SPOT)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 892</w:t>
            </w:r>
          </w:p>
        </w:tc>
        <w:tc>
          <w:tcPr/>
          <w:p>
            <w:pPr>
              <w:pStyle w:val="Compact"/>
            </w:pPr>
            <w:r>
              <w:t xml:space="preserve">Participación de los trabajadores en utilidades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 650</w:t>
            </w:r>
          </w:p>
        </w:tc>
        <w:tc>
          <w:tcPr/>
          <w:p>
            <w:pPr>
              <w:pStyle w:val="Compact"/>
            </w:pPr>
            <w:r>
              <w:t xml:space="preserve">CTS — Compensación por Tiempo de Servicios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 286-2009/SUNAT</w:t>
            </w:r>
          </w:p>
        </w:tc>
        <w:tc>
          <w:tcPr/>
          <w:p>
            <w:pPr>
              <w:pStyle w:val="Compact"/>
            </w:pPr>
            <w:r>
              <w:t xml:space="preserve">Libros electrónicos (PLE)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NIIF 9, 15, 16</w:t>
            </w:r>
          </w:p>
        </w:tc>
        <w:tc>
          <w:tcPr/>
          <w:p>
            <w:pPr>
              <w:pStyle w:val="Compact"/>
            </w:pPr>
            <w:r>
              <w:t xml:space="preserve">Instrumentos financieros, ingresos, arrendamientos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NIC 1, 12, 16, 19, 36, 37</w:t>
            </w:r>
          </w:p>
        </w:tc>
        <w:tc>
          <w:tcPr/>
          <w:p>
            <w:pPr>
              <w:pStyle w:val="Compact"/>
            </w:pPr>
            <w:r>
              <w:t xml:space="preserve">Marco contable internacional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Ley General de Sociedades — Ley 26887</w:t>
            </w:r>
          </w:p>
        </w:tc>
        <w:tc>
          <w:tcPr/>
          <w:p>
            <w:pPr>
              <w:pStyle w:val="Compact"/>
            </w:pPr>
            <w:r>
              <w:t xml:space="preserve">Reserva legal, dividendos</w:t>
            </w:r>
          </w:p>
        </w:tc>
      </w:tr>
    </w:tbl>
    <w:bookmarkEnd w:id="12"/>
    <w:bookmarkStart w:id="13" w:name="materialidad"/>
    <w:p>
      <w:pPr>
        <w:pStyle w:val="Heading2"/>
      </w:pPr>
      <w:r>
        <w:t xml:space="preserve">1.4. Materialidad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Materialidad global:</w:t>
      </w:r>
      <w:r>
        <w:t xml:space="preserve"> </w:t>
      </w:r>
      <w:r>
        <w:t xml:space="preserve">S/100,000 (umbral atípicos)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CMO GROUP:</w:t>
      </w:r>
      <w:r>
        <w:t xml:space="preserve"> </w:t>
      </w:r>
      <w:r>
        <w:t xml:space="preserve">S/250,000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INTEGRAL:</w:t>
      </w:r>
      <w:r>
        <w:t xml:space="preserve"> </w:t>
      </w:r>
      <w:r>
        <w:t xml:space="preserve">S/150,000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MEDARQ:</w:t>
      </w:r>
      <w:r>
        <w:t xml:space="preserve"> </w:t>
      </w:r>
      <w:r>
        <w:t xml:space="preserve">S/75,000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AMERICANA:</w:t>
      </w:r>
      <w:r>
        <w:t xml:space="preserve"> </w:t>
      </w:r>
      <w:r>
        <w:t xml:space="preserve">S/100,000</w:t>
      </w:r>
    </w:p>
    <w:bookmarkEnd w:id="13"/>
    <w:bookmarkEnd w:id="14"/>
    <w:bookmarkStart w:id="21" w:name="metodología-de-la-auditoría-6-fases"/>
    <w:p>
      <w:pPr>
        <w:pStyle w:val="Heading1"/>
      </w:pPr>
      <w:r>
        <w:t xml:space="preserve">2. METODOLOGÍA DE LA AUDITORÍA — 6 FASES</w:t>
      </w:r>
    </w:p>
    <w:bookmarkStart w:id="15" w:name="fase-inicial-cobertura-básica-del-erp"/>
    <w:p>
      <w:pPr>
        <w:pStyle w:val="Heading2"/>
      </w:pPr>
      <w:r>
        <w:t xml:space="preserve">2.1. Fase Inicial — Cobertura básica del ERP</w:t>
      </w:r>
    </w:p>
    <w:p>
      <w:pPr>
        <w:pStyle w:val="FirstParagraph"/>
      </w:pPr>
      <w:r>
        <w:t xml:space="preserve">Captura inicial de 33-34 KPI types desde S10:</w:t>
      </w:r>
    </w:p>
    <w:p>
      <w:pPr>
        <w:pStyle w:val="Compact"/>
        <w:numPr>
          <w:ilvl w:val="0"/>
          <w:numId w:val="1003"/>
        </w:numPr>
      </w:pPr>
      <w:r>
        <w:t xml:space="preserve">P&amp;L mensual con clase de ingreso configurable</w:t>
      </w:r>
    </w:p>
    <w:p>
      <w:pPr>
        <w:pStyle w:val="Compact"/>
        <w:numPr>
          <w:ilvl w:val="0"/>
          <w:numId w:val="1003"/>
        </w:numPr>
      </w:pPr>
      <w:r>
        <w:t xml:space="preserve">CxC / CxP con aging y concentración Top 3</w:t>
      </w:r>
    </w:p>
    <w:p>
      <w:pPr>
        <w:pStyle w:val="Compact"/>
        <w:numPr>
          <w:ilvl w:val="0"/>
          <w:numId w:val="1003"/>
        </w:numPr>
      </w:pPr>
      <w:r>
        <w:t xml:space="preserve">Tesorería con saldos por banco</w:t>
      </w:r>
    </w:p>
    <w:p>
      <w:pPr>
        <w:pStyle w:val="Compact"/>
        <w:numPr>
          <w:ilvl w:val="0"/>
          <w:numId w:val="1003"/>
        </w:numPr>
      </w:pPr>
      <w:r>
        <w:t xml:space="preserve">Tributos clase 40 (IGV, IR, AFP, ONP, ESSALUD)</w:t>
      </w:r>
    </w:p>
    <w:p>
      <w:pPr>
        <w:pStyle w:val="Compact"/>
        <w:numPr>
          <w:ilvl w:val="0"/>
          <w:numId w:val="1003"/>
        </w:numPr>
      </w:pPr>
      <w:r>
        <w:t xml:space="preserve">Auditoría: descuadres, sin documento, atípicos, conciliación ingresos</w:t>
      </w:r>
    </w:p>
    <w:p>
      <w:pPr>
        <w:pStyle w:val="Compact"/>
        <w:numPr>
          <w:ilvl w:val="0"/>
          <w:numId w:val="1003"/>
        </w:numPr>
      </w:pPr>
      <w:r>
        <w:t xml:space="preserve">Detalle de transacciones por cuenta (transactions, cxc_transactions, etc.)</w:t>
      </w:r>
    </w:p>
    <w:bookmarkEnd w:id="15"/>
    <w:bookmarkStart w:id="16" w:name="fase-de-validación-contra-origen-s10"/>
    <w:p>
      <w:pPr>
        <w:pStyle w:val="Heading2"/>
      </w:pPr>
      <w:r>
        <w:t xml:space="preserve">2.2. Fase de Validación contra origen S10</w:t>
      </w:r>
    </w:p>
    <w:p>
      <w:pPr>
        <w:pStyle w:val="FirstParagraph"/>
      </w:pPr>
      <w:r>
        <w:t xml:space="preserve">Verificación cruzada de cada hallazgo contra la base productiva. Identificación de 5 defectos del sync:</w:t>
      </w:r>
    </w:p>
    <w:bookmarkEnd w:id="16"/>
    <w:bookmarkStart w:id="17" w:name="fase-a-conciliación-bancaria"/>
    <w:p>
      <w:pPr>
        <w:pStyle w:val="Heading2"/>
      </w:pPr>
      <w:r>
        <w:t xml:space="preserve">2.3. Fase A — Conciliación Bancaria</w:t>
      </w:r>
    </w:p>
    <w:p>
      <w:pPr>
        <w:pStyle w:val="FirstParagraph"/>
      </w:pPr>
      <w:r>
        <w:t xml:space="preserve">Captura del módulo OB_EstadoBanco + OB_EstadoBancoDetalle (1,620 estados de cuenta + 41,572 movimientos bancarios cargados al sistema).</w:t>
      </w:r>
    </w:p>
    <w:p>
      <w:pPr>
        <w:pStyle w:val="BodyText"/>
      </w:pPr>
      <w:r>
        <w:rPr>
          <w:b/>
          <w:bCs/>
        </w:rPr>
        <w:t xml:space="preserve">Hallazgo principal:</w:t>
      </w:r>
      <w:r>
        <w:t xml:space="preserve"> </w:t>
      </w:r>
      <w:r>
        <w:t xml:space="preserve">3 de 4 empresas NO usan el módulo de conciliación bancaria. CMO lo usó hasta junio 2022.</w:t>
      </w:r>
    </w:p>
    <w:bookmarkEnd w:id="17"/>
    <w:bookmarkStart w:id="18" w:name="fase-a.5-módulo-bancario-al-100"/>
    <w:p>
      <w:pPr>
        <w:pStyle w:val="Heading2"/>
      </w:pPr>
      <w:r>
        <w:t xml:space="preserve">2.4. Fase A.5 — Módulo Bancario al 100%</w:t>
      </w:r>
    </w:p>
    <w:p>
      <w:pPr>
        <w:pStyle w:val="FirstParagraph"/>
      </w:pPr>
      <w:r>
        <w:t xml:space="preserve">Captura de 5 componentes adicionales: OB_LibroCaja (114), OB_Caja (4,818 ops), OB_DetalleAsignacion (104K asignaciones, métricas agregadas), CompensacionDocumentoPago (3,008), OB_Pago (42,314 pagos totales).</w:t>
      </w:r>
    </w:p>
    <w:p>
      <w:pPr>
        <w:pStyle w:val="BodyText"/>
      </w:pPr>
      <w:r>
        <w:rPr>
          <w:b/>
          <w:bCs/>
        </w:rPr>
        <w:t xml:space="preserve">Hallazgo principal:</w:t>
      </w:r>
      <w:r>
        <w:t xml:space="preserve"> </w:t>
      </w:r>
      <w:r>
        <w:t xml:space="preserve">Trazabilidad Pago↔Documento &gt;99% en las 3 empresas operativas.</w:t>
      </w:r>
    </w:p>
    <w:bookmarkEnd w:id="18"/>
    <w:bookmarkStart w:id="19" w:name="fase-b-bancarización-ley-28194"/>
    <w:p>
      <w:pPr>
        <w:pStyle w:val="Heading2"/>
      </w:pPr>
      <w:r>
        <w:t xml:space="preserve">2.5. Fase B — Bancarización Ley 28194</w:t>
      </w:r>
    </w:p>
    <w:p>
      <w:pPr>
        <w:pStyle w:val="FirstParagraph"/>
      </w:pPr>
      <w:r>
        <w:t xml:space="preserve">Decodificación del campo</w:t>
      </w:r>
      <w:r>
        <w:t xml:space="preserve"> </w:t>
      </w:r>
      <w:r>
        <w:rPr>
          <w:rStyle w:val="VerbatimChar"/>
        </w:rPr>
        <w:t xml:space="preserve">MedioDePago</w:t>
      </w:r>
      <w:r>
        <w:t xml:space="preserve"> </w:t>
      </w:r>
      <w:r>
        <w:t xml:space="preserve">y validación de cumplimiento.</w:t>
      </w:r>
    </w:p>
    <w:p>
      <w:pPr>
        <w:pStyle w:val="BodyText"/>
      </w:pPr>
      <w:r>
        <w:rPr>
          <w:b/>
          <w:bCs/>
        </w:rPr>
        <w:t xml:space="preserve">Hallazgo principal:</w:t>
      </w:r>
      <w:r>
        <w:t xml:space="preserve"> </w:t>
      </w:r>
      <w:r>
        <w:t xml:space="preserve">100% bancarización 2026. CMO histórico con 57 operaciones MedioDePago=4 inicialmente clasificadas como efectivo, pero ACTUALIZACIÓN CRÍTICA: son aplicaciones de Notas de Crédito (Art. 1288 Código Civil), NO violación de Ley 28194.</w:t>
      </w:r>
    </w:p>
    <w:bookmarkEnd w:id="19"/>
    <w:bookmarkStart w:id="20" w:name="fase-c-auditoría-laboral"/>
    <w:p>
      <w:pPr>
        <w:pStyle w:val="Heading2"/>
      </w:pPr>
      <w:r>
        <w:t xml:space="preserve">2.6. Fase C — Auditoría Laboral</w:t>
      </w:r>
    </w:p>
    <w:p>
      <w:pPr>
        <w:pStyle w:val="FirstParagraph"/>
      </w:pPr>
      <w:r>
        <w:t xml:space="preserve">Las 4 empresas NO usan AFPNet/PDT-PLAME/BoletaNomina formales de S10. Auditoría adaptada desde clase 41 + OB_Pago a personas naturales (RUC 10*).</w:t>
      </w:r>
    </w:p>
    <w:p>
      <w:pPr>
        <w:pStyle w:val="BodyText"/>
      </w:pPr>
      <w:r>
        <w:rPr>
          <w:b/>
          <w:bCs/>
        </w:rPr>
        <w:t xml:space="preserve">Hallazgos críticos:</w:t>
      </w:r>
      <w:r>
        <w:t xml:space="preserve"> </w:t>
      </w:r>
      <w:r>
        <w:t xml:space="preserve">INTEGRAL participaciones DL 892 vencidas S/212K; MEDARQ sueldos atrasados S/196K; AMERICANA y MEDARQ posible omisión CTS mayo 2025.</w:t>
      </w:r>
    </w:p>
    <w:bookmarkEnd w:id="20"/>
    <w:bookmarkEnd w:id="21"/>
    <w:bookmarkStart w:id="24" w:name="arquitectura-técnica-del-sistema"/>
    <w:p>
      <w:pPr>
        <w:pStyle w:val="Heading1"/>
      </w:pPr>
      <w:r>
        <w:t xml:space="preserve">3. ARQUITECTURA TÉCNICA DEL SISTEMA</w:t>
      </w:r>
    </w:p>
    <w:p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  <w:t>│     │</w:t>
        <w:br/>
        <w:t>│ ORIGEN: S10 SQL Server (sistema ERP S10 productivo) — BD CMO con 2,035 tablas │</w:t>
        <w:br/>
        <w:t>│     │</w:t>
        <w:br/>
        <w:t>│ Captura: ~30 vistas/tablas críticas via 47 queries SQL  │</w:t>
        <w:br/>
        <w:t>│     │</w:t>
        <w:br/>
        <w:t>│ ↓ VPN FortiGate (espera SQL ready, no solo ppp0)  │</w:t>
        <w:br/>
        <w:t>│     │</w:t>
        <w:br/>
        <w:t>│ AGENTE: sync-agent.js (VPS) — 47 queries en 3 batches  │</w:t>
        <w:br/>
        <w:t>│     │</w:t>
        <w:br/>
        <w:t>│ ↓ HTTP POST /api/sync/push (nginx 250MB límite)  │</w:t>
        <w:br/>
        <w:t>│     │</w:t>
        <w:br/>
        <w:t>│ BACKEND: NestJS s10biz-api   │</w:t>
        <w:br/>
        <w:t>│ ├─ Snapshots Postgres KpiSnapshot (45-47 tipos por empresa) │</w:t>
        <w:br/>
        <w:t>│ ├─ Endpoints REST 35+ con drilldown, métricas, alertas  │</w:t>
        <w:br/>
        <w:t>│ └─ Auto-upsert Company al recibir sync   │</w:t>
        <w:br/>
        <w:t>│     │</w:t>
        <w:br/>
        <w:t>│ ↓     │</w:t>
        <w:br/>
        <w:t>│     │</w:t>
        <w:br/>
        <w:t>│ FRONTEND: Next.js s10biz-web   │</w:t>
        <w:br/>
        <w:t>│ ├─ Dashboard con 13+ módulos navegables   │</w:t>
        <w:br/>
        <w:t>│ ├─ Drilldown por cuenta, año, mes, tercero  │</w:t>
        <w:br/>
        <w:t>│ └─ Auditoría visual (descuadres, atípicos, sin doc)  │</w:t>
        <w:br/>
        <w:t>│     │</w:t>
        <w:br/>
        <w:t>│ CRON: Sync automático L-V 07:00, 18:00 (2026) + 07:30 (2025) │</w:t>
        <w:br/>
        <w:t>│     │</w:t>
        <w:br/>
        <w:t>└────────────────────────────────────────────────────────────────────────────┘</w:t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</w:p>
    <w:bookmarkStart w:id="22" w:name="cobertura-final-del-módulo-s10"/>
    <w:p>
      <w:pPr>
        <w:pStyle w:val="Heading2"/>
      </w:pPr>
      <w:r>
        <w:t xml:space="preserve">3.1. Cobertura final del módulo S10</w:t>
      </w:r>
    </w:p>
    <w:p>
      <w:pPr>
        <w:pStyle w:val="BodyText"/>
      </w:pPr>
      <w:r>
        <w:rPr>
          <w:b/>
          <w:bCs/>
        </w:rPr>
        <w:t xml:space="preserve">Confianza global: 99%</w:t>
      </w:r>
      <w:r>
        <w:t xml:space="preserve"> </w:t>
      </w:r>
      <w:r>
        <w:t xml:space="preserve">(1% faltante = planilla detallada por trabajador en AFPNet, no usado por las 4 empresas).</w:t>
      </w:r>
    </w:p>
    <w:bookmarkEnd w:id="22"/>
    <w:bookmarkStart w:id="23" w:name="total-kpi-types-sincronizados"/>
    <w:p>
      <w:pPr>
        <w:pStyle w:val="Heading2"/>
      </w:pPr>
      <w:r>
        <w:t xml:space="preserve">3.2. Total KPI types sincronizados</w:t>
      </w:r>
    </w:p>
    <w:p>
      <w:pPr>
        <w:pStyle w:val="Compact"/>
        <w:numPr>
          <w:ilvl w:val="0"/>
          <w:numId w:val="1004"/>
        </w:numPr>
      </w:pPr>
      <w:r>
        <w:t xml:space="preserve">Pre-auditoría: 33-34 KPIs</w:t>
      </w:r>
    </w:p>
    <w:p>
      <w:pPr>
        <w:pStyle w:val="Compact"/>
        <w:numPr>
          <w:ilvl w:val="0"/>
          <w:numId w:val="1004"/>
        </w:numPr>
      </w:pPr>
      <w:r>
        <w:t xml:space="preserve">Post-Fase A.5: 39-41</w:t>
      </w:r>
    </w:p>
    <w:p>
      <w:pPr>
        <w:pStyle w:val="Compact"/>
        <w:numPr>
          <w:ilvl w:val="0"/>
          <w:numId w:val="1004"/>
        </w:numPr>
      </w:pPr>
      <w:r>
        <w:t xml:space="preserve">Post-Fase B: 42-44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Post-Fase C: 45-47</w:t>
      </w:r>
      <w:r>
        <w:t xml:space="preserve"> </w:t>
      </w:r>
      <w:r>
        <w:t xml:space="preserve">✅</w:t>
      </w:r>
    </w:p>
    <w:bookmarkEnd w:id="23"/>
    <w:bookmarkEnd w:id="24"/>
    <w:bookmarkStart w:id="50" w:name="hallazgos-por-empresa"/>
    <w:p>
      <w:pPr>
        <w:pStyle w:val="Heading1"/>
      </w:pPr>
      <w:r>
        <w:t xml:space="preserve">4. HALLAZGOS POR EMPRESA</w:t>
      </w:r>
    </w:p>
    <w:bookmarkStart w:id="31" w:name="cmo-group-s.a.-ruc-22011489"/>
    <w:p>
      <w:pPr>
        <w:pStyle w:val="Heading2"/>
      </w:pPr>
      <w:r>
        <w:t xml:space="preserve">4.1. CMO GROUP S.A. (RUC 22011489)</w:t>
      </w:r>
    </w:p>
    <w:bookmarkStart w:id="25" w:name="calificación-alta-vigilancia"/>
    <w:p>
      <w:pPr>
        <w:pStyle w:val="Heading3"/>
      </w:pPr>
      <w:r>
        <w:t xml:space="preserve">Calificación: 🟠 Alta vigilancia</w:t>
      </w:r>
    </w:p>
    <w:bookmarkEnd w:id="25"/>
    <w:bookmarkStart w:id="26" w:name="estado-de-resultados-ytd-2026"/>
    <w:p>
      <w:pPr>
        <w:pStyle w:val="Heading3"/>
      </w:pPr>
      <w:r>
        <w:t xml:space="preserve">4.1.1. Estado de resultados YTD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211,554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Directo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31,822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Margen Bruto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179,732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1,356,508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(1,176,776)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Utilidad Neta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(1,185,896)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Margen Neto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−560.6%</w:t>
            </w:r>
          </w:p>
        </w:tc>
      </w:tr>
    </w:tbl>
    <w:bookmarkEnd w:id="26"/>
    <w:bookmarkStart w:id="27" w:name="X0575e6e4d52936d225b864887ccad94bd11d8a5"/>
    <w:p>
      <w:pPr>
        <w:pStyle w:val="Heading3"/>
      </w:pPr>
      <w:r>
        <w:t>4.1.2. Patrimonio (validación V03/V19)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Cuenta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Social (cta 50)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(no existe en S10)</w:t>
            </w:r>
            <w:r>
              <w:t xml:space="preserve"> </w:t>
            </w: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 Legal (cta 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(ausente)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59110100 Utilidades Acumuladas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+S/5,082,789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59120100 Ingresos Años Anteriores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−S/2,199,498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59220100 Gastos Años Anteriores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−S/7,355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Otras (no detalladas individualmente)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−S/5,751,871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Patrimonio Neto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−S/2,875,935</w:t>
            </w:r>
            <w:r>
              <w:t xml:space="preserve"> </w:t>
            </w:r>
            <w:r>
              <w:t xml:space="preserve">🔴</w:t>
            </w:r>
          </w:p>
        </w:tc>
      </w:tr>
    </w:tbl>
    <w:p>
      <w:pPr>
        <w:pStyle w:val="BlockText"/>
      </w:pPr>
      <w:r>
        <w:rPr>
          <w:b/>
          <w:bCs/>
        </w:rPr>
        <w:t xml:space="preserve">Riesgo Art. 220 LGS:</w:t>
      </w:r>
      <w:r>
        <w:t xml:space="preserve"> </w:t>
      </w:r>
      <w:r>
        <w:t xml:space="preserve">CMO tiene patrimonio neto NEGATIVO. Esto es causal de disolución obligatoria si las pérdidas reducen el patrimonio a menos de 1/3 del capital. Como CMO</w:t>
      </w:r>
      <w:r>
        <w:t xml:space="preserve"> </w:t>
      </w:r>
      <w:r>
        <w:rPr>
          <w:b/>
          <w:bCs/>
        </w:rPr>
        <w:t xml:space="preserve">no tiene capital cta 50 registrado</w:t>
      </w:r>
      <w:r>
        <w:t xml:space="preserve">, técnicamente opera con capital S/0 y patrimonio negativo → situación contablemente insostenible.</w:t>
      </w:r>
    </w:p>
    <w:p>
      <w:pPr>
        <w:pStyle w:val="BlockText"/>
      </w:pPr>
      <w:r>
        <w:rPr>
          <w:b/>
          <w:bCs/>
        </w:rPr>
        <w:t xml:space="preserve">Acción urgente:</w:t>
      </w:r>
      <w:r>
        <w:t xml:space="preserve"> </w:t>
      </w:r>
      <w:r>
        <w:t xml:space="preserve">Verificar con Registros Públicos el capital social inscrito y cargar el asiento de reclasificación si fuera necesario. Convocar Junta General de Accionistas extraordinaria.</w:t>
      </w:r>
    </w:p>
    <w:bookmarkEnd w:id="27"/>
    <w:bookmarkStart w:id="28" w:name="hallazgos-críticos-corregidos"/>
    <w:p>
      <w:pPr>
        <w:pStyle w:val="Heading3"/>
      </w:pPr>
      <w:r>
        <w:t>4.1.3. Hallazgos críticos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Hallazgo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Severidad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>Patrimonio neto NEGATIVO −S/2.87M (Art. 220 LGS)</w:t>
            </w:r>
            <w:r/>
            <w:r/>
          </w:p>
        </w:tc>
        <w:tc>
          <w:tcPr/>
          <w:p>
            <w:pPr>
              <w:pStyle w:val="Compact"/>
              <w:jc w:val="right"/>
            </w:pPr>
            <w:r>
              <w:t xml:space="preserve">−S/2.87M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>Valor neto activo fijo NEGATIVO −S/5,942 (cls 33 y 39 ambas negativas)</w:t>
            </w:r>
            <w:r/>
            <w:r/>
          </w:p>
        </w:tc>
        <w:tc>
          <w:tcPr/>
          <w:p>
            <w:pPr>
              <w:pStyle w:val="Compact"/>
              <w:jc w:val="right"/>
            </w:pPr>
            <w:r>
              <w:t xml:space="preserve">−S/6K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>9,809 asientos con fecha futura por S/1,182M</w:t>
            </w:r>
            <w:r/>
            <w:r/>
          </w:p>
        </w:tc>
        <w:tc>
          <w:tcPr/>
          <w:p>
            <w:pPr>
              <w:pStyle w:val="Compact"/>
              <w:jc w:val="right"/>
            </w:pPr>
            <w:r>
              <w:t xml:space="preserve">S/1,182M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CMO-04</w:t>
            </w:r>
          </w:p>
        </w:tc>
        <w:tc>
          <w:tcPr/>
          <w:p>
            <w:pPr>
              <w:pStyle w:val="Compact"/>
            </w:pPr>
            <w:r>
              <w:t xml:space="preserve">Cuenta Edificios saldo NEGATIVO −S/2,407,287 (reclasificación incompleta a Instalaciones)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S/2.4M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CMO-06</w:t>
            </w:r>
          </w:p>
        </w:tc>
        <w:tc>
          <w:tcPr/>
          <w:p>
            <w:pPr>
              <w:pStyle w:val="Compact"/>
            </w:pPr>
            <w:r>
              <w:t xml:space="preserve">Depreciación cta 39135 inversa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−S/162K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CMO-07</w:t>
            </w:r>
          </w:p>
        </w:tc>
        <w:tc>
          <w:tcPr/>
          <w:p>
            <w:pPr>
              <w:pStyle w:val="Compact"/>
            </w:pPr>
            <w:r>
              <w:t xml:space="preserve">Sin pagos 2026 en OB_Pago (siendo el tesorero del grupo)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CMO-08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>Préstamos a entidades fuera del perímetro auditado (~S/31M)</w:t>
            </w:r>
            <w:r/>
            <w:r/>
          </w:p>
        </w:tc>
        <w:tc>
          <w:tcPr/>
          <w:p>
            <w:pPr>
              <w:pStyle w:val="Compact"/>
              <w:jc w:val="right"/>
            </w:pPr>
            <w:r>
              <w:t xml:space="preserve">S/31M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</w:tbl>
    <w:bookmarkEnd w:id="28"/>
    <w:bookmarkStart w:id="29" w:name="X51eff4e90798beaa68aee5f8058fd893bba94bd"/>
    <w:p>
      <w:pPr>
        <w:pStyle w:val="Heading3"/>
      </w:pPr>
      <w:r>
        <w:t>4.1.4. Préstamos intercompañía (validación V14)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Préstamos otorgados saldo neto cta 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S/34,001,736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Préstamos recibidos saldo neto cta 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S/47,962,755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Otras CxC relacionadas (Clases 13,14,16-18)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S/37,142,456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Otras CxP relacionadas (Clases 43,44,46-47)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S/34,051,984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CxC intercompañía DEMOSTRADO con las 3 empresas auditadas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S/2,740,547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Resto de préstamos otorgados (a accionistas u otras entidades no auditadas)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~S/31M</w:t>
            </w:r>
          </w:p>
        </w:tc>
      </w:tr>
    </w:tbl>
    <w:p>
      <w:pPr>
        <w:pStyle w:val="BlockText"/>
      </w:pPr>
      <w:r>
        <w:rPr>
          <w:b/>
          <w:bCs/>
        </w:rPr>
        <w:t>Nota técnica: El monto “S/123M en préstamos sin contrato” era el monto movido histórico acumulado (NumeroMovido × monto promedio), NO el saldo neto. El saldo neto real cta 17 CMO es S/34M. De ese, solo S/2.74M corresponde a las 3 empresas auditadas; el resto (~S/31M) son préstamos a accionistas/relacionados fuera del alcance.</w:t>
      </w:r>
      <w:r/>
      <w:r/>
      <w:r/>
      <w:r/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</w:p>
    <w:bookmarkEnd w:id="29"/>
    <w:bookmarkStart w:id="30" w:name="conciliación-bancaria"/>
    <w:p>
      <w:pPr>
        <w:pStyle w:val="Heading3"/>
      </w:pPr>
      <w:r>
        <w:t xml:space="preserve">4.1.5. Conciliación bancaria</w:t>
      </w:r>
    </w:p>
    <w:p>
      <w:pPr>
        <w:pStyle w:val="Compact"/>
        <w:numPr>
          <w:ilvl w:val="0"/>
          <w:numId w:val="1005"/>
        </w:numPr>
      </w:pPr>
      <w:r>
        <w:t xml:space="preserve">19 cuentas bancarias en OB_CuentaBanco</w:t>
      </w:r>
    </w:p>
    <w:p>
      <w:pPr>
        <w:pStyle w:val="Compact"/>
        <w:numPr>
          <w:ilvl w:val="0"/>
          <w:numId w:val="1005"/>
        </w:numPr>
      </w:pPr>
      <w:r>
        <w:t xml:space="preserve">15 con historial de conciliación (hasta junio 2022)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Última conciliación: 30/06/2022</w:t>
      </w:r>
      <w:r>
        <w:t xml:space="preserve"> </w:t>
      </w:r>
      <w:r>
        <w:t xml:space="preserve">(~3.9 años atrás)</w:t>
      </w:r>
    </w:p>
    <w:p>
      <w:pPr>
        <w:pStyle w:val="Compact"/>
        <w:numPr>
          <w:ilvl w:val="0"/>
          <w:numId w:val="1005"/>
        </w:numPr>
      </w:pPr>
      <w:r>
        <w:t xml:space="preserve">4 cuentas sin estados de cuenta cargados</w:t>
      </w:r>
    </w:p>
    <w:p>
      <w:pPr>
        <w:pStyle w:val="Compact"/>
        <w:numPr>
          <w:ilvl w:val="0"/>
          <w:numId w:val="1005"/>
        </w:numPr>
      </w:pPr>
      <w:r>
        <w:t xml:space="preserve">Movs sin conciliar: 6 (todos &lt; S/100)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integral-consultores-ruc-80688541"/>
    <w:p>
      <w:pPr>
        <w:pStyle w:val="Heading2"/>
      </w:pPr>
      <w:r>
        <w:t xml:space="preserve">4.2. INTEGRAL CONSULTORES (RUC 80688541)</w:t>
      </w:r>
    </w:p>
    <w:bookmarkStart w:id="32" w:name="calificación-crítica"/>
    <w:p>
      <w:pPr>
        <w:pStyle w:val="Heading3"/>
      </w:pPr>
      <w:r>
        <w:t xml:space="preserve">Calificación: 🔴 CRÍTICA</w:t>
      </w:r>
    </w:p>
    <w:bookmarkEnd w:id="32"/>
    <w:bookmarkStart w:id="33" w:name="estado-de-resultados-ytd-2026-1"/>
    <w:p>
      <w:pPr>
        <w:pStyle w:val="Heading3"/>
      </w:pPr>
      <w:r>
        <w:t xml:space="preserve">4.2.1. Estado de resultados YTD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2,680,926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Directo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1,326,261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Margen Bruto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1,354,665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1,153,851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200,814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Utilidad Neta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+73,223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Margen Neto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+2.7%</w:t>
            </w:r>
            <w:r>
              <w:t xml:space="preserve"> </w:t>
            </w:r>
            <w:r>
              <w:t xml:space="preserve">✅</w:t>
            </w:r>
          </w:p>
        </w:tc>
      </w:tr>
    </w:tbl>
    <w:p>
      <w:pPr>
        <w:pStyle w:val="BlockText"/>
      </w:pPr>
      <w:r>
        <w:t xml:space="preserve">INTEGRAL es la única empresa rentable del grupo.</w:t>
      </w:r>
    </w:p>
    <w:bookmarkEnd w:id="33"/>
    <w:bookmarkStart w:id="34" w:name="hallazgos-críticos"/>
    <w:p>
      <w:pPr>
        <w:pStyle w:val="Heading3"/>
      </w:pPr>
      <w:r>
        <w:t xml:space="preserve">4.2.2. Hallazgos críticos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Hallazgo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Severidad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S/1,831,800 facturas emitidas no reflejadas como ingreso</w:t>
            </w:r>
            <w:r>
              <w:t xml:space="preserve"> </w:t>
            </w:r>
            <w:r>
              <w:t xml:space="preserve">(Marzo solo: S/1.08M)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S/1.83M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INTEGRAL-02</w:t>
            </w:r>
          </w:p>
        </w:tc>
        <w:tc>
          <w:tcPr/>
          <w:p>
            <w:pPr>
              <w:pStyle w:val="Compact"/>
            </w:pPr>
            <w:r>
              <w:t xml:space="preserve">274 atípicos &gt; S/100K en 5 meses (S/57M total) — concentración HEALTH BERNALES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S/57M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Capital social S/1,000</w:t>
            </w:r>
            <w:r>
              <w:t xml:space="preserve"> </w:t>
            </w:r>
            <w:r>
              <w:t xml:space="preserve">— desproporcionado vs ingresos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INTEGRAL-04</w:t>
            </w:r>
          </w:p>
        </w:tc>
        <w:tc>
          <w:tcPr/>
          <w:p>
            <w:pPr>
              <w:pStyle w:val="Compact"/>
            </w:pPr>
            <w:r>
              <w:t xml:space="preserve">Renta 3ra: S/1.25M por pagar + S/1.54M a favor — no compensados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S/287K neto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 — Pas laboral</w:t>
            </w:r>
          </w:p>
        </w:tc>
        <w:tc>
          <w:tcPr/>
          <w:p>
            <w:pPr>
              <w:pStyle w:val="Compact"/>
            </w:pPr>
            <w:r>
              <w:t xml:space="preserve">S/688,593 pasivo laboral total (25% ingresos YTD)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S/688K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 — Particip.</w:t>
            </w:r>
          </w:p>
        </w:tc>
        <w:tc>
          <w:tcPr/>
          <w:p>
            <w:pPr>
              <w:pStyle w:val="Compact"/>
            </w:pPr>
            <w:r>
              <w:t xml:space="preserve">S/211,878 Participaciones DL 892 vencidas 30/04/2026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S/212K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 — 617 descuadres operativos (no apertura)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</w:tbl>
    <w:bookmarkEnd w:id="34"/>
    <w:bookmarkStart w:id="35" w:name="composición-cxc"/>
    <w:p>
      <w:pPr>
        <w:pStyle w:val="Heading3"/>
      </w:pPr>
      <w:r>
        <w:t xml:space="preserve">4.2.3. Composición CxC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RUC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&gt;90 días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CONSTRUCTORA SAGITARIO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648,528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577,728</w:t>
            </w:r>
          </w:p>
        </w:tc>
        <w:tc>
          <w:tcPr/>
          <w:p>
            <w:pPr>
              <w:pStyle w:val="Compact"/>
            </w:pPr>
            <w:r>
              <w:t xml:space="preserve">Provisionar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CHINA ROAD AND BRIDGE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559,320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441,320</w:t>
            </w:r>
          </w:p>
        </w:tc>
        <w:tc>
          <w:tcPr/>
          <w:p>
            <w:pPr>
              <w:pStyle w:val="Compact"/>
            </w:pPr>
            <w:r>
              <w:t xml:space="preserve">Provisionar 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CMO GROUP</w:t>
            </w:r>
            <w:r>
              <w:t xml:space="preserve"> </w:t>
            </w:r>
            <w:r>
              <w:t xml:space="preserve">(intercompany)</w:t>
            </w:r>
          </w:p>
        </w:tc>
        <w:tc>
          <w:tcPr/>
          <w:p>
            <w:pPr>
              <w:pStyle w:val="Compact"/>
            </w:pPr>
            <w:r>
              <w:t xml:space="preserve">22011489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154,864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74,860</w:t>
            </w:r>
          </w:p>
        </w:tc>
        <w:tc>
          <w:tcPr/>
          <w:p>
            <w:pPr>
              <w:pStyle w:val="Compact"/>
            </w:pPr>
            <w:r>
              <w:t xml:space="preserve">Conciliar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CONSORCIO RIO HUATANAY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129,800</w:t>
            </w:r>
          </w:p>
        </w:tc>
        <w:tc>
          <w:tcPr/>
          <w:p>
            <w:pPr>
              <w:pStyle w:val="Compact"/>
            </w:pPr>
            <w:r>
              <w:t xml:space="preserve">Provisionar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19,839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1,558,051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1,243,547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ob_pago-volumen"/>
    <w:p>
      <w:pPr>
        <w:pStyle w:val="Heading3"/>
      </w:pPr>
      <w:r>
        <w:t xml:space="preserve">4.2.4. OB_Pago — Volumen</w:t>
      </w:r>
    </w:p>
    <w:p>
      <w:pPr>
        <w:pStyle w:val="Compact"/>
        <w:numPr>
          <w:ilvl w:val="0"/>
          <w:numId w:val="1006"/>
        </w:numPr>
      </w:pPr>
      <w:r>
        <w:t xml:space="preserve">586 pagos en 2026 / S/13.2M</w:t>
      </w:r>
    </w:p>
    <w:p>
      <w:pPr>
        <w:pStyle w:val="Compact"/>
        <w:numPr>
          <w:ilvl w:val="0"/>
          <w:numId w:val="1006"/>
        </w:numPr>
      </w:pPr>
      <w:r>
        <w:t xml:space="preserve">3,419 pagos históricos / S/46.5M</w:t>
      </w:r>
    </w:p>
    <w:p>
      <w:pPr>
        <w:pStyle w:val="Compact"/>
        <w:numPr>
          <w:ilvl w:val="0"/>
          <w:numId w:val="1006"/>
        </w:numPr>
      </w:pPr>
      <w:r>
        <w:t xml:space="preserve">220 pagos &gt; S/3,500 —</w:t>
      </w:r>
      <w:r>
        <w:t xml:space="preserve"> </w:t>
      </w:r>
      <w:r>
        <w:rPr>
          <w:b/>
          <w:bCs/>
        </w:rPr>
        <w:t xml:space="preserve">100% bancarizados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6"/>
        </w:numPr>
      </w:pPr>
      <w:r>
        <w:t xml:space="preserve">583 con asignación a documento / 3 sin asignación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medarq-s.a.c.-ruc-80688706"/>
    <w:p>
      <w:pPr>
        <w:pStyle w:val="Heading2"/>
      </w:pPr>
      <w:r>
        <w:t xml:space="preserve">4.3. MEDARQ S.A.C. (RUC 80688706)</w:t>
      </w:r>
    </w:p>
    <w:bookmarkStart w:id="38" w:name="calificación-alta-vigilancia-1"/>
    <w:p>
      <w:pPr>
        <w:pStyle w:val="Heading3"/>
      </w:pPr>
      <w:r>
        <w:t xml:space="preserve">Calificación: 🟠 Alta vigilancia</w:t>
      </w:r>
    </w:p>
    <w:bookmarkEnd w:id="38"/>
    <w:bookmarkStart w:id="39" w:name="estado-de-resultados-ytd-2026-2"/>
    <w:p>
      <w:pPr>
        <w:pStyle w:val="Heading3"/>
      </w:pPr>
      <w:r>
        <w:t xml:space="preserve">4.3.1. Estado de resultados YTD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Directo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Margen Bruto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733,796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1,131,251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(397,455)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Utilidad Neta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(399,828)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Margen Neto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−54.0%</w:t>
            </w:r>
          </w:p>
        </w:tc>
      </w:tr>
    </w:tbl>
    <w:bookmarkEnd w:id="39"/>
    <w:bookmarkStart w:id="40" w:name="patrimonio"/>
    <w:p>
      <w:pPr>
        <w:pStyle w:val="Heading3"/>
      </w:pPr>
      <w:r>
        <w:t xml:space="preserve">4.3.2. Patrimonio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Cuenta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50110100 — Acciones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50120100 — Participaciones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50200100 — Acciones en Tesorería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59220100 — Gastos de Años Anteriores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(16,840)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1,194,097</w:t>
            </w:r>
          </w:p>
        </w:tc>
      </w:tr>
    </w:tbl>
    <w:p>
      <w:pPr>
        <w:pStyle w:val="BlockText"/>
      </w:pPr>
      <w:r>
        <w:t xml:space="preserve">MEDARQ tiene la estructura patrimonial mejor formada del grupo. Pero con utilidad neta proyectada de −S/960K anual, el patrimonio se reduciría a ~S/234K →</w:t>
      </w:r>
      <w:r>
        <w:t xml:space="preserve"> </w:t>
      </w:r>
      <w:r>
        <w:rPr>
          <w:b/>
          <w:bCs/>
        </w:rPr>
        <w:t xml:space="preserve">riesgo Art. 220 LGS</w:t>
      </w:r>
      <w:r>
        <w:t xml:space="preserve"> </w:t>
      </w:r>
      <w:r>
        <w:t xml:space="preserve">si pierde &gt; S/400K más → patrimonio &lt; 1/3 del capital → causal de disolución obligatoria.</w:t>
      </w:r>
    </w:p>
    <w:bookmarkEnd w:id="40"/>
    <w:bookmarkStart w:id="41" w:name="hallazgos-críticos-1"/>
    <w:p>
      <w:pPr>
        <w:pStyle w:val="Heading3"/>
      </w:pPr>
      <w:r>
        <w:t xml:space="preserve">4.3.3. Hallazgos críticos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Hallazgo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Severidad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MEDARQ-01</w:t>
            </w:r>
          </w:p>
        </w:tc>
        <w:tc>
          <w:tcPr/>
          <w:p>
            <w:pPr>
              <w:pStyle w:val="Compact"/>
            </w:pPr>
            <w:r>
              <w:t xml:space="preserve">10 asientos ingreso clase 70 sin factura (provisiones NIIF 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S/400K</w:t>
            </w:r>
          </w:p>
        </w:tc>
        <w:tc>
          <w:tcPr/>
          <w:p>
            <w:pPr>
              <w:pStyle w:val="Compact"/>
              <w:jc w:val="center"/>
            </w:pPr>
            <w:r>
              <w:t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MEDARQ-02</w:t>
            </w:r>
          </w:p>
        </w:tc>
        <w:tc>
          <w:tcPr/>
          <w:p>
            <w:pPr>
              <w:pStyle w:val="Compact"/>
            </w:pPr>
            <w:r>
              <w:t xml:space="preserve">Banco Nación Detracciones saldo contable −S/31,860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S/32K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 — BBVA ME</w:t>
            </w:r>
          </w:p>
        </w:tc>
        <w:tc>
          <w:tcPr/>
          <w:p>
            <w:pPr>
              <w:pStyle w:val="Compact"/>
            </w:pPr>
            <w:r>
              <w:t xml:space="preserve">Saldo contable −S/51,587 (sin apertura bancaria)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S/52K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MEDARQ-03</w:t>
            </w:r>
          </w:p>
        </w:tc>
        <w:tc>
          <w:tcPr/>
          <w:p>
            <w:pPr>
              <w:pStyle w:val="Compact"/>
            </w:pPr>
            <w:r>
              <w:t xml:space="preserve">CxC &gt;90 días = 112% del saldo (anticipos mal clasificados)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 — Sueldos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S/196,277 sueldos pendientes (~42% provisionados sin pagar)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S/196K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MEDARQ-04</w:t>
            </w:r>
          </w:p>
        </w:tc>
        <w:tc>
          <w:tcPr/>
          <w:p>
            <w:pPr>
              <w:pStyle w:val="Compact"/>
            </w:pPr>
            <w:r>
              <w:t xml:space="preserve">AFP con saldo NEGATIVO −S/16,203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S/16K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</w:tbl>
    <w:bookmarkEnd w:id="41"/>
    <w:bookmarkStart w:id="42" w:name="cxc-top-clientes"/>
    <w:p>
      <w:pPr>
        <w:pStyle w:val="Heading3"/>
      </w:pPr>
      <w:r>
        <w:t xml:space="preserve">4.3.4. CxC top clientes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&gt;90 días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CONSORCIO SALUD MONTENEGRO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418,020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468,020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SUPPLIES AND INVESTMENTS PERU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311,363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311,363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MINERA NADIAN GOLD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138,796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138,796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CONSORCIO PROYECTA &amp; ASOCIADOS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103,840 (saldos negativos)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910,659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1,022,019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9" w:name="americana-construcción-ruc-80688524"/>
    <w:p>
      <w:pPr>
        <w:pStyle w:val="Heading2"/>
      </w:pPr>
      <w:r>
        <w:t xml:space="preserve">4.4. AMERICANA CONSTRUCCIÓN (RUC 80688524)</w:t>
      </w:r>
    </w:p>
    <w:bookmarkStart w:id="44" w:name="calificación-crítica-1"/>
    <w:p>
      <w:pPr>
        <w:pStyle w:val="Heading3"/>
      </w:pPr>
      <w:r>
        <w:t xml:space="preserve">Calificación: 🔴 CRÍTICA</w:t>
      </w:r>
    </w:p>
    <w:bookmarkEnd w:id="44"/>
    <w:bookmarkStart w:id="45" w:name="estado-de-resultados-ytd-2026-3"/>
    <w:p>
      <w:pPr>
        <w:pStyle w:val="Heading3"/>
      </w:pPr>
      <w:r>
        <w:t xml:space="preserve">4.4.1. Estado de resultados YTD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213,373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Directo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270,998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Margen Bruto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(57,626)</w:t>
            </w:r>
            <w:r>
              <w:t xml:space="preserve"> </w:t>
            </w: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(155,660)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Utilidad Neta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(223,721)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Margen Neto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−104.9%</w:t>
            </w:r>
          </w:p>
        </w:tc>
      </w:tr>
    </w:tbl>
    <w:p>
      <w:pPr>
        <w:pStyle w:val="BlockText"/>
      </w:pPr>
      <w:r>
        <w:rPr>
          <w:b/>
          <w:bCs/>
        </w:rPr>
        <w:t xml:space="preserve">Margen bruto NEGATIVO</w:t>
      </w:r>
      <w:r>
        <w:t xml:space="preserve"> </w:t>
      </w:r>
      <w:r>
        <w:t xml:space="preserve">— el costo directo (S/271K) supera al ingreso (S/213K). Los proyectos están perdiendo dinero en operación.</w:t>
      </w:r>
    </w:p>
    <w:bookmarkEnd w:id="45"/>
    <w:bookmarkStart w:id="46" w:name="hallazgos-críticos-2"/>
    <w:p>
      <w:pPr>
        <w:pStyle w:val="Heading3"/>
      </w:pPr>
      <w:r>
        <w:t xml:space="preserve">4.4.2. Hallazgos críticos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Hallazgo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Severidad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BBVA Continental MN saldo contable −S/13,034,687</w:t>
            </w:r>
            <w:r>
              <w:t xml:space="preserve"> </w:t>
            </w:r>
            <w:r>
              <w:t xml:space="preserve">(origen ENERO 2026, no desde 2023) — Ver Anexo 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S/13M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97.9% CxC vencida &gt;90 días con un solo cliente (PERGOLA)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 — Margen</w:t>
            </w:r>
          </w:p>
        </w:tc>
        <w:tc>
          <w:tcPr/>
          <w:p>
            <w:pPr>
              <w:pStyle w:val="Compact"/>
            </w:pPr>
            <w:r>
              <w:t xml:space="preserve">Margen bruto NEGATIVO −S/57,626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AMERICANA-05</w:t>
            </w:r>
          </w:p>
        </w:tc>
        <w:tc>
          <w:tcPr/>
          <w:p>
            <w:pPr>
              <w:pStyle w:val="Compact"/>
            </w:pPr>
            <w:r>
              <w:t xml:space="preserve">Patrimonio total S/46,572 (capital S/1K + utilidades S/45K)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S/47K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AMERICANA-06</w:t>
            </w:r>
          </w:p>
        </w:tc>
        <w:tc>
          <w:tcPr/>
          <w:p>
            <w:pPr>
              <w:pStyle w:val="Compact"/>
            </w:pPr>
            <w:r>
              <w:t xml:space="preserve">98% de honorarios profesionales sin asiento (S/17,094)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S/17K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AMERICANA-07</w:t>
            </w:r>
          </w:p>
        </w:tc>
        <w:tc>
          <w:tcPr/>
          <w:p>
            <w:pPr>
              <w:pStyle w:val="Compact"/>
            </w:pPr>
            <w:r>
              <w:t xml:space="preserve">S/46.5M transferencias vs S/213K ingresos (ratio 218x)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 — DC</w:t>
            </w:r>
          </w:p>
        </w:tc>
        <w:tc>
          <w:tcPr/>
          <w:p>
            <w:pPr>
              <w:pStyle w:val="Compact"/>
            </w:pPr>
            <w:r>
              <w:t xml:space="preserve">~S/900K en diferencias de cambio mal contabilizadas en banco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S/900K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 — CTS may 2025</w:t>
            </w:r>
          </w:p>
        </w:tc>
        <w:tc>
          <w:tcPr/>
          <w:p>
            <w:pPr>
              <w:pStyle w:val="Compact"/>
            </w:pPr>
            <w:r>
              <w:t xml:space="preserve">Sin registro de depósito CTS mayo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</w:tbl>
    <w:bookmarkEnd w:id="46"/>
    <w:bookmarkStart w:id="47" w:name="cxc-concentración-crítica"/>
    <w:p>
      <w:pPr>
        <w:pStyle w:val="Heading3"/>
      </w:pPr>
      <w:r>
        <w:t xml:space="preserve">4.4.3. CxC concentración crítica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&gt;90 días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CONSULTORIA &amp; CONSTRUCCION GRUPO PERGOLA S.A.C.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3,002,719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3,002,719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CONSORCIO ROLOPOM CORPORIS 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3,068,350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3,005,406</w:t>
            </w:r>
          </w:p>
        </w:tc>
      </w:tr>
    </w:tbl>
    <w:p>
      <w:pPr>
        <w:pStyle w:val="BlockText"/>
      </w:pPr>
      <w:r>
        <w:rPr>
          <w:b/>
          <w:bCs/>
        </w:rPr>
        <w:t xml:space="preserve">97.9% de la CxC</w:t>
      </w:r>
      <w:r>
        <w:t xml:space="preserve"> </w:t>
      </w:r>
      <w:r>
        <w:t xml:space="preserve">concentrada en un solo cliente vencido. Provisión NIIF 9 obligatoria al 100%.</w:t>
      </w:r>
    </w:p>
    <w:bookmarkEnd w:id="47"/>
    <w:bookmarkStart w:id="48" w:name="tesorería"/>
    <w:p>
      <w:pPr>
        <w:pStyle w:val="Heading3"/>
      </w:pPr>
      <w:r>
        <w:t xml:space="preserve">4.4.4. Tesorería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Cuenta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BBVA Continental 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+21,471,007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BBVA Continental 0011-0787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+85,878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 NACIÓN DETRACCIONES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+14,538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Caja Chica MN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BBVA Continental 0011-0787 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(294)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BBVA CONTINENTAL MN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(13,034,687)</w:t>
            </w:r>
            <w:r>
              <w:t xml:space="preserve"> </w:t>
            </w: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+8,537,442</w:t>
            </w:r>
          </w:p>
        </w:tc>
      </w:tr>
    </w:tbl>
    <w:bookmarkEnd w:id="48"/>
    <w:bookmarkEnd w:id="49"/>
    <w:bookmarkEnd w:id="50"/>
    <w:bookmarkStart w:id="60" w:name="análisis-de-control-interno"/>
    <w:p>
      <w:pPr>
        <w:pStyle w:val="Heading1"/>
      </w:pPr>
      <w:r>
        <w:t xml:space="preserve">5. ANÁLISIS DE CONTROL INTERNO</w:t>
      </w:r>
    </w:p>
    <w:bookmarkStart w:id="51" w:name="trazabilidad-pago-documento"/>
    <w:p>
      <w:pPr>
        <w:pStyle w:val="Heading2"/>
      </w:pPr>
      <w:r>
        <w:t xml:space="preserve">5.1. Trazabilidad pago-documento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Pagos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 Asignación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Asignación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Cobertura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99%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99.5%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</w:tr>
    </w:tbl>
    <w:bookmarkEnd w:id="51"/>
    <w:bookmarkStart w:id="54" w:name="cumplimiento-ley-28194-bancarización"/>
    <w:p>
      <w:pPr>
        <w:pStyle w:val="Heading2"/>
      </w:pPr>
      <w:r>
        <w:t xml:space="preserve">5.2. Cumplimiento Ley 28194 (Bancarización)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Pagos &gt; S/3,500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Bancarizados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% Cumplimiento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</w:tr>
    </w:tbl>
    <w:bookmarkStart w:id="52" w:name="decodificación-mediodepago-s10-tinyint"/>
    <w:p>
      <w:pPr>
        <w:pStyle w:val="Heading3"/>
      </w:pPr>
      <w:r>
        <w:t xml:space="preserve">5.2.1. Decodificación MedioDePago (S10 tinyint)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Cumple Ley 28194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Cheque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Transferencia bancaria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Detracción SUNAT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Aplicación de Nota de Crédito</w:t>
            </w:r>
            <w:r>
              <w:t xml:space="preserve"> </w:t>
            </w:r>
            <w:r>
              <w:t xml:space="preserve">(compensación contable, Art. 1288 CC)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(no aplica — no es pago en dinero)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Otro electrónico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Canje de Letra de Cambio</w:t>
            </w:r>
            <w:r>
              <w:t xml:space="preserve"> </w:t>
            </w:r>
            <w:r>
              <w:t xml:space="preserve">(endoso título valor)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(no aplica)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Voucher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Sin clasificar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Revisar caso por caso</w:t>
            </w:r>
          </w:p>
        </w:tc>
      </w:tr>
    </w:tbl>
    <w:bookmarkEnd w:id="52"/>
    <w:bookmarkStart w:id="53" w:name="aclaración-crítica"/>
    <w:p>
      <w:pPr>
        <w:pStyle w:val="Heading3"/>
      </w:pPr>
      <w:r>
        <w:t xml:space="preserve">5.2.2. Aclaración crítica</w:t>
      </w:r>
    </w:p>
    <w:p>
      <w:pPr>
        <w:pStyle w:val="BlockText"/>
      </w:pPr>
      <w:r>
        <w:t xml:space="preserve">Los 105 pagos históricos de CMO inicialmente reportados como</w:t>
      </w:r>
      <w:r>
        <w:t xml:space="preserve"> </w:t>
      </w:r>
      <w:r>
        <w:t xml:space="preserve">“efectivo &gt; S/3,500”</w:t>
      </w:r>
      <w:r>
        <w:t xml:space="preserve"> </w:t>
      </w:r>
      <w:r>
        <w:t xml:space="preserve">(contingencia retroactiva S/3.9M) fueron</w:t>
      </w:r>
      <w:r>
        <w:t xml:space="preserve"> </w:t>
      </w:r>
      <w:r>
        <w:rPr>
          <w:b/>
          <w:bCs/>
        </w:rPr>
        <w:t xml:space="preserve">incorrectamente clasificados</w:t>
      </w:r>
      <w:r>
        <w:t xml:space="preserve">. El análisis de glosas confirma que son</w:t>
      </w:r>
      <w:r>
        <w:t xml:space="preserve"> </w:t>
      </w:r>
      <w:r>
        <w:rPr>
          <w:b/>
          <w:bCs/>
        </w:rPr>
        <w:t xml:space="preserve">aplicaciones de notas de crédito</w:t>
      </w:r>
      <w:r>
        <w:t xml:space="preserve"> </w:t>
      </w:r>
      <w:r>
        <w:t xml:space="preserve">(compensaciones contables) y</w:t>
      </w:r>
      <w:r>
        <w:t xml:space="preserve"> </w:t>
      </w:r>
      <w:r>
        <w:rPr>
          <w:b/>
          <w:bCs/>
        </w:rPr>
        <w:t xml:space="preserve">canjes de letras</w:t>
      </w:r>
      <w:r>
        <w:t xml:space="preserve"> </w:t>
      </w:r>
      <w:r>
        <w:t xml:space="preserve">— mecanismos legítimos de extinción de obligaciones sin movimiento de dinero.</w:t>
      </w:r>
      <w:r>
        <w:t xml:space="preserve"> </w:t>
      </w:r>
      <w:r>
        <w:rPr>
          <w:b/>
          <w:bCs/>
        </w:rPr>
        <w:t xml:space="preserve">NO VIOLAN Ley 28194.</w:t>
      </w:r>
    </w:p>
    <w:bookmarkEnd w:id="53"/>
    <w:bookmarkEnd w:id="54"/>
    <w:bookmarkStart w:id="55" w:name="X8079da337f4364357f6b58f4e920e957fd2abf3"/>
    <w:p>
      <w:pPr>
        <w:pStyle w:val="Heading2"/>
      </w:pPr>
      <w:r>
        <w:t xml:space="preserve">5.3. Conciliación bancaria (módulo OB_EstadoBanco)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Cuentas con conciliación</w:t>
            </w:r>
          </w:p>
        </w:tc>
        <w:tc>
          <w:tcPr/>
          <w:p>
            <w:pPr>
              <w:pStyle w:val="Compact"/>
            </w:pPr>
            <w:r>
              <w:t xml:space="preserve">Último estado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 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/ 19</w:t>
            </w:r>
          </w:p>
        </w:tc>
        <w:tc>
          <w:tcPr/>
          <w:p>
            <w:pPr>
              <w:pStyle w:val="Compact"/>
            </w:pPr>
            <w:r>
              <w:t xml:space="preserve">30/06/2022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Abandonado (3.9 años)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/ 5</w:t>
            </w:r>
          </w:p>
        </w:tc>
        <w:tc>
          <w:tcPr/>
          <w:p>
            <w:pPr>
              <w:pStyle w:val="Compact"/>
            </w:pPr>
            <w:r>
              <w:t xml:space="preserve">31/03/2024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Uso experimental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AMERICANA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 /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NUNCA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MEDARQ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 /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NUNCA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</w:tbl>
    <w:p>
      <w:pPr>
        <w:pStyle w:val="BlockText"/>
      </w:pPr>
      <w:r>
        <w:rPr>
          <w:b/>
          <w:bCs/>
        </w:rPr>
        <w:t xml:space="preserve">3 de 4 empresas no han ejecutado conciliación bancaria mensual nunca o desde hace años.</w:t>
      </w:r>
      <w:r>
        <w:t xml:space="preserve"> </w:t>
      </w:r>
      <w:r>
        <w:t xml:space="preserve">Esto explica saldos anómalos como BBVA MN AMERICANA −S/13M.</w:t>
      </w:r>
    </w:p>
    <w:bookmarkEnd w:id="55"/>
    <w:bookmarkStart w:id="58" w:name="cumplimiento-laboral"/>
    <w:p>
      <w:pPr>
        <w:pStyle w:val="Heading2"/>
      </w:pPr>
      <w:r>
        <w:t xml:space="preserve">5.4. Cumplimiento laboral</w:t>
      </w:r>
    </w:p>
    <w:bookmarkStart w:id="56" w:name="cts-dl-650"/>
    <w:p>
      <w:pPr>
        <w:pStyle w:val="Heading3"/>
      </w:pPr>
      <w:r>
        <w:t xml:space="preserve">CTS (DL 650)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Mayo 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Nov 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 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S/26K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S/55K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S/54K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S/106K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Cumple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AMERICANA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Ausente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S/60K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Posible violación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MEDARQ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Ausente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S/19K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Posible violación</w:t>
            </w:r>
          </w:p>
        </w:tc>
      </w:tr>
    </w:tbl>
    <w:bookmarkEnd w:id="56"/>
    <w:bookmarkStart w:id="57" w:name="participaciones-dl-892"/>
    <w:p>
      <w:pPr>
        <w:pStyle w:val="Heading3"/>
      </w:pPr>
      <w:r>
        <w:t xml:space="preserve">Participaciones (DL 892)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 por Pagar al 11/05/2026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S/211,878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PENDIENTE — POSIBLE INCUMPLIMIENTO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57"/>
    <w:bookmarkEnd w:id="58"/>
    <w:bookmarkStart w:id="59" w:name="otras-observaciones-de-control"/>
    <w:p>
      <w:pPr>
        <w:pStyle w:val="Heading2"/>
      </w:pPr>
      <w:r>
        <w:t xml:space="preserve">5.5. Otras observaciones de control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Reserva Legal (Art. 229 LGS) AUSENTE en las 4 empresas</w:t>
      </w:r>
      <w:r>
        <w:t xml:space="preserve"> </w:t>
      </w:r>
      <w:r>
        <w:t xml:space="preserve">— clase 58 sin movimientos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Capital Social S/1,000</w:t>
      </w:r>
      <w:r>
        <w:t xml:space="preserve"> </w:t>
      </w:r>
      <w:r>
        <w:t xml:space="preserve">en INTEGRAL y AMERICANA (desproporcionado)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Depreciación inversa en CMO cta 39135</w:t>
      </w:r>
      <w:r>
        <w:t xml:space="preserve"> </w:t>
      </w:r>
      <w:r>
        <w:t xml:space="preserve">(Db&gt;Cr, error contable)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Beneficiarios sin cuenta bancaria registrada:</w:t>
      </w:r>
      <w:r>
        <w:t xml:space="preserve"> </w:t>
      </w:r>
      <w:r>
        <w:t xml:space="preserve">36 personas/empresas que reciben pagos &gt; S/3,500 sin tener su cuenta en</w:t>
      </w:r>
      <w:r>
        <w:t xml:space="preserve"> </w:t>
      </w:r>
      <w:r>
        <w:rPr>
          <w:rStyle w:val="VerbatimChar"/>
        </w:rPr>
        <w:t xml:space="preserve">IdentificadorCuentaBanco</w:t>
      </w:r>
    </w:p>
    <w:bookmarkEnd w:id="59"/>
    <w:bookmarkEnd w:id="60"/>
    <w:bookmarkStart w:id="65" w:name="Xb73cd0a9cc667aea2f41c65a6eeba0b099ccf2c"/>
    <w:p>
      <w:pPr>
        <w:pStyle w:val="Heading1"/>
      </w:pPr>
      <w:r>
        <w:t xml:space="preserve">6. RIESGOS TRIBUTARIOS Y LABORALES CONSOLIDADOS</w:t>
      </w:r>
    </w:p>
    <w:bookmarkStart w:id="61" w:name="Xb42b11539ab10f47ef241793eae16e36219c386"/>
    <w:p>
      <w:pPr>
        <w:pStyle w:val="Heading2"/>
      </w:pPr>
      <w:r>
        <w:t>6.1. Contingencia tributaria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RT-01</w:t>
            </w:r>
          </w:p>
        </w:tc>
        <w:tc>
          <w:tcPr/>
          <w:p>
            <w:pPr>
              <w:pStyle w:val="Compact"/>
            </w:pPr>
            <w:r>
              <w:t xml:space="preserve">Recalificación dividendos presuntos Art. 24-A LIR — 29.5% sobre INTEGRAL→CMO S/11.1M (mayor exposición individual)</w:t>
            </w:r>
          </w:p>
        </w:tc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S/3,272,000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RT-02</w:t>
            </w:r>
          </w:p>
        </w:tc>
        <w:tc>
          <w:tcPr/>
          <w:p>
            <w:pPr>
              <w:pStyle w:val="Compact"/>
            </w:pPr>
            <w:r>
              <w:t xml:space="preserve">Multa ETPT no presentado (Art. 175 num. 25 CT)</w:t>
            </w:r>
          </w:p>
        </w:tc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S/265,000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RT-03</w:t>
            </w:r>
          </w:p>
        </w:tc>
        <w:tc>
          <w:tcPr/>
          <w:p>
            <w:pPr>
              <w:pStyle w:val="Compact"/>
            </w:pPr>
            <w:r>
              <w:t>IGV subdeclarado potencial (compensación crédito INTEGRAL aplicada)</w:t>
            </w:r>
          </w:p>
        </w:tc>
        <w:tc>
          <w:tcPr/>
          <w:p>
            <w:pPr>
              <w:pStyle w:val="Compact"/>
            </w:pPr>
            <w:r>
              <w:t xml:space="preserve">varias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RT-04</w:t>
            </w:r>
          </w:p>
        </w:tc>
        <w:tc>
          <w:tcPr/>
          <w:p>
            <w:pPr>
              <w:pStyle w:val="Compact"/>
            </w:pPr>
            <w:r>
              <w:t xml:space="preserve">Gastos no contabilizados (facturas SinAsiento INTEGRAL, MEDARQ, AMERICANA)</w:t>
            </w:r>
          </w:p>
        </w:tc>
        <w:tc>
          <w:tcPr/>
          <w:p>
            <w:pPr>
              <w:pStyle w:val="Compact"/>
            </w:pPr>
            <w:r>
              <w:t xml:space="preserve">varias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RT-05</w:t>
            </w:r>
          </w:p>
        </w:tc>
        <w:tc>
          <w:tcPr/>
          <w:p>
            <w:pPr>
              <w:pStyle w:val="Compact"/>
            </w:pPr>
            <w:r>
              <w:t xml:space="preserve">Retenciones 4ta cat. honorarios no aplicadas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tributario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S/3,942,000</w:t>
            </w:r>
          </w:p>
        </w:tc>
      </w:tr>
    </w:tbl>
    <w:bookmarkEnd w:id="61"/>
    <w:bookmarkStart w:id="62" w:name="contingencia-laboral"/>
    <w:p>
      <w:pPr>
        <w:pStyle w:val="Heading2"/>
      </w:pPr>
      <w:r>
        <w:t xml:space="preserve">6.2. Contingencia laboral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RL-01</w:t>
            </w:r>
          </w:p>
        </w:tc>
        <w:tc>
          <w:tcPr/>
          <w:p>
            <w:pPr>
              <w:pStyle w:val="Compact"/>
            </w:pPr>
            <w:r>
              <w:t xml:space="preserve">Multa SUNAFIL Participaciones DL 892 no pagadas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RL-02</w:t>
            </w:r>
          </w:p>
        </w:tc>
        <w:tc>
          <w:tcPr/>
          <w:p>
            <w:pPr>
              <w:pStyle w:val="Compact"/>
            </w:pPr>
            <w:r>
              <w:t xml:space="preserve">Multa SUNAFIL CTS mayo 2025 ausente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RL-03</w:t>
            </w:r>
          </w:p>
        </w:tc>
        <w:tc>
          <w:tcPr/>
          <w:p>
            <w:pPr>
              <w:pStyle w:val="Compact"/>
            </w:pPr>
            <w:r>
              <w:t xml:space="preserve">Multa SUNAFIL CTS mayo 2025 ausente</w:t>
            </w:r>
          </w:p>
        </w:tc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RL-04</w:t>
            </w:r>
          </w:p>
        </w:tc>
        <w:tc>
          <w:tcPr/>
          <w:p>
            <w:pPr>
              <w:pStyle w:val="Compact"/>
            </w:pPr>
            <w:r>
              <w:t xml:space="preserve">Demandas laborales por sueldos atrasados (exacto S/196,277)</w:t>
            </w:r>
          </w:p>
        </w:tc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S/196,000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laboral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S/1,021,000</w:t>
            </w:r>
          </w:p>
        </w:tc>
      </w:tr>
    </w:tbl>
    <w:bookmarkEnd w:id="62"/>
    <w:bookmarkStart w:id="63" w:name="X2457d2751a8e5aab3a73c237a2c83517654978f"/>
    <w:p>
      <w:pPr>
        <w:pStyle w:val="Heading2"/>
      </w:pPr>
      <w:r>
        <w:t>6.3. Créditos tributarios recuperables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Crédito</w:t>
            </w:r>
          </w:p>
        </w:tc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CT-01</w:t>
            </w:r>
          </w:p>
        </w:tc>
        <w:tc>
          <w:tcPr/>
          <w:p>
            <w:pPr>
              <w:pStyle w:val="Compact"/>
            </w:pPr>
            <w:r>
              <w:t xml:space="preserve">Renta 3ª Categoría neto a favor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−S/287,734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CT-02</w:t>
            </w:r>
          </w:p>
        </w:tc>
        <w:tc>
          <w:tcPr/>
          <w:p>
            <w:pPr>
              <w:pStyle w:val="Compact"/>
            </w:pPr>
            <w:r>
              <w:t xml:space="preserve">ITAN a favor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−S/43,704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CT-03</w:t>
            </w:r>
          </w:p>
        </w:tc>
        <w:tc>
          <w:tcPr/>
          <w:p>
            <w:pPr>
              <w:pStyle w:val="Compact"/>
            </w:pPr>
            <w:r>
              <w:t xml:space="preserve">Pago a cuenta Renta a favor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−S/95,225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créditos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−S/426,663</w:t>
            </w:r>
          </w:p>
        </w:tc>
      </w:tr>
    </w:tbl>
    <w:bookmarkEnd w:id="63"/>
    <w:bookmarkStart w:id="64" w:name="contingencia-neta-del-grupo"/>
    <w:p>
      <w:pPr>
        <w:pStyle w:val="Heading2"/>
      </w:pPr>
      <w:r>
        <w:t xml:space="preserve">6.4. CONTINGENCIA NETA DEL GRUPO</w:t>
      </w:r>
    </w:p>
    <w:p>
      <w:pPr>
        <w:pStyle w:val="BlockText"/>
      </w:pPr>
      <w:r>
        <w:rPr>
          <w:b/>
          <w:bCs/>
        </w:rPr>
        <w:t xml:space="preserve">Contingencia bruta máxima: S/4,963,000</w:t>
      </w:r>
      <w:r>
        <w:t xml:space="preserve"> </w:t>
      </w:r>
      <w:r>
        <w:rPr>
          <w:b/>
          <w:bCs/>
        </w:rPr>
        <w:t xml:space="preserve">Créditos recuperables: −S/426,663</w:t>
      </w:r>
      <w:r>
        <w:t xml:space="preserve"> </w:t>
      </w:r>
      <w:r>
        <w:rPr>
          <w:b/>
          <w:bCs/>
        </w:rPr>
        <w:t xml:space="preserve">Contingencia NETA: S/4,536,337</w:t>
      </w:r>
    </w:p>
    <w:bookmarkEnd w:id="64"/>
    <w:bookmarkEnd w:id="65"/>
    <w:bookmarkStart w:id="70" w:name="estructura-del-balance-intercompañía"/>
    <w:p>
      <w:pPr>
        <w:pStyle w:val="Heading1"/>
      </w:pPr>
      <w:r>
        <w:t xml:space="preserve">7. ESTRUCTURA DEL BALANCE INTERCOMPAÑÍA</w:t>
      </w:r>
    </w:p>
    <w:bookmarkStart w:id="66" w:name="Xa60a4d3cda08ba25de2ab03cba8c121f062e4f5"/>
    <w:p>
      <w:pPr>
        <w:pStyle w:val="Heading2"/>
      </w:pPr>
      <w:r>
        <w:t xml:space="preserve">7.1. Préstamos intercompañía — saldos y movimientos (validados V14)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Préstamos otorgados (saldo neto cta 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34,001,736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19,560,179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4,561,287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585,887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58,709,089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Préstamos recibidos (saldo neto cta 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47,962,755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12,122,836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2,430,778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1,696,918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64,213,288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 Documentos otorgados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4,051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 Documentos recibidos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Monto total</w:t>
            </w:r>
            <w:r>
              <w:t xml:space="preserve"> </w:t>
            </w:r>
            <w:r>
              <w:rPr>
                <w:b/>
                <w:bCs/>
              </w:rPr>
              <w:t xml:space="preserve">movido</w:t>
            </w:r>
            <w:r>
              <w:t xml:space="preserve"> </w:t>
            </w:r>
            <w:r>
              <w:t xml:space="preserve">otorgados (acumulado histórico)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S/122.9M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S/29.6M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S/7.0M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S/2.7M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S/162.2M</w:t>
            </w:r>
          </w:p>
        </w:tc>
      </w:tr>
    </w:tbl>
    <w:p>
      <w:pPr>
        <w:pStyle w:val="BlockText"/>
      </w:pPr>
      <w:r>
        <w:rPr>
          <w:b/>
          <w:bCs/>
        </w:rPr>
        <w:t>Nota aclaratoria: Las cifras “S/122.9M movido CMO” y “S/162.2M total movido” son acumulados de transacciones históricas, NO saldos netos actuales. El saldo neto vigente cta 17 CMO es S/34M.</w:t>
      </w:r>
      <w:r/>
      <w:r/>
      <w:r/>
      <w:r/>
      <w:r/>
      <w:r/>
      <w:r/>
      <w:r/>
      <w:r/>
      <w:r/>
      <w:r/>
      <w:r>
        <w:rPr>
          <w:b/>
          <w:bCs/>
        </w:rPr>
      </w:r>
      <w:r/>
      <w:r/>
      <w:r>
        <w:rPr>
          <w:b/>
          <w:bCs/>
        </w:rPr>
      </w:r>
      <w:r/>
    </w:p>
    <w:bookmarkEnd w:id="66"/>
    <w:bookmarkStart w:id="67" w:name="X742a8053c8233dccdd6968b1caa336b423dc583"/>
    <w:p>
      <w:pPr>
        <w:pStyle w:val="Heading2"/>
      </w:pPr>
      <w:r>
        <w:t xml:space="preserve">7.2. Intercompañía DEMOSTRADO entre las 4 empresas auditadas (V14)</w:t>
      </w:r>
    </w:p>
    <w:p>
      <w:pPr>
        <w:pStyle w:val="FirstParagraph"/>
      </w:pPr>
      <w:r>
        <w:t xml:space="preserve">Filtrando solo terceros que son las otras 3 empresas del grupo auditadas: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 origen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Hacia 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Hacia 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Hacia 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Hacia 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−S/7,293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S/2,747,840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S/2,740,547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S/11,102,290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S/1,430,971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S/301,786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S/12,835,047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S/2,037,487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S/1,790,102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S/585,184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S/4,412,772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S/17,350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S/17,350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S/13,139,777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S/1,782,810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S/4,196,161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S/886,970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~S/20M</w:t>
            </w:r>
          </w:p>
        </w:tc>
      </w:tr>
    </w:tbl>
    <w:bookmarkEnd w:id="67"/>
    <w:bookmarkStart w:id="68" w:name="otras-cxc-cxp-relacionadas-saldos-brutos"/>
    <w:p>
      <w:pPr>
        <w:pStyle w:val="Heading2"/>
      </w:pPr>
      <w:r>
        <w:t xml:space="preserve">7.3. Otras CxC / CxP relacionadas (saldos brutos)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MEDARQ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Otras CxC (clases 13-18)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S/37,142,456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S/15,939,270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S/4,477,503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S/899,052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Otras CxP (clases 43-47)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S/34,051,984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S/5,737,176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S/2,673,337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S/806,425</w:t>
            </w:r>
          </w:p>
        </w:tc>
      </w:tr>
    </w:tbl>
    <w:bookmarkEnd w:id="68"/>
    <w:bookmarkStart w:id="69" w:name="implicación-tributaria-recalculada"/>
    <w:p>
      <w:pPr>
        <w:pStyle w:val="Heading2"/>
      </w:pPr>
      <w:r>
        <w:t>7.4. Implicación tributaria</w:t>
      </w:r>
    </w:p>
    <w:p>
      <w:pPr>
        <w:pStyle w:val="FirstParagraph"/>
      </w:pPr>
      <w:r>
        <w:t xml:space="preserve">CMO GROUP funciona como</w:t>
      </w:r>
      <w:r>
        <w:t xml:space="preserve"> </w:t>
      </w:r>
      <w:r>
        <w:rPr>
          <w:b/>
          <w:bCs/>
        </w:rPr>
        <w:t xml:space="preserve">banca interna del grupo</w:t>
      </w:r>
      <w:r>
        <w:t xml:space="preserve"> </w:t>
      </w:r>
      <w:r>
        <w:t xml:space="preserve">con saldo neto cta 17 =</w:t>
      </w:r>
      <w:r>
        <w:t xml:space="preserve"> </w:t>
      </w:r>
      <w:r>
        <w:rPr>
          <w:b/>
          <w:bCs/>
        </w:rPr>
        <w:t xml:space="preserve">S/34M</w:t>
      </w:r>
      <w:r>
        <w:t xml:space="preserve"> </w:t>
      </w:r>
      <w:r>
        <w:t xml:space="preserve">(no los S/123M previamente reportados — esa cifra era movido histórico).</w:t>
      </w:r>
    </w:p>
    <w:p>
      <w:pPr>
        <w:pStyle w:val="BodyText"/>
      </w:pPr>
      <w:r>
        <w:t xml:space="preserve">Bajo Art. 32-A LIR (Precios de Transferencia), debe:</w:t>
      </w:r>
    </w:p>
    <w:p>
      <w:pPr>
        <w:pStyle w:val="Compact"/>
        <w:numPr>
          <w:ilvl w:val="0"/>
          <w:numId w:val="1008"/>
        </w:numPr>
      </w:pPr>
      <w:r>
        <w:t xml:space="preserve">Documentar cada préstamo con</w:t>
      </w:r>
      <w:r>
        <w:t xml:space="preserve"> </w:t>
      </w:r>
      <w:r>
        <w:rPr>
          <w:b/>
          <w:bCs/>
        </w:rPr>
        <w:t xml:space="preserve">contrato de mutuo</w:t>
      </w:r>
    </w:p>
    <w:p>
      <w:pPr>
        <w:pStyle w:val="Compact"/>
        <w:numPr>
          <w:ilvl w:val="0"/>
          <w:numId w:val="1008"/>
        </w:numPr>
      </w:pPr>
      <w:r>
        <w:t xml:space="preserve">Aplicar</w:t>
      </w:r>
      <w:r>
        <w:t xml:space="preserve"> </w:t>
      </w:r>
      <w:r>
        <w:rPr>
          <w:b/>
          <w:bCs/>
        </w:rPr>
        <w:t xml:space="preserve">tasa de interés a valor de mercado</w:t>
      </w:r>
      <w:r>
        <w:t xml:space="preserve"> </w:t>
      </w:r>
      <w:r>
        <w:t xml:space="preserve">(TAMN ~12%)</w:t>
      </w:r>
    </w:p>
    <w:p>
      <w:pPr>
        <w:pStyle w:val="Compact"/>
        <w:numPr>
          <w:ilvl w:val="0"/>
          <w:numId w:val="1008"/>
        </w:numPr>
      </w:pPr>
      <w:r>
        <w:t xml:space="preserve">Presentar</w:t>
      </w:r>
      <w:r>
        <w:t xml:space="preserve"> </w:t>
      </w:r>
      <w:r>
        <w:rPr>
          <w:b/>
          <w:bCs/>
        </w:rPr>
        <w:t xml:space="preserve">Estudio Técnico de Precios de Transferencia (ETPT)</w:t>
      </w:r>
      <w:r>
        <w:t xml:space="preserve"> </w:t>
      </w:r>
      <w:r>
        <w:t xml:space="preserve">si operaciones intercompañía &gt; 15 UIT por contraparte</w:t>
      </w:r>
    </w:p>
    <w:p>
      <w:pPr>
        <w:pStyle w:val="Compact"/>
        <w:numPr>
          <w:ilvl w:val="0"/>
          <w:numId w:val="1008"/>
        </w:numPr>
      </w:pPr>
      <w:r>
        <w:t xml:space="preserve">Presentar</w:t>
      </w:r>
      <w:r>
        <w:t xml:space="preserve"> </w:t>
      </w:r>
      <w:r>
        <w:rPr>
          <w:b/>
          <w:bCs/>
        </w:rPr>
        <w:t xml:space="preserve">Reporte Local</w:t>
      </w:r>
      <w:r>
        <w:t xml:space="preserve"> </w:t>
      </w:r>
      <w:r>
        <w:t xml:space="preserve">anual si ingresos &gt; 2,300 UIT (S/12.2M)</w:t>
      </w:r>
    </w:p>
    <w:p>
      <w:pPr>
        <w:pStyle w:val="FirstParagraph"/>
      </w:pPr>
      <w:r>
        <w:t xml:space="preserve">Si no se cumple → SUNAT puede</w:t>
      </w:r>
      <w:r>
        <w:t xml:space="preserve"> </w:t>
      </w:r>
      <w:r>
        <w:rPr>
          <w:b/>
          <w:bCs/>
        </w:rPr>
        <w:t xml:space="preserve">recalificar como dividendos</w:t>
      </w:r>
      <w:r>
        <w:t xml:space="preserve"> </w:t>
      </w:r>
      <w:r>
        <w:t xml:space="preserve">(Art. 24-A LIR), aplicando IR 29.5%.</w:t>
      </w:r>
    </w:p>
    <w:p>
      <w:pPr>
        <w:pStyle w:val="BodyText"/>
      </w:pPr>
      <w:r>
        <w:rPr>
          <w:b/>
          <w:bCs/>
        </w:rPr>
        <w:t>Contingencia: la base imponible máxima identificable es INTEGRAL→CMO S/11.1M (mayor exposición individual probada). 29.5% × S/11.1M = S/3.27M de contingencia tributaria por dividendos presuntos.</w:t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</w:p>
    <w:bookmarkEnd w:id="69"/>
    <w:bookmarkEnd w:id="70"/>
    <w:bookmarkStart w:id="74" w:name="plan-de-remediación-integral-20-acciones"/>
    <w:p>
      <w:pPr>
        <w:pStyle w:val="Heading1"/>
      </w:pPr>
      <w:r>
        <w:t xml:space="preserve">8. PLAN DE REMEDIACIÓN INTEGRAL — 20 ACCIONES</w:t>
      </w:r>
    </w:p>
    <w:bookmarkStart w:id="71" w:name="Xe97a8b73fc076a5d7428da7e0b5108d4566e1e0"/>
    <w:p>
      <w:pPr>
        <w:pStyle w:val="Heading2"/>
      </w:pPr>
      <w:r>
        <w:t xml:space="preserve">Fase 1 — Inmediato (0-15 días) — Revisada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Plazo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Identificar el asiento contable origen del −S/13M BBVA MN (enero 2026)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Tesorería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Convocar Junta Extraordinaria — Patrimonio NEGATIVO Art. 220 LGS</w:t>
            </w:r>
          </w:p>
        </w:tc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</w:pPr>
            <w:r>
              <w:t xml:space="preserve">Directorio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Investigar S/1.83M diferencia ingresos vs facturas (timing/anticipos)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Contabilidad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Aclarar status Participaciones S/212K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Legal+RRHH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Aclarar Sueldos atrasados S/196K</w:t>
            </w:r>
          </w:p>
        </w:tc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</w:pPr>
            <w:r>
              <w:t xml:space="preserve">RRHH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Validar CTS mayo 2025</w:t>
            </w:r>
          </w:p>
        </w:tc>
        <w:tc>
          <w:tcPr/>
          <w:p>
            <w:pPr>
              <w:pStyle w:val="Compact"/>
            </w:pPr>
            <w:r>
              <w:t xml:space="preserve">AMERICANA + MEDARQ</w:t>
            </w:r>
          </w:p>
        </w:tc>
        <w:tc>
          <w:tcPr/>
          <w:p>
            <w:pPr>
              <w:pStyle w:val="Compact"/>
            </w:pPr>
            <w:r>
              <w:t xml:space="preserve">RRHH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Provisión NIIF 9 PERGOLA S/3M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Contabilidad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Cargar saldos iniciales bancarios reales</w:t>
            </w:r>
          </w:p>
        </w:tc>
        <w:tc>
          <w:tcPr/>
          <w:p>
            <w:pPr>
              <w:pStyle w:val="Compact"/>
            </w:pPr>
            <w:r>
              <w:t xml:space="preserve">MEDARQ + AMERICANA</w:t>
            </w:r>
          </w:p>
        </w:tc>
        <w:tc>
          <w:tcPr/>
          <w:p>
            <w:pPr>
              <w:pStyle w:val="Compact"/>
            </w:pPr>
            <w:r>
              <w:t xml:space="preserve">Tesorería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Depósito CTS 1er semestre 2026 — TODAS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 4</w:t>
            </w:r>
          </w:p>
        </w:tc>
        <w:tc>
          <w:tcPr/>
          <w:p>
            <w:pPr>
              <w:pStyle w:val="Compact"/>
            </w:pPr>
            <w:r>
              <w:t xml:space="preserve">RRHH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15/05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Auditar los 9,809 asientos futuros CMO (S/1,182M)</w:t>
            </w:r>
          </w:p>
        </w:tc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</w:pPr>
            <w:r>
              <w:t xml:space="preserve">Auditoría int.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Compensar INTEGRAL Renta 3ª a favor S/287K vs IGV S/195K</w:t>
            </w:r>
            <w:r>
              <w:t xml:space="preserve"> </w:t>
            </w:r>
            <w:r>
              <w:t xml:space="preserve">— ahorro inmediato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Tributos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Verificar con Registros Públicos capital social inscrito de CMO</w:t>
            </w:r>
          </w:p>
        </w:tc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7d</w:t>
            </w:r>
          </w:p>
        </w:tc>
      </w:tr>
    </w:tbl>
    <w:bookmarkEnd w:id="71"/>
    <w:bookmarkStart w:id="72" w:name="fase-2-urgente-15-60-días"/>
    <w:p>
      <w:pPr>
        <w:pStyle w:val="Heading2"/>
      </w:pPr>
      <w:r>
        <w:t xml:space="preserve">Fase 2 — Urgente (15-60 días)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Reconstruir registro Activo Fijo CMO (valor neto −S/5,942 anómalo)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Formalizar contrato de mutuo INTEGRAL→CMO S/11.1M con tasa TAMN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Formalizar contratos restantes de préstamos intercompañía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Aprobar Reserva Legal retroactiva en Junta de Accionistas (las 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Capitalizar INTEGRAL y AMERICANA (de S/1K a monto razonable)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Capitalización urgente CMO o decisión de disolución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Reactivar conciliación bancaria mensual en las 4 empresas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Dar de alta 36 cuentas bancarias de beneficiarios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Provisión intereses devengados préstamos intercompañía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Solicitar devolución/compensación SUNAT créditos AMERICANA (S/139K)</w:t>
            </w:r>
          </w:p>
        </w:tc>
      </w:tr>
    </w:tbl>
    <w:bookmarkEnd w:id="72"/>
    <w:bookmarkStart w:id="73" w:name="fase-3-estratégico-60-180-días"/>
    <w:p>
      <w:pPr>
        <w:pStyle w:val="Heading2"/>
      </w:pPr>
      <w:r>
        <w:t xml:space="preserve">Fase 3 — Estratégico (60-180 días)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Implementar Host-to-Host (H2H) bancos ↔ S10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Implementar módulo formal de planilla en S10 (AFPNet, PDT-PLAME)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Contratar Estudio Técnico de Precios de Transferencia 2025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Auditoría externa Big 4 de los EEFF 2025</w:t>
            </w:r>
          </w:p>
        </w:tc>
      </w:tr>
    </w:tbl>
    <w:bookmarkEnd w:id="73"/>
    <w:bookmarkEnd w:id="74"/>
    <w:bookmarkStart w:id="78" w:name="conclusiones"/>
    <w:p>
      <w:pPr>
        <w:pStyle w:val="Heading1"/>
      </w:pPr>
      <w:r>
        <w:t xml:space="preserve">9. CONCLUSIONES</w:t>
      </w:r>
    </w:p>
    <w:bookmarkStart w:id="75" w:name="Xa31003c1a1387caf6221e20c548695f60b5a4bb"/>
    <w:p>
      <w:pPr>
        <w:pStyle w:val="Heading2"/>
      </w:pPr>
      <w:r>
        <w:t>9.1. Estado general del grupo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Lo positivo (confirmado contra S10):</w:t>
      </w:r>
      <w:r>
        <w:t xml:space="preserve"> </w:t>
      </w:r>
      <w:r>
        <w:t xml:space="preserve">- 100% de cumplimiento Ley 28194 (histórico y actual)</w:t>
      </w:r>
      <w:r>
        <w:t xml:space="preserve"> </w:t>
      </w:r>
      <w:r>
        <w:t xml:space="preserve">- Trazabilidad Pago↔Documento del 99%+ en 3 empresas (validado V16)</w:t>
      </w:r>
      <w:r>
        <w:t xml:space="preserve"> </w:t>
      </w:r>
      <w:r>
        <w:t xml:space="preserve">- Partida doble cuadrada en las 4 empresas (V01)</w:t>
      </w:r>
      <w:r>
        <w:t xml:space="preserve"> </w:t>
      </w:r>
      <w:r>
        <w:t xml:space="preserve">- Identificadores únicos consistentes (V21)</w:t>
      </w:r>
      <w:r>
        <w:t xml:space="preserve"> </w:t>
      </w:r>
      <w:r>
        <w:t xml:space="preserve">- Bancarización: AMERICANA, INTEGRAL, MEDARQ 100% compliance</w:t>
      </w:r>
      <w:r>
        <w:t xml:space="preserve"> </w:t>
      </w:r>
      <w:r>
        <w:t xml:space="preserve">- INTEGRAL es rentable + tiene crédito tributario neto S/287K</w:t>
      </w:r>
    </w:p>
    <w:p>
      <w:pPr>
        <w:pStyle w:val="BodyText"/>
      </w:pPr>
      <w:r>
        <w:t>🔴 Lo crítico: - CMO Patrimonio neto NEGATIVO −S/2.87M (Art. 220 LGS) - CMO Valor neto Activo Fijo NEGATIVO −S/5,942 - CMO 9,809 asientos futuros por S/1,182M — verificar legitimidad - Contingencia tributaria + laboral neta S/4.54 millones - 3 de 4 empresas no concilian bancariamente - AMERICANA BBVA MN −S/13M con origen identificado en enero 2026 - MEDARQ sueldos atrasados S/196K - INTEGRAL participaciones DL 892 impagas S/212K - AMERICANA y MEDARQ CTS mayo 2025 omitido - CTS mayo 2026 pendiente en TODAS (vence 15/05)</w:t>
      </w:r>
      <w:r/>
      <w:r>
        <w:rPr>
          <w:b/>
          <w:bCs/>
        </w:rPr>
      </w:r>
      <w:r/>
      <w:r/>
      <w:r/>
      <w:r>
        <w:rPr>
          <w:b/>
          <w:bCs/>
        </w:rPr>
      </w:r>
      <w:r/>
      <w:r/>
      <w:r/>
      <w:r/>
      <w:r/>
      <w:r>
        <w:rPr>
          <w:b/>
          <w:bCs/>
        </w:rPr>
      </w:r>
      <w:r/>
      <w:r/>
      <w:r/>
      <w:r/>
      <w:r/>
      <w:r>
        <w:rPr>
          <w:b/>
          <w:bCs/>
        </w:rPr>
      </w:r>
      <w:r/>
      <w:r/>
      <w:r/>
      <w:r/>
      <w:r/>
      <w:r>
        <w:rPr>
          <w:b/>
          <w:bCs/>
        </w:rPr>
      </w:r>
      <w:r/>
      <w:r/>
      <w:r/>
      <w:r/>
      <w:r/>
      <w:r/>
      <w:r/>
      <w:r/>
      <w:r/>
      <w:r/>
      <w:r/>
      <w:r/>
    </w:p>
    <w:bookmarkEnd w:id="75"/>
    <w:bookmarkStart w:id="76" w:name="recomendación-al-directorio"/>
    <w:p>
      <w:pPr>
        <w:pStyle w:val="Heading2"/>
      </w:pPr>
      <w:r>
        <w:t xml:space="preserve">9.2. Recomendación al Directorio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Aprobar inmediatamente</w:t>
      </w:r>
      <w:r>
        <w:t xml:space="preserve"> </w:t>
      </w:r>
      <w:r>
        <w:t xml:space="preserve">las 12 acciones de Fase 1 (0-15 días)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Convocar Junta General de Accionistas extraordinaria URGENTE</w:t>
      </w:r>
      <w:r>
        <w:t xml:space="preserve"> </w:t>
      </w:r>
      <w:r>
        <w:t xml:space="preserve">para resolver: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CMO: Patrimonio negativo −S/2.87M (Art. 220 LGS)</w:t>
      </w:r>
      <w:r>
        <w:t xml:space="preserve"> </w:t>
      </w:r>
      <w:r>
        <w:t xml:space="preserve">— capitalización o disolución</w:t>
      </w:r>
    </w:p>
    <w:p>
      <w:pPr>
        <w:pStyle w:val="Compact"/>
        <w:numPr>
          <w:ilvl w:val="1"/>
          <w:numId w:val="1010"/>
        </w:numPr>
      </w:pPr>
      <w:r>
        <w:t xml:space="preserve">Verificación con Registros Públicos del capital social inscrito de CMO</w:t>
      </w:r>
    </w:p>
    <w:p>
      <w:pPr>
        <w:pStyle w:val="Compact"/>
        <w:numPr>
          <w:ilvl w:val="1"/>
          <w:numId w:val="1010"/>
        </w:numPr>
      </w:pPr>
      <w:r>
        <w:t xml:space="preserve">Reserva Legal retroactiva (las 4)</w:t>
      </w:r>
    </w:p>
    <w:p>
      <w:pPr>
        <w:pStyle w:val="Compact"/>
        <w:numPr>
          <w:ilvl w:val="1"/>
          <w:numId w:val="1010"/>
        </w:numPr>
      </w:pPr>
      <w:r>
        <w:t xml:space="preserve">Capitalización INTEGRAL y AMERICANA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Aprobar presupuesto</w:t>
      </w:r>
      <w:r>
        <w:t xml:space="preserve"> </w:t>
      </w:r>
      <w:r>
        <w:t xml:space="preserve">para contratación externa:</w:t>
      </w:r>
    </w:p>
    <w:p>
      <w:pPr>
        <w:pStyle w:val="Compact"/>
        <w:numPr>
          <w:ilvl w:val="1"/>
          <w:numId w:val="1011"/>
        </w:numPr>
      </w:pPr>
      <w:r>
        <w:t xml:space="preserve">Especialista PT (~US$15-20K)</w:t>
      </w:r>
    </w:p>
    <w:p>
      <w:pPr>
        <w:pStyle w:val="Compact"/>
        <w:numPr>
          <w:ilvl w:val="1"/>
          <w:numId w:val="1011"/>
        </w:numPr>
      </w:pPr>
      <w:r>
        <w:t xml:space="preserve">Asesoría tributaria (~US$8-12K) — prioritaria para compensación crédito INTEGRAL</w:t>
      </w:r>
    </w:p>
    <w:p>
      <w:pPr>
        <w:pStyle w:val="Compact"/>
        <w:numPr>
          <w:ilvl w:val="1"/>
          <w:numId w:val="1011"/>
        </w:numPr>
      </w:pPr>
      <w:r>
        <w:t xml:space="preserve">Auditoría externa Big 4 (~US$30-50K)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Constituir Comité de Remediación</w:t>
      </w:r>
      <w:r>
        <w:t xml:space="preserve"> </w:t>
      </w:r>
      <w:r>
        <w:t xml:space="preserve">con reuniones semanales 90 días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Reportes mensuales</w:t>
      </w:r>
      <w:r>
        <w:t xml:space="preserve"> </w:t>
      </w:r>
      <w:r>
        <w:t xml:space="preserve">al Directorio del dashboard s10bizsmarthub</w:t>
      </w:r>
    </w:p>
    <w:bookmarkEnd w:id="76"/>
    <w:bookmarkStart w:id="77" w:name="próximos-pasos"/>
    <w:p>
      <w:pPr>
        <w:pStyle w:val="Heading2"/>
      </w:pPr>
      <w:r>
        <w:t xml:space="preserve">9.3. Próximos pasos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Plazo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mayo 2026</w:t>
            </w:r>
          </w:p>
        </w:tc>
        <w:tc>
          <w:tcPr/>
          <w:p>
            <w:pPr>
              <w:pStyle w:val="Compact"/>
            </w:pPr>
            <w:r>
              <w:t xml:space="preserve">Depósito CTS primer semestre 2026 (TODAS las empresas)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mayo 2026</w:t>
            </w:r>
          </w:p>
        </w:tc>
        <w:tc>
          <w:tcPr/>
          <w:p>
            <w:pPr>
              <w:pStyle w:val="Compact"/>
            </w:pPr>
            <w:r>
              <w:t xml:space="preserve">Revisión de progreso Fase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junio 2026</w:t>
            </w:r>
          </w:p>
        </w:tc>
        <w:tc>
          <w:tcPr/>
          <w:p>
            <w:pPr>
              <w:pStyle w:val="Compact"/>
            </w:pPr>
            <w:r>
              <w:t xml:space="preserve">Cierre de Fase 1 + inicio Fase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 julio 2026</w:t>
            </w:r>
          </w:p>
        </w:tc>
        <w:tc>
          <w:tcPr/>
          <w:p>
            <w:pPr>
              <w:pStyle w:val="Compact"/>
            </w:pPr>
            <w:r>
              <w:t xml:space="preserve">Cierre de Fase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septiembre 2026</w:t>
            </w:r>
          </w:p>
        </w:tc>
        <w:tc>
          <w:tcPr/>
          <w:p>
            <w:pPr>
              <w:pStyle w:val="Compact"/>
            </w:pPr>
            <w:r>
              <w:t xml:space="preserve">Cierre de Fase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octubre 2026</w:t>
            </w:r>
          </w:p>
        </w:tc>
        <w:tc>
          <w:tcPr/>
          <w:p>
            <w:pPr>
              <w:pStyle w:val="Compact"/>
            </w:pPr>
            <w:r>
              <w:t xml:space="preserve">Auditoría externa Big 4 de EEFF 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enero 2027</w:t>
            </w:r>
          </w:p>
        </w:tc>
        <w:tc>
          <w:tcPr/>
          <w:p>
            <w:pPr>
              <w:pStyle w:val="Compact"/>
            </w:pPr>
            <w:r>
              <w:t xml:space="preserve">DJ Anual del IR 2026 con todas las correcciones aplicadas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>Versión: Final 2.0 (forense) Fecha de cierre: 11 de mayo de 2026 Próxima revisión: 11 de agosto de 2026 (90 días) Equipo de Auditoría: BizSmartHub</w:t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  <w:r/>
    </w:p>
    <w:p>
      <w:pPr>
        <w:pStyle w:val="BodyText"/>
      </w:pPr>
      <w:r>
        <w:rPr>
          <w:b/>
          <w:bCs/>
        </w:rPr>
        <w:t>Documentos complementarios: - 01_RESUMEN_GERENCIAL.docx (Directorio) - 02_ANEXOS_REGISTROS.docx (Evidencia transaccional) - 04_TRAZABILIDAD_HISTORICA.docx (Proceso histórico de auditoría) - 05_VALIDACION_FORENSE_S10.docx (Validación finding-by-finding contra S10 productivo)</w:t>
      </w:r>
      <w:r/>
      <w:r/>
      <w:r/>
      <w:r>
        <w:rPr>
          <w:rStyle w:val="VerbatimChar"/>
        </w:rPr>
      </w:r>
      <w:r/>
      <w:r/>
      <w:r/>
      <w:r/>
      <w:r/>
      <w:r>
        <w:rPr>
          <w:rStyle w:val="VerbatimChar"/>
        </w:rPr>
      </w:r>
      <w:r/>
      <w:r/>
      <w:r/>
      <w:r/>
      <w:r/>
      <w:r>
        <w:rPr>
          <w:rStyle w:val="VerbatimChar"/>
        </w:rPr>
      </w:r>
      <w:r/>
      <w:r/>
      <w:r/>
      <w:r/>
      <w:r/>
      <w:r>
        <w:rPr>
          <w:rStyle w:val="VerbatimChar"/>
        </w:rPr>
      </w:r>
      <w:r/>
      <w:r/>
      <w:r/>
      <w:r>
        <w:rPr>
          <w:b/>
          <w:bCs/>
        </w:rPr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Consolidado Final de Auditoría Integral</dc:title>
  <dc:creator>Equipo de Auditoría BizSmartHub</dc:creator>
  <cp:keywords/>
  <dcterms:created xsi:type="dcterms:W3CDTF">2026-05-11T15:20:00Z</dcterms:created>
  <dcterms:modified xsi:type="dcterms:W3CDTF">2026-05-11T15:20:00Z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11 de mayo de 2026 (rev. 16:50)</vt:lpwstr>
  </property>
  <property fmtid="{D5CDD505-2E9C-101B-9397-08002B2CF9AE}" pid="3" name="subtitle">
    <vt:lpwstr>REVISADO POST-VALIDACIÓN FORENSE 11/05/2026</vt:lpwstr>
  </property>
</Properties>
</file>