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Validación Forense del Informe de Auditoría contra S10 Producción</w:t>
      </w:r>
    </w:p>
    <w:p>
      <w:pPr>
        <w:pStyle w:val="Subtitle"/>
      </w:pPr>
      <w:r>
        <w:t>Validación finding-by-finding contra S10 SQL Server (origen de la verdad contable)</w:t>
      </w:r>
    </w:p>
    <w:p>
      <w:pPr>
        <w:pStyle w:val="Author"/>
      </w:pPr>
      <w:r>
        <w:t xml:space="preserve">Equipo de Auditoría BizSmartHub</w:t>
      </w:r>
    </w:p>
    <w:p>
      <w:pPr>
        <w:pStyle w:val="Date"/>
      </w:pPr>
      <w:r>
        <w:t xml:space="preserve">11 de mayo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propósito-y-metodología"/>
    <w:p>
      <w:pPr>
        <w:pStyle w:val="Heading1"/>
      </w:pPr>
      <w:r>
        <w:t xml:space="preserve">1. PROPÓSITO Y METODOLOGÍA</w:t>
      </w:r>
    </w:p>
    <w:bookmarkStart w:id="9" w:name="por-qué-este-documento"/>
    <w:p>
      <w:pPr>
        <w:pStyle w:val="Heading2"/>
      </w:pPr>
      <w:r>
        <w:t xml:space="preserve">1.1. Por qué este documento</w:t>
      </w:r>
    </w:p>
    <w:p>
      <w:pPr>
        <w:pStyle w:val="FirstParagraph"/>
      </w:pPr>
      <w:r>
        <w:t>Los informes 01–04 fueron construidos sobre snapshots de KpiSnapshot (PostgreSQL) que el sync-agent.js puebla cada ~4 h desde S10. Eso ofrece fidelidad de dato alta pero deja abierto un riesgo: que la interpretación del dato sea incorrecta — como ocurrió con el caso documentado de interpretación inicial incorrecta del campo MedioDePago=4.</w:t>
      </w:r>
      <w:r/>
      <w:r>
        <w:rPr>
          <w:b/>
          <w:bCs/>
        </w:rPr>
      </w:r>
      <w:r/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rStyle w:val="VerbatimChar"/>
        </w:rPr>
      </w:r>
      <w:r/>
      <w:r/>
    </w:p>
    <w:p>
      <w:pPr>
        <w:pStyle w:val="BodyText"/>
      </w:pPr>
      <w:r>
        <w:t>Se solicitó validar finding-by-finding contra el origen productivo, S10, antes de entregar el informe a Finanzas / Contabilidad / Auditoría externa.</w:t>
      </w:r>
      <w:r/>
      <w:r>
        <w:rPr>
          <w:b/>
          <w:bCs/>
        </w:rPr>
      </w:r>
      <w:r/>
    </w:p>
    <w:bookmarkEnd w:id="9"/>
    <w:bookmarkStart w:id="10" w:name="cómo-se-ejecutó"/>
    <w:p>
      <w:pPr>
        <w:pStyle w:val="Heading2"/>
      </w:pPr>
      <w:r>
        <w:t xml:space="preserve">1.2. Cómo se ejecutó</w:t>
      </w:r>
    </w:p>
    <w:p>
      <w:pPr>
        <w:pStyle w:val="Compact"/>
        <w:numPr>
          <w:ilvl w:val="0"/>
          <w:numId w:val="1001"/>
        </w:numPr>
      </w:pPr>
      <w:r>
        <w:t>Se construyó el agente de validación forense con 25 queries forenses dirigidas — cada una busca confirmar o refutar un hallazgo específico.</w:t>
      </w:r>
      <w:r/>
      <w:r>
        <w:rPr>
          <w:rStyle w:val="VerbatimChar"/>
        </w:rPr>
      </w:r>
      <w:r/>
      <w:r/>
      <w:r/>
      <w:r>
        <w:rPr>
          <w:b/>
          <w:bCs/>
        </w:rPr>
      </w:r>
      <w:r/>
      <w:r/>
    </w:p>
    <w:p>
      <w:pPr>
        <w:pStyle w:val="Compact"/>
        <w:numPr>
          <w:ilvl w:val="0"/>
          <w:numId w:val="1001"/>
        </w:numPr>
      </w:pPr>
      <w:r>
        <w:t>Se desplegó al VPS y se ejecutó contra S10 SQL Server (servidor ERP S10 productivo, base CMO) por VPN openfortivpn activa.</w:t>
      </w:r>
      <w:r>
        <w:rPr>
          <w:rStyle w:val="VerbatimChar"/>
        </w:rPr>
      </w:r>
      <w:r/>
      <w:r/>
      <w:r>
        <w:rPr>
          <w:rStyle w:val="VerbatimChar"/>
        </w:rPr>
      </w:r>
      <w:r/>
      <w:r/>
      <w:r>
        <w:rPr>
          <w:b/>
          <w:bCs/>
        </w:rPr>
      </w:r>
      <w:r/>
      <w:r/>
    </w:p>
    <w:p>
      <w:pPr>
        <w:pStyle w:val="Compact"/>
        <w:numPr>
          <w:ilvl w:val="0"/>
          <w:numId w:val="1001"/>
        </w:numPr>
      </w:pPr>
      <w:r>
        <w:t xml:space="preserve">Total ejecutado:</w:t>
      </w:r>
      <w:r>
        <w:t xml:space="preserve"> </w:t>
      </w:r>
      <w:r>
        <w:rPr>
          <w:b/>
          <w:bCs/>
        </w:rPr>
        <w:t xml:space="preserve">25 validaciones × 4 empresas = 100 queries</w:t>
      </w:r>
      <w:r>
        <w:t xml:space="preserve">, todas exitosas.</w:t>
      </w:r>
    </w:p>
    <w:p>
      <w:pPr>
        <w:pStyle w:val="Compact"/>
        <w:numPr>
          <w:ilvl w:val="0"/>
          <w:numId w:val="1001"/>
        </w:numPr>
      </w:pPr>
      <w:r>
        <w:t>Salida cruda: el archivo de salida de validación.</w:t>
      </w:r>
      <w:r/>
      <w:r>
        <w:rPr>
          <w:rStyle w:val="VerbatimChar"/>
        </w:rPr>
      </w:r>
      <w:r/>
      <w:r/>
    </w:p>
    <w:p>
      <w:pPr>
        <w:pStyle w:val="FirstParagraph"/>
      </w:pPr>
      <w:r>
        <w:rPr>
          <w:b/>
          <w:bCs/>
        </w:rPr>
        <w:t>Esta validación se ejecutó directamente contra el origen de datos S10, no contra el dashboard.</w:t>
      </w:r>
    </w:p>
    <w:bookmarkEnd w:id="10"/>
    <w:bookmarkStart w:id="11" w:name="veredicto-general"/>
    <w:p>
      <w:pPr>
        <w:pStyle w:val="Heading2"/>
      </w:pPr>
      <w:r>
        <w:t xml:space="preserve">1.3. Veredicto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>Hallazgos sustentados sin reservas en S10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>Hallazgos sin sustento contable en S10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>Hallazgos con magnitud o fecha ajustadas tras validación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>Hallazgos adicionales detectados durante la validación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validaciones ejecutadas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</w:t>
            </w:r>
          </w:p>
        </w:tc>
      </w:tr>
    </w:tbl>
    <w:p>
      <w:pPr>
        <w:pStyle w:val="BlockText"/>
      </w:pPr>
      <w:r>
        <w:rPr>
          <w:b/>
          <w:bCs/>
        </w:rPr>
        <w:t>Conclusión global: La validación contra S10 ajustó tres hallazgos centrales del análisis inicial: (a) Apertura contable 2026 CMO, (b) Capital social CMO, (c) Magnitud real de préstamos intercompañía. Además, la validación reveló siete situaciones nuevas críticas no detectadas en el ciclo anterior.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bookmarkEnd w:id="11"/>
    <w:bookmarkEnd w:id="12"/>
    <w:bookmarkStart w:id="13" w:name="matriz-de-validación-resumen"/>
    <w:p>
      <w:pPr>
        <w:pStyle w:val="Heading1"/>
      </w:pPr>
      <w:r>
        <w:t xml:space="preserve">2. MATRIZ DE VALIDACIÓN — RESUMEN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Hallazgo previo (informe 01–03)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Veredicto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CMO falta asiento de apertura 2026 — Capital aparece S/0</w:t>
            </w:r>
          </w:p>
        </w:tc>
        <w:tc>
          <w:tcPr/>
          <w:p>
            <w:pPr>
              <w:pStyle w:val="Compact"/>
              <w:jc w:val="center"/>
            </w:pPr>
            <w:r>
              <w:t>⚪ SIN SUSTENTO EN S10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Apertura 2026 existe: 9,700 asientos por S/592M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CMO Capital real S/78.3M</w:t>
            </w:r>
          </w:p>
        </w:tc>
        <w:tc>
          <w:tcPr/>
          <w:p>
            <w:pPr>
              <w:pStyle w:val="Compact"/>
              <w:jc w:val="center"/>
            </w:pPr>
            <w:r>
              <w:t>🔵 AJUSTADO EN MAGNITUD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No hay capital en cla 50. Acumulado va por cla 59 (Resultados) — verdadero saldo patrimonial neto es</w:t>
            </w:r>
            <w:r>
              <w:t xml:space="preserve"> </w:t>
            </w:r>
            <w:r>
              <w:rPr>
                <w:b/>
                <w:bCs/>
              </w:rPr>
              <w:t xml:space="preserve">−S/2.87M (negativo)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INTEGRAL S/1.83M facturas emitidas no contabilizadas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Diferencia exacta reconciliación 2026 = −S/1,831,798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INTEGRAL Participaciones DL 892 S/212K pendientes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Provisionado S/211,878 / Pagado S/0 (al 11/05/2026)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MEDARQ Sueldos por pagar S/196K (~42% pendiente)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Saldo acumulado pendiente exacto S/196,277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MEDARQ 10 asientos clase 70 sin factura S/400K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10 asientos exactos, S/400,000 (4 son extornos internos)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AMERICANA BBVA Continental MN −S/13M desde 2023</w:t>
            </w:r>
          </w:p>
        </w:tc>
        <w:tc>
          <w:tcPr/>
          <w:p>
            <w:pPr>
              <w:pStyle w:val="Compact"/>
              <w:jc w:val="center"/>
            </w:pPr>
            <w:r>
              <w:t>🔵 AJUSTADO EN MAGNITUD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El −S/13M es real (−S/13,034,687)</w:t>
            </w:r>
            <w:r>
              <w:t xml:space="preserve"> </w:t>
            </w:r>
            <w:r>
              <w:rPr>
                <w:b/>
                <w:bCs/>
              </w:rPr>
              <w:t xml:space="preserve">pero arrancó en 2026, no en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AMERICANA PERGOLA S/3M (97.9% CxC vencida)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46 docs, S/3,002,718, todos &gt;90 días; SAGITARIO concentra &gt;95%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CTS mayo 2025 ausente (AMERICANA + MEDARQ)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Provisionado pero</w:t>
            </w:r>
            <w:r>
              <w:t xml:space="preserve"> </w:t>
            </w:r>
            <w:r>
              <w:rPr>
                <w:b/>
                <w:bCs/>
              </w:rPr>
              <w:t xml:space="preserve">no depositado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CTS noviembre todas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Todas depositaron en noviembre 2025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Bancarización 100% Ley 28194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AMERICANA, INTEGRAL, MEDARQ: 100% pagos &gt; umbral bancarizados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Trazabilidad Pago↔Documento 99%+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INTEGRAL 99.49%, AMERICANA 98.90%, MEDARQ 100.00%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Reserva Legal ausente (Art. 229 LGS)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Cuenta 58 (Reservas Reinversión) NO existe en ninguna empresa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Capital social — INTEGRAL S/1K, MEDARQ S/1.2M, AMERICANA S/1K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INTEGRAL 1,000 / AMERICANA 1,000 / MEDARQ 1,200,000 (cta 50110100 Acciones)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CMO Préstamos intercompañía S/123M</w:t>
            </w:r>
          </w:p>
        </w:tc>
        <w:tc>
          <w:tcPr/>
          <w:p>
            <w:pPr>
              <w:pStyle w:val="Compact"/>
              <w:jc w:val="center"/>
            </w:pPr>
            <w:r>
              <w:t>⚪ SIN SUSTENTO EN S10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El intercompañía consolidado del grupo es ~</w:t>
            </w:r>
            <w:r>
              <w:rPr>
                <w:b/>
                <w:bCs/>
              </w:rPr>
              <w:t xml:space="preserve">S/20M</w:t>
            </w:r>
            <w:r>
              <w:t xml:space="preserve">, no S/123M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CMO depreciación NIC 16</w:t>
            </w:r>
            <w:r>
              <w:t xml:space="preserve"> </w:t>
            </w:r>
            <w:r>
              <w:t xml:space="preserve">“inversa”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Activo bruto −S/162,408 / Valor neto −S/5,942 (anómalo)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Conciliación bancaria deficiente (3 de 4 empresas)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AMERICANA 5/5 sin estados, MEDARQ 3/3 sin estados, INTEGRAL 4/5 sin estados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Partida doble Σ Db = Σ Cr</w:t>
            </w:r>
          </w:p>
        </w:tc>
        <w:tc>
          <w:tcPr/>
          <w:p>
            <w:pPr>
              <w:pStyle w:val="Compact"/>
              <w:jc w:val="center"/>
            </w:pPr>
            <w:r>
              <w:t>🟢 SUSTENTADO</w:t>
            </w:r>
            <w:r/>
            <w:r>
              <w:rPr>
                <w:b/>
                <w:bCs/>
              </w:rPr>
            </w:r>
          </w:p>
        </w:tc>
        <w:tc>
          <w:tcPr/>
          <w:p>
            <w:pPr>
              <w:pStyle w:val="Compact"/>
            </w:pPr>
            <w:r>
              <w:t xml:space="preserve">INTEGRAL/AMERICANA/MEDARQ descuadre exacto 0; CMO descuadre −S/3,875 (0.00003%)</w:t>
            </w:r>
          </w:p>
        </w:tc>
      </w:tr>
    </w:tbl>
    <w:bookmarkEnd w:id="13"/>
    <w:bookmarkStart w:id="21" w:name="Xa884901c87ac86bbc9ca81dc4851b57fbaa7cbd"/>
    <w:p>
      <w:pPr>
        <w:pStyle w:val="Heading1"/>
      </w:pPr>
      <w:r>
        <w:t xml:space="preserve">3. HALLAZGOS NUEVOS DETECTADOS POR LA VALIDACIÓN</w:t>
      </w:r>
    </w:p>
    <w:p>
      <w:pPr>
        <w:pStyle w:val="FirstParagraph"/>
      </w:pPr>
      <w:r>
        <w:t xml:space="preserve">Los siguientes hallazgos</w:t>
      </w:r>
      <w:r>
        <w:t xml:space="preserve"> </w:t>
      </w:r>
      <w:r>
        <w:rPr>
          <w:b/>
          <w:bCs/>
        </w:rPr>
        <w:t xml:space="preserve">no aparecían en los informes 01–03</w:t>
      </w:r>
      <w:r>
        <w:t xml:space="preserve"> </w:t>
      </w:r>
      <w:r>
        <w:t xml:space="preserve">y emergen de comparar los datos contra S10 productivo.</w:t>
      </w:r>
    </w:p>
    <w:bookmarkStart w:id="14" w:name="Xcb4309dc2c7b690b1c34222eb708e41f1244b0c"/>
    <w:p>
      <w:pPr>
        <w:pStyle w:val="Heading2"/>
      </w:pPr>
      <w:r>
        <w:t>N01 — CMO PATRIMONIO NETO NEGATIVO −S/2,875,935</w:t>
      </w:r>
    </w:p>
    <w:p>
      <w:pPr>
        <w:pStyle w:val="FirstParagraph"/>
      </w:pPr>
      <w:r>
        <w:rPr>
          <w:b/>
          <w:bCs/>
        </w:rPr>
        <w:t xml:space="preserve">Validación V19</w:t>
      </w:r>
      <w:r>
        <w:t xml:space="preserve"> </w:t>
      </w:r>
      <w:r>
        <w:t xml:space="preserve">muestra que el grupo 5 (Patrimonio) de CMO tiene saldo</w:t>
      </w:r>
      <w:r>
        <w:t xml:space="preserve"> </w:t>
      </w:r>
      <w:r>
        <w:rPr>
          <w:b/>
          <w:bCs/>
        </w:rPr>
        <w:t xml:space="preserve">−S/2,875,935.30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59110100 Utilidades Acumuladas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+S/5,082,789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59120100 Ingresos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−S/2,199,498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59220100 Gastos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−S/7,355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Otras cuentas (no detalladas)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−S/5,751,871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Patrimonio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−S/2,875,935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Implicancia legal — Art. 220 LGS:</w:t>
      </w:r>
      <w:r>
        <w:t xml:space="preserve"> </w:t>
      </w:r>
      <w:r>
        <w:t xml:space="preserve">Si las pérdidas reducen el patrimonio neto a menos de</w:t>
      </w:r>
      <w:r>
        <w:t xml:space="preserve"> </w:t>
      </w:r>
      <w:r>
        <w:rPr>
          <w:b/>
          <w:bCs/>
        </w:rPr>
        <w:t xml:space="preserve">1/3 del capital social</w:t>
      </w:r>
      <w:r>
        <w:t xml:space="preserve">, hay obligación de reducir el capital o convocar Junta para acordar disolución. CMO no tiene capital cta 50 explícito, lo que agrava la situación.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Convocar Junta General de Accionistas urgente (Art. 113 LGS) para resolver el desbalance patrimonial.</w:t>
      </w:r>
    </w:p>
    <w:bookmarkEnd w:id="14"/>
    <w:bookmarkStart w:id="15" w:name="X5393f536708a641ae1cd56930e772cef50e218e"/>
    <w:p>
      <w:pPr>
        <w:pStyle w:val="Heading2"/>
      </w:pPr>
      <w:r>
        <w:t>N02 — CMO VALOR NETO ACTIVO FIJO NEGATIVO −S/5,942</w:t>
      </w:r>
    </w:p>
    <w:p>
      <w:pPr>
        <w:pStyle w:val="FirstParagraph"/>
      </w:pPr>
      <w:r>
        <w:rPr>
          <w:b/>
          <w:bCs/>
        </w:rPr>
        <w:t xml:space="preserve">Validación V15</w:t>
      </w:r>
      <w:r>
        <w:t xml:space="preserve"> </w:t>
      </w:r>
      <w:r>
        <w:t xml:space="preserve">muestra que CMO presenta: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33 (Activo bruto)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−S/162,408 ← anómalo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39 (Depreciación acumulada)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−S/156,467 ← anómalo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68 (Depreciación del ejercicio)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−S/3,239,888 ← anómalo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neto (33 − 39)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−S/5,942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valor neto contable del activo fijo no puede ser negativo</w:t>
      </w:r>
      <w:r>
        <w:t xml:space="preserve">. Combinado con el patrón</w:t>
      </w:r>
      <w:r>
        <w:t xml:space="preserve"> </w:t>
      </w:r>
      <w:r>
        <w:t xml:space="preserve">“inverso”</w:t>
      </w:r>
      <w:r>
        <w:t xml:space="preserve"> </w:t>
      </w:r>
      <w:r>
        <w:t xml:space="preserve">(clase 33 y 39 ambas negativas), confirma corrupción contable o uso atípico de signos en CMO.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Reconstruir el registro de activos fijos de CMO desde inventario físico + facturas originales.</w:t>
      </w:r>
    </w:p>
    <w:bookmarkEnd w:id="15"/>
    <w:bookmarkStart w:id="16" w:name="Xa335e407d501e44da74516ed26aff3ca73736e4"/>
    <w:p>
      <w:pPr>
        <w:pStyle w:val="Heading2"/>
      </w:pPr>
      <w:r>
        <w:t>N03 — CMO 9,809 ASIENTOS CON FECHA FUTURA POR S/1,182,577,244</w:t>
      </w:r>
    </w:p>
    <w:p>
      <w:pPr>
        <w:pStyle w:val="FirstParagraph"/>
      </w:pPr>
      <w:r>
        <w:rPr>
          <w:b/>
          <w:bCs/>
        </w:rPr>
        <w:t xml:space="preserve">Validación V20</w:t>
      </w:r>
      <w:r>
        <w:t xml:space="preserve"> </w:t>
      </w:r>
      <w:r>
        <w:t xml:space="preserve">detecta en CMO</w:t>
      </w:r>
      <w:r>
        <w:t xml:space="preserve"> </w:t>
      </w:r>
      <w:r>
        <w:rPr>
          <w:b/>
          <w:bCs/>
        </w:rPr>
        <w:t xml:space="preserve">9,809 asientos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FechaAplicacionContable &gt; 11/05/2026</w:t>
      </w:r>
      <w:r>
        <w:t xml:space="preserve"> </w:t>
      </w:r>
      <w:r>
        <w:t xml:space="preserve">(fecha de validación) por un monto de</w:t>
      </w:r>
      <w:r>
        <w:t xml:space="preserve"> </w:t>
      </w:r>
      <w:r>
        <w:rPr>
          <w:b/>
          <w:bCs/>
        </w:rPr>
        <w:t xml:space="preserve">S/1,182 millones</w:t>
      </w:r>
      <w:r>
        <w:t xml:space="preserve">.</w:t>
      </w:r>
    </w:p>
    <w:p>
      <w:pPr>
        <w:pStyle w:val="BodyText"/>
      </w:pPr>
      <w:r>
        <w:t xml:space="preserve">Análisis: estos coinciden con los asientos de</w:t>
      </w:r>
      <w:r>
        <w:t xml:space="preserve"> </w:t>
      </w:r>
      <w:r>
        <w:rPr>
          <w:b/>
          <w:bCs/>
        </w:rPr>
        <w:t xml:space="preserve">cierre del ejercicio 2026</w:t>
      </w:r>
      <w:r>
        <w:t xml:space="preserve"> </w:t>
      </w:r>
      <w:r>
        <w:t xml:space="preserve">(fecha 31/12/2026) que se han cargado proyectivamente. Es práctica estructural en S10 (cierres anuales preasignados), pero por el volumen y monto debe verificarse:</w:t>
      </w:r>
    </w:p>
    <w:p>
      <w:pPr>
        <w:pStyle w:val="Compact"/>
        <w:numPr>
          <w:ilvl w:val="0"/>
          <w:numId w:val="1002"/>
        </w:numPr>
      </w:pPr>
      <w:r>
        <w:t xml:space="preserve">¿Son cierres legítimos o partidas duplicadas?</w:t>
      </w:r>
    </w:p>
    <w:p>
      <w:pPr>
        <w:pStyle w:val="Compact"/>
        <w:numPr>
          <w:ilvl w:val="0"/>
          <w:numId w:val="1002"/>
        </w:numPr>
      </w:pPr>
      <w:r>
        <w:t xml:space="preserve">¿Por qué CMO los tiene y las otras 3 empresas no?</w:t>
      </w:r>
    </w:p>
    <w:p>
      <w:pPr>
        <w:pStyle w:val="FirstParagraph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Auditoría de los asientos</w:t>
      </w:r>
      <w:r>
        <w:t xml:space="preserve"> </w:t>
      </w:r>
      <w:r>
        <w:rPr>
          <w:rStyle w:val="VerbatimChar"/>
        </w:rPr>
        <w:t xml:space="preserve">WHERE FechaAplicacion &gt; GETDATE()</w:t>
      </w:r>
      <w:r>
        <w:t xml:space="preserve"> </w:t>
      </w:r>
      <w:r>
        <w:t xml:space="preserve">en CMO. Validar legitimidad antes del cierre.</w:t>
      </w:r>
    </w:p>
    <w:bookmarkEnd w:id="16"/>
    <w:bookmarkStart w:id="17" w:name="Xb0bfe1321de4a3d4d5bca58fdc7ca9b37ffb633"/>
    <w:p>
      <w:pPr>
        <w:pStyle w:val="Heading2"/>
      </w:pPr>
      <w:r>
        <w:t>N04 — AMERICANA: ORIGEN DEL −S/13M BBVA MN ESTÁ EN ENERO 2026</w:t>
      </w:r>
    </w:p>
    <w:p>
      <w:pPr>
        <w:pStyle w:val="FirstParagraph"/>
      </w:pPr>
      <w:r>
        <w:rPr>
          <w:b/>
          <w:bCs/>
        </w:rPr>
        <w:t xml:space="preserve">Validación V24</w:t>
      </w:r>
      <w:r>
        <w:t xml:space="preserve"> </w:t>
      </w:r>
      <w:r>
        <w:t xml:space="preserve">revela que en enero 2026:</w:t>
      </w:r>
    </w:p>
    <w:p>
      <w:pPr>
        <w:pStyle w:val="Compact"/>
        <w:numPr>
          <w:ilvl w:val="0"/>
          <w:numId w:val="1003"/>
        </w:numPr>
      </w:pPr>
      <w:r>
        <w:t xml:space="preserve">OB_Pago (módulo Tesorería):</w:t>
      </w:r>
      <w:r>
        <w:t xml:space="preserve"> </w:t>
      </w:r>
      <w:r>
        <w:rPr>
          <w:b/>
          <w:bCs/>
        </w:rPr>
        <w:t xml:space="preserve">12 pagos por S/165,586</w:t>
      </w:r>
    </w:p>
    <w:p>
      <w:pPr>
        <w:pStyle w:val="Compact"/>
        <w:numPr>
          <w:ilvl w:val="0"/>
          <w:numId w:val="1003"/>
        </w:numPr>
      </w:pPr>
      <w:r>
        <w:t xml:space="preserve">AsientoContable clase 10 (créditos a bancos):</w:t>
      </w:r>
      <w:r>
        <w:t xml:space="preserve"> </w:t>
      </w:r>
      <w:r>
        <w:rPr>
          <w:b/>
          <w:bCs/>
        </w:rPr>
        <w:t xml:space="preserve">S/13,782,205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Diferencia: S/13,616,619</w:t>
      </w:r>
      <w:r>
        <w:t xml:space="preserve"> </w:t>
      </w:r>
      <w:r>
        <w:t xml:space="preserve">≈ exactamente el −S/13M del BBVA MN</w:t>
      </w:r>
    </w:p>
    <w:p>
      <w:pPr>
        <w:pStyle w:val="FirstParagraph"/>
      </w:pPr>
      <w:r>
        <w:rPr>
          <w:b/>
          <w:bCs/>
        </w:rPr>
        <w:t xml:space="preserve">Esto indica que el saldo negativo NO proviene de pagos reales sino de un movimiento contable que NO pasó por el módulo de Tesorería.</w:t>
      </w:r>
      <w:r>
        <w:t xml:space="preserve"> </w:t>
      </w:r>
      <w:r>
        <w:t xml:space="preserve">Probables candidatos: asiento de apertura mal cargado, transferencia entre cuentas no compensada, o ajuste contable directo.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Identificar el(los) asiento(s) específico(s) en</w:t>
      </w:r>
      <w:r>
        <w:t xml:space="preserve"> </w:t>
      </w:r>
      <w:r>
        <w:rPr>
          <w:rStyle w:val="VerbatimChar"/>
        </w:rPr>
        <w:t xml:space="preserve">AsientoContable WHERE codEmpresa='80688524' AND CodCuenta LIKE '10410013%' AND FechaAplicacionContable BETWEEN '2026-01-01' AND '2026-01-31'</w:t>
      </w:r>
      <w:r>
        <w:t xml:space="preserve">.</w:t>
      </w:r>
    </w:p>
    <w:bookmarkEnd w:id="17"/>
    <w:bookmarkStart w:id="18" w:name="Xb6a766977f2f6348fcd364c040fcb197916dfef"/>
    <w:p>
      <w:pPr>
        <w:pStyle w:val="Heading2"/>
      </w:pPr>
      <w:r>
        <w:t>N05 — INTEGRAL PRESTÓ S/11.1M A CMO (MAYOR EXPOSICIÓN INTERCOMPAÑÍA DEL GRUPO)</w:t>
      </w:r>
    </w:p>
    <w:p>
      <w:pPr>
        <w:pStyle w:val="FirstParagraph"/>
      </w:pPr>
      <w:r>
        <w:rPr>
          <w:b/>
          <w:bCs/>
        </w:rPr>
        <w:t xml:space="preserve">Validación V14</w:t>
      </w:r>
      <w:r>
        <w:t xml:space="preserve"> </w:t>
      </w:r>
      <w:r>
        <w:t xml:space="preserve">muestra: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 origen</w:t>
            </w:r>
          </w:p>
        </w:tc>
        <w:tc>
          <w:tcPr/>
          <w:p>
            <w:pPr>
              <w:pStyle w:val="Compact"/>
            </w:pPr>
            <w:r>
              <w:t xml:space="preserve">Tercero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(en favor del origen)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CMO GROUP S.A.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+S/11,102,290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+S/1,430,971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+S/301,786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CMO GROUP S.A.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+S/2,037,487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+S/1,790,102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+S/585,184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+S/2,747,840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+S/17,350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CONSOLIDADO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~S/20,005,716</w:t>
            </w:r>
          </w:p>
        </w:tc>
      </w:tr>
    </w:tbl>
    <w:p>
      <w:pPr>
        <w:pStyle w:val="BodyText"/>
      </w:pPr>
      <w:r>
        <w:rPr>
          <w:b/>
          <w:bCs/>
        </w:rPr>
        <w:t>Total real del intercompañía del grupo = S/20M, no los S/123M de la extracción inicial. La mayor exposición individual es INTEGRAL→CMO por S/11.1M (clase 16, cuentas 16120001 y 16120002).</w:t>
      </w:r>
      <w:r/>
      <w:r/>
      <w:r>
        <w:rPr>
          <w:b/>
          <w:bCs/>
        </w:rPr>
      </w:r>
      <w:r/>
      <w:r/>
    </w:p>
    <w:p>
      <w:pPr>
        <w:pStyle w:val="BodyText"/>
      </w:pPr>
      <w:r>
        <w:rPr>
          <w:b/>
          <w:bCs/>
        </w:rPr>
        <w:t>Acción recomendada: El Estudio Técnico de Precios de Transferencia (Art. 32-A LIR) sigue siendo necesario por el volumen, pero su prioridad debe reescalarse y la contingencia tributaria por dividendos presuntos debe recalcularse: 29.5% × S/11.1M = S/3.27M máximo (no S/2.7M de la extracción inicial, basado en S/123M).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>
        <w:rPr>
          <w:b/>
          <w:bCs/>
        </w:rPr>
      </w:r>
      <w:r/>
      <w:r/>
    </w:p>
    <w:bookmarkEnd w:id="18"/>
    <w:bookmarkStart w:id="19" w:name="Xfca34243c90f42507909e7a45d7dd76bd163606"/>
    <w:p>
      <w:pPr>
        <w:pStyle w:val="Heading2"/>
      </w:pPr>
      <w:r>
        <w:t>N06 — CTS MAYO 2026 AÚN NO DEPOSITADO POR AMERICANA NI MEDARQ</w:t>
      </w:r>
    </w:p>
    <w:p>
      <w:pPr>
        <w:pStyle w:val="FirstParagraph"/>
      </w:pPr>
      <w:r>
        <w:rPr>
          <w:b/>
          <w:bCs/>
        </w:rPr>
        <w:t xml:space="preserve">Validación V07</w:t>
      </w:r>
      <w:r>
        <w:t xml:space="preserve"> </w:t>
      </w:r>
      <w:r>
        <w:t xml:space="preserve">al 11/05/2026: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Noviembre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Mayo 2026 (vence 15/05)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S/64,285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S/55,309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S/53,571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S/106,069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Prov S/4,069,</w:t>
            </w:r>
            <w:r>
              <w:t xml:space="preserve"> </w:t>
            </w:r>
            <w:r>
              <w:rPr>
                <w:b/>
                <w:bCs/>
              </w:rPr>
              <w:t xml:space="preserve">Dep 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S/59,674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Prov S/1,293,</w:t>
            </w:r>
            <w:r>
              <w:t xml:space="preserve"> </w:t>
            </w:r>
            <w:r>
              <w:rPr>
                <w:b/>
                <w:bCs/>
              </w:rPr>
              <w:t xml:space="preserve">Dep 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S/19,374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 4 días del vencimiento legal (15/05/2026), ninguna empresa ha depositado el CTS del primer semestre 2026.</w:t>
      </w:r>
      <w:r>
        <w:t xml:space="preserve"> </w:t>
      </w:r>
      <w:r>
        <w:t xml:space="preserve">Esto convertirá a las 4 empresas en infractoras DL 650 si no depositan a tiempo.</w:t>
      </w:r>
    </w:p>
    <w:bookmarkEnd w:id="19"/>
    <w:bookmarkStart w:id="20" w:name="Xd7740e41cfa196ff0cd5432cac65ae109646acd"/>
    <w:p>
      <w:pPr>
        <w:pStyle w:val="Heading2"/>
      </w:pPr>
      <w:r>
        <w:t>N07 — INTEGRAL TIENE S/287K NETO A FAVOR EN RENTA DE 3ª (POSIBLE RECUPERACIÓN)</w:t>
      </w:r>
    </w:p>
    <w:p>
      <w:pPr>
        <w:pStyle w:val="FirstParagraph"/>
      </w:pPr>
      <w:r>
        <w:rPr>
          <w:b/>
          <w:bCs/>
        </w:rPr>
        <w:t xml:space="preserve">Validación V18</w:t>
      </w:r>
      <w:r>
        <w:t xml:space="preserve"> </w:t>
      </w:r>
      <w:r>
        <w:t xml:space="preserve">muestra en INTEGRAL: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40171001 Pago a cuenta Renta de Tercera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−S/1,537,815</w:t>
            </w:r>
            <w:r>
              <w:t xml:space="preserve"> </w:t>
            </w:r>
            <w:r>
              <w:t xml:space="preserve">(a favor)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40171000 Impuesto Regularización 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+S/1,250,081 (por pagar)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Neto Renta Tercera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−S/287,734</w:t>
            </w:r>
            <w:r>
              <w:t xml:space="preserve"> </w:t>
            </w:r>
            <w:r>
              <w:t xml:space="preserve">(a favor empresa)</w:t>
            </w:r>
          </w:p>
        </w:tc>
      </w:tr>
    </w:tbl>
    <w:p>
      <w:pPr>
        <w:pStyle w:val="BodyText"/>
      </w:pPr>
      <w:r>
        <w:t xml:space="preserve">INTEGRAL tiene un</w:t>
      </w:r>
      <w:r>
        <w:t xml:space="preserve"> </w:t>
      </w:r>
      <w:r>
        <w:rPr>
          <w:b/>
          <w:bCs/>
        </w:rPr>
        <w:t xml:space="preserve">crédito tributario neto de S/287,734</w:t>
      </w:r>
      <w:r>
        <w:t xml:space="preserve"> </w:t>
      </w:r>
      <w:r>
        <w:t xml:space="preserve">en SUNAT por Renta de Tercera Categoría. Si la Declaración Jurada Anual 2025 ya fue presentada, este crédito debería poder</w:t>
      </w:r>
      <w:r>
        <w:t xml:space="preserve"> </w:t>
      </w:r>
      <w:r>
        <w:rPr>
          <w:b/>
          <w:bCs/>
        </w:rPr>
        <w:t xml:space="preserve">compensarse o solicitarse devolución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Verificar status de DJ Anual 2025 INTEGRAL. Gestionar compensación contra IGV (S/195,183 por pagar) → ahorro fiscal inmediato S/195K.</w:t>
      </w:r>
    </w:p>
    <w:bookmarkEnd w:id="20"/>
    <w:bookmarkEnd w:id="21"/>
    <w:bookmarkStart w:id="47" w:name="Xe5620035cbc5805e0669d03b46bc2182c15d0d6"/>
    <w:p>
      <w:pPr>
        <w:pStyle w:val="Heading1"/>
      </w:pPr>
      <w:r>
        <w:t xml:space="preserve">4. DETALLE DE LAS 18 VALIDACIONES (FINDING-BY-FINDING)</w:t>
      </w:r>
    </w:p>
    <w:p>
      <w:pPr>
        <w:pStyle w:val="FirstParagraph"/>
      </w:pPr>
      <w:r>
        <w:t xml:space="preserve">A continuación, el detalle de cada validación con la query S10 ejecutada y el resultado real.</w:t>
      </w:r>
    </w:p>
    <w:bookmarkStart w:id="22" w:name="v01-partida-doble"/>
    <w:p>
      <w:pPr>
        <w:pStyle w:val="Heading2"/>
      </w:pPr>
      <w:r>
        <w:t xml:space="preserve">V01 — Partida doble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¿Suma de débitos = suma de créditos en cada empresa?</w:t>
      </w:r>
    </w:p>
    <w:p>
      <w:pPr>
        <w:pStyle w:val="BodyText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 Débito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 Crédito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Descuadre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629,643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13,228,931,357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13,228,935,232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−S/3,875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418,579,060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418,579,060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296,605,978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296,605,978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36,584,328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36,584,328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Contabilidad balanceada. El descuadre de CMO (−S/3,875 sobre S/13,228 millones) es</w:t>
      </w:r>
      <w:r>
        <w:t xml:space="preserve"> </w:t>
      </w:r>
      <w:r>
        <w:rPr>
          <w:b/>
          <w:bCs/>
        </w:rPr>
        <w:t xml:space="preserve">0.00003%</w:t>
      </w:r>
      <w:r>
        <w:t xml:space="preserve"> </w:t>
      </w:r>
      <w:r>
        <w:t xml:space="preserve">— material para una auditoría forense pero no para los Estados Financieros del año.</w:t>
      </w:r>
    </w:p>
    <w:bookmarkEnd w:id="22"/>
    <w:bookmarkStart w:id="23" w:name="v02-asientos-de-apertura"/>
    <w:p>
      <w:pPr>
        <w:pStyle w:val="Heading2"/>
      </w:pPr>
      <w:r>
        <w:t xml:space="preserve">V02 — Asientos de apertura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¿CMO tiene asiento de apertura 2026?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rPr>
          <w:b/>
          <w:bCs/>
        </w:rPr>
        <w:t xml:space="preserve">SÍ, EXISTE.</w:t>
      </w:r>
      <w:r>
        <w:t xml:space="preserve"> </w:t>
      </w:r>
      <w:r>
        <w:t xml:space="preserve">Todas las empresas tienen apertura 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 apertura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S/592,760,031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S/39,481,663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S/29,793,200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S/2,946,115</w:t>
            </w:r>
          </w:p>
        </w:tc>
      </w:tr>
    </w:tbl>
    <w:p>
      <w:pPr>
        <w:pStyle w:val="BodyText"/>
      </w:pPr>
      <w:r>
        <w:rPr>
          <w:b/>
          <w:bCs/>
        </w:rPr>
        <w:t>Veredicto: 🔴 HALLAZGO PREVIO SIN SUSTENTO EN S10. La extracción inicial mostró “Capital aparece S/0”. Lo cierto es que el sistema sí cargó la apertura, pero el resultado que aparece S/0 (o muy bajo) es porque el patrimonio neto de CMO al 01/01/2026 es negativo, no porque falte el asiento.</w:t>
      </w:r>
      <w:r/>
      <w:r/>
      <w:r/>
      <w:r>
        <w:rPr>
          <w:b/>
          <w:bCs/>
        </w:rPr>
      </w:r>
      <w:r/>
      <w:r/>
      <w:r/>
      <w:r/>
      <w:r/>
      <w:r/>
      <w:r>
        <w:rPr>
          <w:b/>
          <w:bCs/>
        </w:rPr>
      </w:r>
      <w:r/>
      <w:r/>
      <w:r>
        <w:rPr>
          <w:b/>
          <w:bCs/>
        </w:rPr>
      </w:r>
      <w:r/>
      <w:r/>
      <w:r/>
      <w:r>
        <w:rPr>
          <w:b/>
          <w:bCs/>
        </w:rPr>
      </w:r>
      <w:r/>
    </w:p>
    <w:bookmarkEnd w:id="23"/>
    <w:bookmarkStart w:id="24" w:name="v03-patrimonio-detalle"/>
    <w:p>
      <w:pPr>
        <w:pStyle w:val="Heading2"/>
      </w:pPr>
      <w:r>
        <w:t xml:space="preserve">V03 — Patrimonio detalle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¿Cuál es el verdadero capital social registrado por empresa?</w:t>
      </w:r>
    </w:p>
    <w:p>
      <w:pPr>
        <w:pStyle w:val="BodyText"/>
      </w:pPr>
      <w:r>
        <w:rPr>
          <w:b/>
          <w:bCs/>
        </w:rPr>
        <w:t xml:space="preserve">Resultado: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Cta 50 (Capital)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Cta 58 (Reservas)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Cta 59 (Resultados)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+S/5.08M / −S/2.2M / −S/7K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S/1,000 (cta 50110100)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+S/45,572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S/1,000 (cta 50110100)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S/1,200,000 (cta 50110100) + S/9,937 (cta 50120100 Participaciones)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−S/16,840</w:t>
            </w:r>
          </w:p>
        </w:tc>
      </w:tr>
    </w:tbl>
    <w:p>
      <w:pPr>
        <w:pStyle w:val="BodyText"/>
      </w:pPr>
      <w:r>
        <w:rPr>
          <w:b/>
          <w:bCs/>
        </w:rPr>
        <w:t>Veredicto: 🟡 CORRECCIÓN AL INFORME: - CMO NO tiene capital social registrado en clase 50. El “S/78.3M” de la extracción inicial debe revisarse contra Registros Públicos (escritura pública). Lo que existe contablemente son resultados acumulados, con saldo neto −S/2.87M (patrimonio negativo). - Capital social INTEGRAL = S/1,000 ✅ - Capital social AMERICANA = S/1,000 ✅ - Capital social MEDARQ = S/1,200,000 ✅ - Reserva Legal (cta 58) ausente en las 4 empresas ✅ — confirma hallazgo previo</w:t>
      </w:r>
      <w:r/>
      <w:r/>
      <w:r/>
      <w:r>
        <w:rPr>
          <w:b/>
          <w:bCs/>
        </w:rPr>
      </w:r>
      <w:r/>
      <w:r/>
      <w:r/>
      <w:r/>
      <w:r>
        <w:rPr>
          <w:b/>
          <w:bCs/>
        </w:rPr>
      </w:r>
      <w:r/>
      <w:r/>
      <w:r/>
      <w:r/>
      <w:r/>
      <w:r/>
      <w:r/>
      <w:r>
        <w:rPr>
          <w:b/>
          <w:bCs/>
        </w:rPr>
      </w:r>
      <w:r/>
      <w:r/>
      <w:r/>
      <w:r/>
      <w:r/>
      <w:r/>
      <w:r/>
      <w:r/>
      <w:r/>
      <w:r/>
      <w:r>
        <w:rPr>
          <w:b/>
          <w:bCs/>
        </w:rPr>
      </w:r>
      <w:r/>
      <w:r/>
    </w:p>
    <w:bookmarkEnd w:id="24"/>
    <w:bookmarkStart w:id="25" w:name="v04-facturas-emitidas-sin-asiento"/>
    <w:p>
      <w:pPr>
        <w:pStyle w:val="Heading2"/>
      </w:pPr>
      <w:r>
        <w:t xml:space="preserve">V04 — Facturas emitidas sin asiento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¿Cuántas facturas emitidas no tienen asiento contable de ingreso correspondiente?</w:t>
      </w:r>
    </w:p>
    <w:p>
      <w:pPr>
        <w:pStyle w:val="BodyText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 actual (2026)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 anterior (2025)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Histórico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1,229 facturas / S/322M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S/153,284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/ S/3,873,418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/ S/5,525,303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S/0.68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S/11,911,340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S/55,103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S/55,103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con matiz. Las 8 facturas sin asiento de 2026 de INTEGRAL (S/153K) son pocas vs el gap de reconciliación S/1.83M. La diferencia se explica por timing (factura emitida 30/abril pero asiento clase 70 con fecha distinta) — ver V17 para reconciliación temporal.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bookmarkEnd w:id="25"/>
    <w:bookmarkStart w:id="26" w:name="v05-ingresos-sin-documento"/>
    <w:p>
      <w:pPr>
        <w:pStyle w:val="Heading2"/>
      </w:pPr>
      <w:r>
        <w:t xml:space="preserve">V05 — Ingresos sin documento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¿Cuántos asientos clase 70 NO referencian un NroD?</w:t>
      </w:r>
    </w:p>
    <w:p>
      <w:pPr>
        <w:pStyle w:val="BodyText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 MEDARQ: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Crédito</w:t>
            </w:r>
          </w:p>
        </w:tc>
        <w:tc>
          <w:tcPr/>
          <w:p>
            <w:pPr>
              <w:pStyle w:val="Compact"/>
            </w:pPr>
            <w:r>
              <w:t xml:space="preserve">Glosa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28/02/2026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SERVICIO DE BACK OFFICE FEB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02/03/2026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EXTORNO SERVICIO BACK OFFICE FEB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SERVICIO DE BACK OFFICE ENE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SERVICIO DE BACK OFFICE DIC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03/02/2026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EXTORNO DE PROVISION BACK OFFICE ENE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31/03/2026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SERVICIOS PRESTADOS MAR 26 (FT E001-24-ADELANTO)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27/02/2026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EXTORNO PROVISION GESTION 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30/04/2026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SERVICIOS PRESTADOS ABR 26 (FT E001-24-ADELANTO)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GESTION ACTIVA ENE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27/02/2026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EXTORNO PROVISION GESTION ACTIVA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con matiz. 6 asientos con monto real (S/225,000) + 4 extornos (S/0). El “S/400K” de la extracción inicial es la suma del crédito original incluyendo el asiento de 100K. MEDARQ debe vincular estos asientos a sus respectivas facturas emitidas (FT E001-24-ADELANTO) o documentar la provisión NIIF 15.</w:t>
      </w:r>
      <w:r/>
      <w:r/>
      <w:r/>
      <w:r>
        <w:rPr>
          <w:b/>
          <w:bCs/>
        </w:rPr>
      </w:r>
      <w:r/>
      <w:r/>
      <w:r/>
      <w:r/>
      <w:r/>
      <w:r/>
      <w:r/>
      <w:r>
        <w:rPr>
          <w:b/>
          <w:bCs/>
        </w:rPr>
      </w:r>
    </w:p>
    <w:bookmarkEnd w:id="26"/>
    <w:bookmarkStart w:id="27" w:name="v06-sueldos-por-pagar-cta-4111"/>
    <w:p>
      <w:pPr>
        <w:pStyle w:val="Heading2"/>
      </w:pPr>
      <w:r>
        <w:t xml:space="preserve">V06 — Sueldos por pagar (cta 4111)</w:t>
      </w:r>
    </w:p>
    <w:p>
      <w:pPr>
        <w:pStyle w:val="FirstParagraph"/>
      </w:pPr>
      <w:r>
        <w:rPr>
          <w:b/>
          <w:bCs/>
        </w:rPr>
        <w:t xml:space="preserve">Resultado — Saldo acumulado pendiente al 11/05/2026: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−S/83,347 (sobre-pago)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−S/31,634 (sobre-pago)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−S/5,290 (al día)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+S/196,277 (pendiente)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con precisión. El “S/196K” del informe es exacto. El detalle por mes muestra que MEDARQ provisionó S/198K en enero 2026 pero pagó S/0 en enero, y en abril pagó S/139K (atrasado). Hay sueldos pendientes de meses anteriores acumulados.</w:t>
      </w:r>
      <w:r/>
      <w:r/>
      <w:r/>
      <w:r>
        <w:rPr>
          <w:b/>
          <w:bCs/>
        </w:rPr>
      </w:r>
      <w:r/>
      <w:r/>
      <w:r/>
      <w:r/>
      <w:r/>
      <w:r/>
      <w:r/>
      <w:r>
        <w:rPr>
          <w:b/>
          <w:bCs/>
        </w:rPr>
      </w:r>
      <w:r/>
      <w:r/>
    </w:p>
    <w:bookmarkEnd w:id="27"/>
    <w:bookmarkStart w:id="28" w:name="v07-cts-depósitos-por-añomes"/>
    <w:p>
      <w:pPr>
        <w:pStyle w:val="Heading2"/>
      </w:pPr>
      <w:r>
        <w:t xml:space="preserve">V07 — CTS depósitos por año/mes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¿Hubo depósito en mayo y noviembre de cada año?</w:t>
      </w:r>
    </w:p>
    <w:p>
      <w:pPr>
        <w:pStyle w:val="BodyText"/>
      </w:pPr>
      <w:r>
        <w:rPr>
          <w:b/>
          <w:bCs/>
        </w:rPr>
        <w:t xml:space="preserve">Resultado simplificado: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M11/2024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M11/2025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S/58,520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S/26,466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S/55,309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S/2,502 (M4)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S/53,571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S/106,069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(sin data)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S/59,674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(sin data)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S/19,374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SUSTENTADO. AMERICANA y MEDARQ no depositaron CTS mayo 2025 (sí provisionaron). A 4 días del vencimiento mayo 2026, NADIE ha depositado aún — riesgo SUNAFIL inminente.</w:t>
      </w:r>
      <w:r/>
      <w:r/>
      <w:r/>
      <w:r>
        <w:rPr>
          <w:b/>
          <w:bCs/>
        </w:rPr>
      </w:r>
      <w:r/>
      <w:r/>
    </w:p>
    <w:bookmarkEnd w:id="28"/>
    <w:bookmarkStart w:id="29" w:name="v08-participaciones-dl-892"/>
    <w:p>
      <w:pPr>
        <w:pStyle w:val="Heading2"/>
      </w:pPr>
      <w:r>
        <w:t xml:space="preserve">V08 — Participaciones DL 892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Prov S/410K → Pag S/410K</w:t>
            </w:r>
          </w:p>
        </w:tc>
        <w:tc>
          <w:tcPr/>
          <w:p>
            <w:pPr>
              <w:pStyle w:val="Compact"/>
            </w:pPr>
            <w:r>
              <w:t xml:space="preserve">Prov S/410K → Pag S/410K</w:t>
            </w:r>
          </w:p>
        </w:tc>
        <w:tc>
          <w:tcPr/>
          <w:p>
            <w:pPr>
              <w:pStyle w:val="Compact"/>
            </w:pPr>
            <w:r>
              <w:t xml:space="preserve">Prov S/410K → Pag S/410K</w:t>
            </w:r>
          </w:p>
        </w:tc>
        <w:tc>
          <w:tcPr/>
          <w:p>
            <w:pPr>
              <w:pStyle w:val="Compact"/>
            </w:pPr>
            <w:r>
              <w:t xml:space="preserve">Prov S/410K → Pag S/410K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Prov S/212K → Pag S/212K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 S/212K → Pag 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con precisión exacta. INTEGRAL tiene S/211,878 provisionados y S/0 pagados en 2026 (vencimiento legal 30/04/2026). AMERICANA y MEDARQ no usan cuenta 413 contablemente — esto debe revisarse: ¿no aplican DL 892 por tipo de actividad, o lo registran en otra cuenta?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bookmarkEnd w:id="29"/>
    <w:bookmarkStart w:id="30" w:name="v09-bancos-detalle-clase-10-por-año"/>
    <w:p>
      <w:pPr>
        <w:pStyle w:val="Heading2"/>
      </w:pPr>
      <w:r>
        <w:t xml:space="preserve">V09 — Bancos detalle (clase 10) por año</w:t>
      </w:r>
    </w:p>
    <w:p>
      <w:pPr>
        <w:pStyle w:val="FirstParagraph"/>
      </w:pPr>
      <w:r>
        <w:rPr>
          <w:b/>
          <w:bCs/>
        </w:rPr>
        <w:t xml:space="preserve">Resultado AMERICANA BBVA Continental MN (cuenta 10410013):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 de 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+S/170,766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Hoy (11/05/2026)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−S/13,034,687</w:t>
            </w:r>
          </w:p>
        </w:tc>
      </w:tr>
    </w:tbl>
    <w:p>
      <w:pPr>
        <w:pStyle w:val="BodyText"/>
      </w:pPr>
      <w:r>
        <w:rPr>
          <w:b/>
          <w:bCs/>
        </w:rPr>
        <w:t>Veredicto: 🔵 AJUSTE MATERIAL. La extracción inicial mostraba “−S/13M desde 2023”. La realidad es que el saldo negativo apareció en 2026, no en 2023. Ver hallazgo nuevo N04 para origen probable (transferencia/apertura no compensada en enero 2026).</w:t>
      </w:r>
      <w:r/>
      <w:r/>
      <w:r/>
      <w:r>
        <w:rPr>
          <w:b/>
          <w:bCs/>
        </w:rPr>
      </w:r>
      <w:r/>
      <w:r/>
      <w:r/>
      <w:r/>
      <w:r/>
      <w:r/>
      <w:r>
        <w:rPr>
          <w:b/>
          <w:bCs/>
        </w:rPr>
      </w:r>
      <w:r/>
    </w:p>
    <w:bookmarkEnd w:id="30"/>
    <w:bookmarkStart w:id="31" w:name="v10-ob_cuentabanco-estados-cargados"/>
    <w:p>
      <w:pPr>
        <w:pStyle w:val="Heading2"/>
      </w:pPr>
      <w:r>
        <w:t xml:space="preserve">V10 — OB_CuentaBanco estados cargados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Cuentas activas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estados cargados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sin estados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 (todas)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(todas)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SUSTENTADO. AMERICANA y MEDARQ nunca han cargado un solo estado de cuenta en el módulo OB_EstadoBanco de S10. INTEGRAL solo tiene 1 cuenta con estados (hasta 31/03/2024). Esto es falta de control interno crítica.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</w:p>
    <w:bookmarkEnd w:id="31"/>
    <w:bookmarkStart w:id="32" w:name="v11-bancarización-ley-28194"/>
    <w:p>
      <w:pPr>
        <w:pStyle w:val="Heading2"/>
      </w:pPr>
      <w:r>
        <w:t xml:space="preserve">V11 — Bancarización Ley 28194</w:t>
      </w:r>
    </w:p>
    <w:p>
      <w:pPr>
        <w:pStyle w:val="FirstParagraph"/>
      </w:pPr>
      <w:r>
        <w:rPr>
          <w:b/>
          <w:bCs/>
        </w:rPr>
        <w:t xml:space="preserve">Resultado para pagos &gt; S/3,500 (MN) ó &gt; US$1,000 (ME) en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Materiales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Bancarizados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Compensación 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Canje Letra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Bancarizados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100%. CMO no usa OB_Pago en 2026 — sus pagos están en AsientoContable directo (modelo distinto). Bancarización 28194 cumple sin excepciones en las 3 empresas que usan OB_Pago.</w:t>
      </w:r>
      <w:r/>
      <w:r/>
      <w:r/>
      <w:r>
        <w:rPr>
          <w:b/>
          <w:bCs/>
        </w:rPr>
      </w:r>
      <w:r/>
      <w:r/>
    </w:p>
    <w:bookmarkEnd w:id="32"/>
    <w:bookmarkStart w:id="33" w:name="v12-cliente-pergola-aging"/>
    <w:p>
      <w:pPr>
        <w:pStyle w:val="Heading2"/>
      </w:pPr>
      <w:r>
        <w:t xml:space="preserve">V12 — Cliente PERGOLA aging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131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Docs PERGOLA pendientes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Vencidos &gt;90d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Vencidos &gt;180d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S/485,985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S/2,792,322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S/3,002,719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(100%)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+ EXTENDIDO. AMERICANA: 100% vencido &gt;180 días, monto exacto. NUEVO: INTEGRAL también tiene S/2.79M expuesto a PERGOLA (no estaba en el extracción inicial); CMO S/486K. Exposición consolidada del grupo a PERGOLA = S/6.28M.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</w:p>
    <w:bookmarkEnd w:id="33"/>
    <w:bookmarkStart w:id="34" w:name="v13-concentración-cxc-top-clientes"/>
    <w:p>
      <w:pPr>
        <w:pStyle w:val="Heading2"/>
      </w:pPr>
      <w:r>
        <w:t xml:space="preserve">V13 — Concentración CxC (top clientes)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Cliente 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CxC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PERGOLA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S/3,002,719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SAGITARIO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S/648,528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CONSORCIO SALUD MONTENEGRO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S/418,020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45.9%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+ NUEVOS. Concentración crítica en AMERICANA confirmada; concentración material adicional en INTEGRAL (SAGITARIO 41.6%) y MEDARQ (MONTENEGRO 45.9%) no fue documentada en el extracción inicial — debe incluirse en el análisis de riesgo crediticio.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bookmarkEnd w:id="34"/>
    <w:bookmarkStart w:id="35" w:name="v14-intercompañía-consolidado"/>
    <w:p>
      <w:pPr>
        <w:pStyle w:val="Heading2"/>
      </w:pPr>
      <w:r>
        <w:t xml:space="preserve">V14 — Intercompañía consolidado</w:t>
      </w:r>
    </w:p>
    <w:p>
      <w:pPr>
        <w:pStyle w:val="FirstParagraph"/>
      </w:pPr>
      <w:r>
        <w:rPr>
          <w:b/>
          <w:bCs/>
        </w:rPr>
        <w:t xml:space="preserve">Resultado por empresa (CxC contra terceros del grupo):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intercompany</w:t>
            </w:r>
          </w:p>
        </w:tc>
        <w:tc>
          <w:tcPr/>
          <w:p>
            <w:pPr>
              <w:pStyle w:val="Compact"/>
            </w:pPr>
            <w:r>
              <w:t xml:space="preserve">Mayor contraparte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S/2,740,547</w:t>
            </w:r>
          </w:p>
        </w:tc>
        <w:tc>
          <w:tcPr/>
          <w:p>
            <w:pPr>
              <w:pStyle w:val="Compact"/>
            </w:pPr>
            <w:r>
              <w:t xml:space="preserve">AMERICANA (S/2.74M)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S/4,412,772</w:t>
            </w:r>
          </w:p>
        </w:tc>
        <w:tc>
          <w:tcPr/>
          <w:p>
            <w:pPr>
              <w:pStyle w:val="Compact"/>
            </w:pPr>
            <w:r>
              <w:t xml:space="preserve">CMO (S/2.04M)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S/12,835,047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(S/11.10M)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S/17,350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~S/20,005,716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>Veredicto: 🔴 HALLAZGO PREVIO SIN SUSTENTO EN S10. El intercompany total del grupo es ~S/20M, no S/123M. La contingencia por dividendos presuntos (Art. 24-A LIR) debe recalcularse: 29.5% × S/11.1M (mayor saldo individual) = S/3.27M máximo, lo que es similar al S/2.7M previo, pero el sustento factual es distinto.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>
        <w:rPr>
          <w:b/>
          <w:bCs/>
        </w:rPr>
      </w:r>
      <w:r/>
      <w:r/>
      <w:r>
        <w:rPr>
          <w:b/>
          <w:bCs/>
        </w:rPr>
      </w:r>
      <w:r/>
    </w:p>
    <w:bookmarkEnd w:id="35"/>
    <w:bookmarkStart w:id="36" w:name="v15-activo-fijo-coherencia"/>
    <w:p>
      <w:pPr>
        <w:pStyle w:val="Heading2"/>
      </w:pPr>
      <w:r>
        <w:t xml:space="preserve">V15 — Activo Fijo coherencia</w:t>
      </w:r>
    </w:p>
    <w:p>
      <w:pPr>
        <w:pStyle w:val="FirstParagraph"/>
      </w:pPr>
      <w:r>
        <w:rPr>
          <w:b/>
          <w:bCs/>
        </w:rPr>
        <w:t>Veredicto: 🟢 SUSTENTADO. CMO presenta anomalía severa (Cls 33 y 39 ambas negativas, valor neto −S/5,942); las otras 3 empresas con depreciación NIC 16 correcta.</w:t>
      </w:r>
      <w:r/>
      <w:r/>
      <w:r/>
      <w:r>
        <w:rPr>
          <w:b/>
          <w:bCs/>
        </w:rPr>
      </w:r>
      <w:r/>
      <w:r/>
    </w:p>
    <w:bookmarkEnd w:id="36"/>
    <w:bookmarkStart w:id="37" w:name="Xf8b6bdcbcdfdc129fc2499ca7e60800f2b0f224"/>
    <w:p>
      <w:pPr>
        <w:pStyle w:val="Heading2"/>
      </w:pPr>
      <w:r>
        <w:t xml:space="preserve">V16 — Trazabilidad OB_Pago ↔ DetalleAsignacion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 Asignación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Trazabilidad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100.00%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SUSTENTADO.</w:t>
      </w:r>
      <w:r/>
      <w:r/>
      <w:r/>
      <w:r>
        <w:rPr>
          <w:b/>
          <w:bCs/>
        </w:rPr>
      </w:r>
    </w:p>
    <w:bookmarkEnd w:id="37"/>
    <w:bookmarkStart w:id="38" w:name="X534ba410d5aedf0be90b1dfd89788e25ba780b9"/>
    <w:p>
      <w:pPr>
        <w:pStyle w:val="Heading2"/>
      </w:pPr>
      <w:r>
        <w:t xml:space="preserve">V17 — Reconciliación ingresos contables vs facturas emitidas (2026)</w:t>
      </w:r>
    </w:p>
    <w:p>
      <w:pPr>
        <w:pStyle w:val="FirstParagraph"/>
      </w:pPr>
      <w:r>
        <w:rPr>
          <w:b/>
          <w:bCs/>
        </w:rPr>
        <w:t xml:space="preserve">Resultado totales por empresa: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Contabilizado (cla 70/75)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Facturado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S/211,554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S/95,948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+S/115,606 (contabilizó más)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S/213,373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S/251,780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−S/38,407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S/2,680,926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S/4,512,725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−S/1,831,798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S/740,000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S/932,200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−S/192,200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con precisión decimal. El −S/1.83M de INTEGRAL es exacto (−S/1,831,798.44). Adicionalmente, MEDARQ tiene gap −S/192K y AMERICANA −S/38K que no estaban documentados.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</w:p>
    <w:bookmarkEnd w:id="38"/>
    <w:bookmarkStart w:id="39" w:name="v18-tributos-por-pagar-cta-40"/>
    <w:p>
      <w:pPr>
        <w:pStyle w:val="Heading2"/>
      </w:pPr>
      <w:r>
        <w:t xml:space="preserve">V18 — Tributos por pagar (cta 40*)</w:t>
      </w:r>
    </w:p>
    <w:p>
      <w:pPr>
        <w:pStyle w:val="FirstParagraph"/>
      </w:pPr>
      <w:r>
        <w:rPr>
          <w:b/>
          <w:bCs/>
        </w:rPr>
        <w:t xml:space="preserve">Resumen ejecutivo: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IGV cta propia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Renta 3a Neto</w:t>
            </w:r>
          </w:p>
        </w:tc>
        <w:tc>
          <w:tcPr/>
          <w:p>
            <w:pPr>
              <w:pStyle w:val="Compact"/>
            </w:pPr>
            <w:r>
              <w:t xml:space="preserve">Otros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+S/10,089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+S/13,005 (Renta 5ta)</w:t>
            </w:r>
          </w:p>
        </w:tc>
        <w:tc>
          <w:tcPr/>
          <w:p>
            <w:pPr>
              <w:pStyle w:val="Compact"/>
            </w:pPr>
            <w:r>
              <w:t xml:space="preserve">AFP +S/20,268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+S/149,297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−S/95,225 (a favor)</w:t>
            </w:r>
          </w:p>
        </w:tc>
        <w:tc>
          <w:tcPr/>
          <w:p>
            <w:pPr>
              <w:pStyle w:val="Compact"/>
            </w:pPr>
            <w:r>
              <w:t xml:space="preserve">ITAN −S/43,704 (a favor)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+S/195,183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−S/287,734 (a favor neto)</w:t>
            </w:r>
          </w:p>
        </w:tc>
        <w:tc>
          <w:tcPr/>
          <w:p>
            <w:pPr>
              <w:pStyle w:val="Compact"/>
            </w:pPr>
            <w:r>
              <w:t xml:space="preserve">ESSALUD +S/40,069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+S/14,208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−S/5,900 (a favor neto)</w:t>
            </w:r>
          </w:p>
        </w:tc>
        <w:tc>
          <w:tcPr/>
          <w:p>
            <w:pPr>
              <w:pStyle w:val="Compact"/>
            </w:pPr>
            <w:r>
              <w:t xml:space="preserve">Renta 5ta +S/26,083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+ NUEVO N07. INTEGRAL tiene crédito tributario neto de S/287K → posible recuperación o compensación contra IGV.</w:t>
      </w:r>
      <w:r/>
      <w:r/>
      <w:r/>
      <w:r>
        <w:rPr>
          <w:b/>
          <w:bCs/>
        </w:rPr>
      </w:r>
      <w:r/>
      <w:r/>
    </w:p>
    <w:bookmarkEnd w:id="39"/>
    <w:bookmarkStart w:id="40" w:name="v19-balance-por-clase"/>
    <w:p>
      <w:pPr>
        <w:pStyle w:val="Heading2"/>
      </w:pPr>
      <w:r>
        <w:t xml:space="preserve">V19 — Balance por clase</w:t>
      </w:r>
    </w:p>
    <w:p>
      <w:pPr>
        <w:pStyle w:val="FirstParagraph"/>
      </w:pPr>
      <w:r>
        <w:rPr>
          <w:b/>
          <w:bCs/>
        </w:rPr>
        <w:t xml:space="preserve">Resultado consolidado por grupo (CMO ejemplo más relevante):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MEDARQ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Activo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+S/34,915,449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+S/16,083,295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+S/15,879,779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+S/1,772,414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Pasivo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−S/32,729,844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−S/2,794,164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−S/7,011,394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−S/1,014,973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Patrimonio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−S/2,875,935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−S/46,572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−S/1,194,097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−S/489,626,546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−S/24,505,062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−S/43,237,828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−S/5,166,137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Gastos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+S/243,603,079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+S/5,623,102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+S/16,018,787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+S/2,772,054</w:t>
            </w:r>
          </w:p>
        </w:tc>
      </w:tr>
    </w:tbl>
    <w:p>
      <w:pPr>
        <w:pStyle w:val="BodyText"/>
      </w:pPr>
      <w:r>
        <w:rPr>
          <w:b/>
          <w:bCs/>
        </w:rPr>
        <w:t>Veredicto: 🟢 SUSTENTADO + hallazgo N01 (patrimonio CMO negativo).</w:t>
      </w:r>
      <w:r/>
      <w:r/>
      <w:r/>
      <w:r>
        <w:rPr>
          <w:b/>
          <w:bCs/>
        </w:rPr>
      </w:r>
      <w:r/>
      <w:r/>
    </w:p>
    <w:bookmarkEnd w:id="40"/>
    <w:bookmarkStart w:id="41" w:name="v20-fechas-anómalas"/>
    <w:p>
      <w:pPr>
        <w:pStyle w:val="Heading2"/>
      </w:pPr>
      <w:r>
        <w:t xml:space="preserve">V20 — Fechas anómalas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 en domingo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 sábado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 fecha futura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9,809 / S/1,182M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Sábados/domingos son normales en empresas peruanas (asientos automáticos de devengo).</w:t>
      </w:r>
      <w:r>
        <w:t xml:space="preserve"> </w:t>
      </w:r>
      <w:r>
        <w:rPr>
          <w:b/>
          <w:bCs/>
        </w:rPr>
        <w:t xml:space="preserve">CMO con 9,809 asientos futuros por S/1,182M requiere validación</w:t>
      </w:r>
      <w:r>
        <w:t xml:space="preserve"> </w:t>
      </w:r>
      <w:r>
        <w:t xml:space="preserve">— ver hallazgo N03.</w:t>
      </w:r>
    </w:p>
    <w:bookmarkEnd w:id="41"/>
    <w:bookmarkStart w:id="42" w:name="v21-identificadores-duplicados"/>
    <w:p>
      <w:pPr>
        <w:pStyle w:val="Heading2"/>
      </w:pPr>
      <w:r>
        <w:t xml:space="preserve">V21 — Identificadores duplicados</w:t>
      </w:r>
    </w:p>
    <w:p>
      <w:pPr>
        <w:pStyle w:val="FirstParagraph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TODOS CONSISTENTES.</w:t>
      </w:r>
      <w:r>
        <w:t xml:space="preserve"> </w:t>
      </w:r>
      <w:r>
        <w:t xml:space="preserve">No se detectaron</w:t>
      </w:r>
      <w:r>
        <w:t xml:space="preserve"> </w:t>
      </w:r>
      <w:r>
        <w:rPr>
          <w:rStyle w:val="VerbatimChar"/>
        </w:rPr>
        <w:t xml:space="preserve">CodIdentificador</w:t>
      </w:r>
      <w:r>
        <w:t xml:space="preserve"> </w:t>
      </w:r>
      <w:r>
        <w:t xml:space="preserve">con múltiples nombres en ninguna empresa. La base de terceros es coherente.</w:t>
      </w:r>
    </w:p>
    <w:bookmarkEnd w:id="42"/>
    <w:bookmarkStart w:id="43" w:name="v22-estado-conciliación-bancaria"/>
    <w:p>
      <w:pPr>
        <w:pStyle w:val="Heading2"/>
      </w:pPr>
      <w:r>
        <w:t xml:space="preserve">V22 — Estado conciliación bancaria</w:t>
      </w:r>
    </w:p>
    <w:p>
      <w:pPr>
        <w:pStyle w:val="FirstParagraph"/>
      </w:pPr>
      <w:r>
        <w:rPr>
          <w:b/>
          <w:bCs/>
        </w:rPr>
        <w:t>Veredicto: 🟢 SUSTENTADO. Detalle: CMO último estado 30/06/2022 (4 años atrás); AMERICANA y MEDARQ nunca han cargado; INTEGRAL solo 1 cuenta hasta 31/03/2024.</w:t>
      </w:r>
      <w:r/>
      <w:r/>
      <w:r/>
      <w:r>
        <w:rPr>
          <w:b/>
          <w:bCs/>
        </w:rPr>
      </w:r>
      <w:r/>
      <w:r/>
    </w:p>
    <w:bookmarkEnd w:id="43"/>
    <w:bookmarkStart w:id="44" w:name="X2da8642e2cd701eccebbc3ddf41b9003ad623fe"/>
    <w:p>
      <w:pPr>
        <w:pStyle w:val="Heading2"/>
      </w:pPr>
      <w:r>
        <w:t xml:space="preserve">V23 — P&amp;L Anual 2026 (verificación cruzada con informe)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Gastos Naturaleza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Costo Ventas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1,397,450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1,356,508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437,094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270,998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2,607,704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1,153,851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1,326,261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1,139,828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1,131,251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6,204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MATCH 100% con el P&amp;L del informe 01_RESUMEN_GERENCIAL.</w:t>
      </w:r>
      <w:r>
        <w:t xml:space="preserve"> </w:t>
      </w:r>
      <w:r>
        <w:t xml:space="preserve">Los números del informe ejecutivo son exactos al céntimo.</w:t>
      </w:r>
    </w:p>
    <w:bookmarkEnd w:id="44"/>
    <w:bookmarkStart w:id="45" w:name="X052dfd8c0b3f07b70feea4561b8042a17456dc1"/>
    <w:p>
      <w:pPr>
        <w:pStyle w:val="Heading2"/>
      </w:pPr>
      <w:r>
        <w:t xml:space="preserve">V24 — Coherencia OB_Pago vs AsientoContable cla 10 por mes</w:t>
      </w:r>
    </w:p>
    <w:p>
      <w:pPr>
        <w:pStyle w:val="FirstParagraph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 hallazgo N04 (origen del −S/13M AMERICANA).</w:t>
      </w:r>
    </w:p>
    <w:bookmarkEnd w:id="45"/>
    <w:bookmarkStart w:id="46" w:name="X4e8b711330ed8973a26febd7b5c90153c283391"/>
    <w:p>
      <w:pPr>
        <w:pStyle w:val="Heading2"/>
      </w:pPr>
      <w:r>
        <w:t xml:space="preserve">V25 — Existencia de cuentas críticas en Plan Contable</w:t>
      </w:r>
    </w:p>
    <w:p>
      <w:pPr>
        <w:pStyle w:val="FirstParagraph"/>
      </w:pPr>
      <w:r>
        <w:rPr>
          <w:b/>
          <w:bCs/>
        </w:rPr>
        <w:t>Veredicto: 🟢 SUSTENTADO ausencia Reserva Legal. Las cuentas patrón del PCG (501, 581, 591, 4111, 4151, 4130, 1041) están registradas en el catálogo pero NO TIENEN asientos en ninguna de las 4 empresas — porque las empresas usan los subcódigos extendidos (5011xxxx, 4111xxxx, etc.). La cuenta 581 Reservas Reinversión NO existe con saldo en ninguna empresa → confirma ausencia de Reserva Legal.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bookmarkEnd w:id="46"/>
    <w:bookmarkEnd w:id="47"/>
    <w:bookmarkStart w:id="49" w:name="contingencia-recalculada"/>
    <w:p>
      <w:pPr>
        <w:pStyle w:val="Heading1"/>
      </w:pPr>
      <w:r>
        <w:t xml:space="preserve">5. CONTINGENCIA RECALCULADA</w:t>
      </w:r>
    </w:p>
    <w:bookmarkStart w:id="48" w:name="ajuste-a-la-contingencia-total-del-grupo"/>
    <w:p>
      <w:pPr>
        <w:pStyle w:val="Heading2"/>
      </w:pPr>
      <w:r>
        <w:t xml:space="preserve">5.1. Ajuste a la contingencia total del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Informe previo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Validación S10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Dividendos presuntos Art. 24-A LIR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S/3,272,000</w:t>
            </w:r>
          </w:p>
        </w:tc>
        <w:tc>
          <w:tcPr/>
          <w:p>
            <w:pPr>
              <w:pStyle w:val="Compact"/>
            </w:pPr>
            <w:r>
              <w:t xml:space="preserve">29.5% × S/11.1M (INTEGRAL→CMO real)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Estudio Técnico Precios de 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S/265,000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IGV subdeclarado potencial INTEGRAL+MEDARQ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S/350,000</w:t>
            </w:r>
          </w:p>
        </w:tc>
        <w:tc>
          <w:tcPr/>
          <w:p>
            <w:pPr>
              <w:pStyle w:val="Compact"/>
            </w:pPr>
            <w:r>
              <w:t xml:space="preserve">Recalculado con compensación posible IGV vs Renta crédito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Participaciones DL 892 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CTS mayo 2025 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CTS mayo 2025 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Demandas laborales sueldos atrasados 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S/196,277</w:t>
            </w:r>
            <w:r>
              <w:t xml:space="preserve"> </w:t>
            </w:r>
            <w:r>
              <w:t xml:space="preserve">(exacto)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Retenciones 4ta categoría no aplicadas 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Gastos no contabilizados / facturas sin asiento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S/45,000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S/4,441,000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S/4,963,277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+S/522K</w:t>
            </w:r>
          </w:p>
        </w:tc>
      </w:tr>
    </w:tbl>
    <w:p>
      <w:pPr>
        <w:pStyle w:val="BodyText"/>
      </w:pPr>
      <w:r>
        <w:rPr>
          <w:b/>
          <w:bCs/>
        </w:rPr>
        <w:t xml:space="preserve">Crédito tributario nuevo (no contingencia, oportunidad):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 3a Categoría INTEGRAL a favor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S/287,734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ITAN AMERICANA a favor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S/43,704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 a cuenta Renta AMERICANA a favor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S/95,225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CRÉDITOS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S/426,663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Contingencia neta consolidada: S/4,536,614</w:t>
      </w:r>
      <w:r>
        <w:t xml:space="preserve"> </w:t>
      </w:r>
      <w:r>
        <w:t xml:space="preserve">(era S/4,441,000 antes del recálculo).</w:t>
      </w:r>
    </w:p>
    <w:bookmarkEnd w:id="48"/>
    <w:bookmarkEnd w:id="49"/>
    <w:bookmarkStart w:id="53" w:name="conclusión-el-informe-pasa"/>
    <w:p>
      <w:pPr>
        <w:pStyle w:val="Heading1"/>
      </w:pPr>
      <w:r>
        <w:t xml:space="preserve">6. CONCLUSIÓN — ¿EL INFORME PASA?</w:t>
      </w:r>
    </w:p>
    <w:bookmarkStart w:id="50" w:name="veredicto-técnico"/>
    <w:p>
      <w:pPr>
        <w:pStyle w:val="Heading2"/>
      </w:pPr>
      <w:r>
        <w:t xml:space="preserve">6.1. Veredicto técnico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Fidelidad del dato (snapshot vs S10)</w:t>
            </w:r>
          </w:p>
        </w:tc>
        <w:tc>
          <w:tcPr/>
          <w:p>
            <w:pPr>
              <w:pStyle w:val="Compact"/>
            </w:pPr>
            <w:r>
              <w:t xml:space="preserve">✅ 99.9% (descuadre CMO 0.00003%)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Coherencia interna (partida doble)</w:t>
            </w:r>
          </w:p>
        </w:tc>
        <w:tc>
          <w:tcPr/>
          <w:p>
            <w:pPr>
              <w:pStyle w:val="Compact"/>
            </w:pPr>
            <w:r>
              <w:t xml:space="preserve">✅ 100% en 3 empresas, 99.99997% en CMO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Interpretación contable correcta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No al 100%</w:t>
            </w:r>
            <w:r>
              <w:t xml:space="preserve"> </w:t>
            </w:r>
            <w:r>
              <w:t xml:space="preserve">— 3 hallazgos a corregir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módulos S10</w:t>
            </w:r>
          </w:p>
        </w:tc>
        <w:tc>
          <w:tcPr/>
          <w:p>
            <w:pPr>
              <w:pStyle w:val="Compact"/>
            </w:pPr>
            <w:r>
              <w:t xml:space="preserve">✅ 100% módulos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Detección de anomalías</w:t>
            </w:r>
          </w:p>
        </w:tc>
        <w:tc>
          <w:tcPr/>
          <w:p>
            <w:pPr>
              <w:pStyle w:val="Compact"/>
            </w:pPr>
            <w:r>
              <w:t>🔴 7 hallazgos NUEVOS no estaban en extracción inicial</w:t>
            </w:r>
          </w:p>
        </w:tc>
      </w:tr>
    </w:tbl>
    <w:bookmarkEnd w:id="50"/>
    <w:bookmarkStart w:id="51" w:name="X8651a978d29c8df810b1aa13de79974b5df697e"/>
    <w:p>
      <w:pPr>
        <w:pStyle w:val="Heading2"/>
      </w:pPr>
      <w:r>
        <w:t xml:space="preserve">6.2. ¿Listo para Finanzas / Contabilidad / Auditoría externa?</w:t>
      </w:r>
    </w:p>
    <w:p>
      <w:pPr>
        <w:pStyle w:val="FirstParagraph"/>
      </w:pPr>
      <w:r>
        <w:rPr>
          <w:b/>
          <w:bCs/>
        </w:rPr>
        <w:t xml:space="preserve">NO en su versión actual.</w:t>
      </w:r>
      <w:r>
        <w:t xml:space="preserve"> </w:t>
      </w:r>
      <w:r>
        <w:t xml:space="preserve">Antes de envío externo, deben aplicarse las siguientes</w:t>
      </w:r>
      <w:r>
        <w:t xml:space="preserve"> </w:t>
      </w:r>
      <w:r>
        <w:rPr>
          <w:b/>
          <w:bCs/>
        </w:rPr>
        <w:t xml:space="preserve">correcciones obligatorias</w:t>
      </w:r>
      <w:r>
        <w:t xml:space="preserve"> </w:t>
      </w:r>
      <w:r>
        <w:t xml:space="preserve">a los informes 01–03: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Eliminar</w:t>
      </w:r>
      <w:r>
        <w:t xml:space="preserve"> </w:t>
      </w:r>
      <w:r>
        <w:t xml:space="preserve">“CMO falta asiento de apertura 2026”</w:t>
      </w:r>
      <w:r>
        <w:t xml:space="preserve"> </w:t>
      </w:r>
      <w:r>
        <w:t xml:space="preserve">— es falso.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Reescribir</w:t>
      </w:r>
      <w:r>
        <w:t xml:space="preserve"> </w:t>
      </w:r>
      <w:r>
        <w:t xml:space="preserve">“CMO Capital S/78.3M”</w:t>
      </w:r>
      <w:r>
        <w:t xml:space="preserve"> </w:t>
      </w:r>
      <w:r>
        <w:t xml:space="preserve">como</w:t>
      </w:r>
      <w:r>
        <w:t xml:space="preserve"> </w:t>
      </w:r>
      <w:r>
        <w:t xml:space="preserve">“CMO Patrimonio neto NEGATIVO −S/2.87M, riesgo Art. 220 LGS”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Corregir</w:t>
      </w:r>
      <w:r>
        <w:t xml:space="preserve"> </w:t>
      </w:r>
      <w:r>
        <w:t xml:space="preserve">“S/123M préstamos intercompañía”</w:t>
      </w:r>
      <w:r>
        <w:t xml:space="preserve"> </w:t>
      </w:r>
      <w:r>
        <w:t xml:space="preserve">→</w:t>
      </w:r>
      <w:r>
        <w:t xml:space="preserve"> </w:t>
      </w:r>
      <w:r>
        <w:t xml:space="preserve">“S/20M intercompany consolidado, máxima exposición individual INTEGRAL→CMO S/11.1M”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Aclarar</w:t>
      </w:r>
      <w:r>
        <w:t xml:space="preserve"> </w:t>
      </w:r>
      <w:r>
        <w:t xml:space="preserve">“BBVA MN −S/13M desde 2023”</w:t>
      </w:r>
      <w:r>
        <w:t xml:space="preserve"> </w:t>
      </w:r>
      <w:r>
        <w:t xml:space="preserve">→</w:t>
      </w:r>
      <w:r>
        <w:t xml:space="preserve"> </w:t>
      </w:r>
      <w:r>
        <w:t xml:space="preserve">“−S/13M originado en enero 2026, asiento contable no respaldado en OB_Pago”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Adicionalmente, deben incluirse los 7 hallazgos NUEVOS (N01–N07)</w:t>
      </w:r>
      <w:r>
        <w:t xml:space="preserve"> </w:t>
      </w:r>
      <w:r>
        <w:t xml:space="preserve">en el informe ejecutivo:</w:t>
      </w:r>
    </w:p>
    <w:p>
      <w:pPr>
        <w:pStyle w:val="Compact"/>
        <w:numPr>
          <w:ilvl w:val="0"/>
          <w:numId w:val="1005"/>
        </w:numPr>
      </w:pPr>
      <w:r>
        <w:t xml:space="preserve">N01 CMO patrimonio negativo causal disolución (Art. 220 LGS)</w:t>
      </w:r>
    </w:p>
    <w:p>
      <w:pPr>
        <w:pStyle w:val="Compact"/>
        <w:numPr>
          <w:ilvl w:val="0"/>
          <w:numId w:val="1005"/>
        </w:numPr>
      </w:pPr>
      <w:r>
        <w:t xml:space="preserve">N02 CMO valor neto activo fijo negativo</w:t>
      </w:r>
    </w:p>
    <w:p>
      <w:pPr>
        <w:pStyle w:val="Compact"/>
        <w:numPr>
          <w:ilvl w:val="0"/>
          <w:numId w:val="1005"/>
        </w:numPr>
      </w:pPr>
      <w:r>
        <w:t xml:space="preserve">N03 CMO 9,809 asientos futuros por S/1,182M</w:t>
      </w:r>
    </w:p>
    <w:p>
      <w:pPr>
        <w:pStyle w:val="Compact"/>
        <w:numPr>
          <w:ilvl w:val="0"/>
          <w:numId w:val="1005"/>
        </w:numPr>
      </w:pPr>
      <w:r>
        <w:t xml:space="preserve">N04 Origen del −S/13M AMERICANA</w:t>
      </w:r>
    </w:p>
    <w:p>
      <w:pPr>
        <w:pStyle w:val="Compact"/>
        <w:numPr>
          <w:ilvl w:val="0"/>
          <w:numId w:val="1005"/>
        </w:numPr>
      </w:pPr>
      <w:r>
        <w:t xml:space="preserve">N05 INTEGRAL→CMO S/11.1M (mayor exposición intercompañía)</w:t>
      </w:r>
    </w:p>
    <w:p>
      <w:pPr>
        <w:pStyle w:val="Compact"/>
        <w:numPr>
          <w:ilvl w:val="0"/>
          <w:numId w:val="1005"/>
        </w:numPr>
      </w:pPr>
      <w:r>
        <w:t xml:space="preserve">N06 CTS mayo 2026 aún no depositado por nadie</w:t>
      </w:r>
    </w:p>
    <w:p>
      <w:pPr>
        <w:pStyle w:val="Compact"/>
        <w:numPr>
          <w:ilvl w:val="0"/>
          <w:numId w:val="1005"/>
        </w:numPr>
      </w:pPr>
      <w:r>
        <w:t xml:space="preserve">N07 INTEGRAL crédito tributario neto S/287K</w:t>
      </w:r>
    </w:p>
    <w:bookmarkEnd w:id="51"/>
    <w:bookmarkStart w:id="52" w:name="compromiso-de-actualización"/>
    <w:p>
      <w:pPr>
        <w:pStyle w:val="Heading2"/>
      </w:pPr>
      <w:r>
        <w:t xml:space="preserve">6.3. Compromiso de actualización</w:t>
      </w:r>
    </w:p>
    <w:p>
      <w:pPr>
        <w:pStyle w:val="FirstParagraph"/>
      </w:pPr>
      <w:r>
        <w:t xml:space="preserve">Una vez aplicadas las correcciones, el informe</w:t>
      </w:r>
      <w:r>
        <w:t xml:space="preserve"> </w:t>
      </w:r>
      <w:r>
        <w:rPr>
          <w:b/>
          <w:bCs/>
        </w:rPr>
        <w:t xml:space="preserve">sí pasará la validación contra S10 al 100%</w:t>
      </w:r>
      <w:r>
        <w:t xml:space="preserve">, porque los datos subyacentes son fieles a la fuente — el problema era de</w:t>
      </w:r>
      <w:r>
        <w:t xml:space="preserve"> </w:t>
      </w:r>
      <w:r>
        <w:rPr>
          <w:b/>
          <w:bCs/>
        </w:rPr>
        <w:t xml:space="preserve">interpretación</w:t>
      </w:r>
      <w:r>
        <w:t xml:space="preserve">, no de captura.</w:t>
      </w:r>
    </w:p>
    <w:bookmarkEnd w:id="52"/>
    <w:bookmarkEnd w:id="53"/>
    <w:bookmarkStart w:id="56" w:name="anexo-técnico"/>
    <w:p>
      <w:pPr>
        <w:pStyle w:val="Heading1"/>
      </w:pPr>
      <w:r>
        <w:t xml:space="preserve">7. ANEXO TÉCNICO</w:t>
      </w:r>
    </w:p>
    <w:bookmarkStart w:id="54" w:name="trazabilidad-del-proceso"/>
    <w:p>
      <w:pPr>
        <w:pStyle w:val="Heading2"/>
      </w:pPr>
      <w:r>
        <w:t xml:space="preserve">7.1. Trazabilidad del proceso</w:t>
      </w:r>
    </w:p>
    <w:p>
      <w:pPr>
        <w:pStyle w:val="Compact"/>
        <w:numPr>
          <w:ilvl w:val="0"/>
          <w:numId w:val="1006"/>
        </w:numPr>
      </w:pPr>
      <w:r>
        <w:t>Script de validación: el agente de validación forense</w:t>
      </w:r>
      <w:r/>
      <w:r>
        <w:rPr>
          <w:rStyle w:val="VerbatimChar"/>
        </w:rPr>
      </w:r>
    </w:p>
    <w:p>
      <w:pPr>
        <w:pStyle w:val="Compact"/>
        <w:numPr>
          <w:ilvl w:val="0"/>
          <w:numId w:val="1006"/>
        </w:numPr>
      </w:pPr>
      <w:r>
        <w:t xml:space="preserve">Script de ejecución VPS:</w:t>
      </w:r>
      <w:r>
        <w:t xml:space="preserve"> </w:t>
      </w:r>
      <w:r>
        <w:rPr>
          <w:rStyle w:val="VerbatimChar"/>
        </w:rPr>
        <w:t xml:space="preserve">vps-infra/validate-vpn.sh</w:t>
      </w:r>
    </w:p>
    <w:p>
      <w:pPr>
        <w:pStyle w:val="Compact"/>
        <w:numPr>
          <w:ilvl w:val="0"/>
          <w:numId w:val="1006"/>
        </w:numPr>
      </w:pPr>
      <w:r>
        <w:t>Output crudo: el archivo de salida de validación</w:t>
      </w:r>
      <w:r/>
      <w:r>
        <w:rPr>
          <w:rStyle w:val="VerbatimChar"/>
        </w:rPr>
      </w:r>
      <w:r/>
      <w:r/>
    </w:p>
    <w:p>
      <w:pPr>
        <w:pStyle w:val="Compact"/>
        <w:numPr>
          <w:ilvl w:val="0"/>
          <w:numId w:val="1006"/>
        </w:numPr>
      </w:pPr>
      <w:r>
        <w:t xml:space="preserve">Análisis extraído:</w:t>
      </w:r>
      <w:r>
        <w:t xml:space="preserve"> </w:t>
      </w:r>
      <w:r>
        <w:rPr>
          <w:rStyle w:val="VerbatimChar"/>
        </w:rPr>
        <w:t xml:space="preserve">s10-agent/validation-analysis.txt</w:t>
      </w:r>
    </w:p>
    <w:p>
      <w:pPr>
        <w:pStyle w:val="Compact"/>
        <w:numPr>
          <w:ilvl w:val="0"/>
          <w:numId w:val="1006"/>
        </w:numPr>
      </w:pPr>
      <w:r>
        <w:t xml:space="preserve">Empresas: CMO (22011489), INTEGRAL (80688541), MEDARQ (80688706), AMERICANA (80688524)</w:t>
      </w:r>
    </w:p>
    <w:p>
      <w:pPr>
        <w:pStyle w:val="Compact"/>
        <w:numPr>
          <w:ilvl w:val="0"/>
          <w:numId w:val="1006"/>
        </w:numPr>
      </w:pPr>
      <w:r>
        <w:t xml:space="preserve">Año analizado: 2026</w:t>
      </w:r>
    </w:p>
    <w:p>
      <w:pPr>
        <w:pStyle w:val="Compact"/>
        <w:numPr>
          <w:ilvl w:val="0"/>
          <w:numId w:val="1006"/>
        </w:numPr>
      </w:pPr>
      <w:r>
        <w:t xml:space="preserve">Fecha ejecución: 11/05/2026 14:45 UTC</w:t>
      </w:r>
    </w:p>
    <w:p>
      <w:pPr>
        <w:pStyle w:val="Compact"/>
        <w:numPr>
          <w:ilvl w:val="0"/>
          <w:numId w:val="1006"/>
        </w:numPr>
      </w:pPr>
      <w:r>
        <w:t>Conexión: VPN openfortivpn → SQL Server servidor ERP S10 productivo → CMO database</w:t>
      </w:r>
    </w:p>
    <w:p>
      <w:pPr>
        <w:pStyle w:val="Compact"/>
        <w:numPr>
          <w:ilvl w:val="0"/>
          <w:numId w:val="1006"/>
        </w:numPr>
      </w:pPr>
      <w:r>
        <w:t xml:space="preserve">Queries ejecutadas: 100 (25 validaciones × 4 empresas), 100% exitosas</w:t>
      </w:r>
    </w:p>
    <w:bookmarkEnd w:id="54"/>
    <w:bookmarkStart w:id="55" w:name="reproducibilidad"/>
    <w:p>
      <w:pPr>
        <w:pStyle w:val="Heading2"/>
      </w:pPr>
      <w:r>
        <w:t xml:space="preserve">7.2. Reproducibilidad</w:t>
      </w:r>
    </w:p>
    <w:p>
      <w:pPr>
        <w:pStyle w:val="FirstParagraph"/>
      </w:pPr>
      <w:r>
        <w:t xml:space="preserve">Para reproducir la validación:</w:t>
      </w:r>
    </w:p>
    <w:p>
      <w:pPr>
        <w:pStyle w:val="SourceCode"/>
      </w:pPr>
      <w:r>
        <w:rPr>
          <w:rStyle w:val="FunctionTok"/>
        </w:rPr>
        <w:t>ssh -i ~/.ssh/id_ed25519 root@72.62.16.28 \</w:t>
        <w:br/>
        <w:t xml:space="preserve"> "/opt/apps/s10bizsmarthub/validate-vpn.sh"</w:t>
        <w:br/>
        <w:t>scp -i ~/.ssh/id_ed25519 \</w:t>
        <w:br/>
        <w:t xml:space="preserve"> root@72.62.16.28:/opt/apps/s10bizsmarthub/s10-agent/validation-output.json \</w:t>
        <w:br/>
        <w:t xml:space="preserve"> ./validation-output.json</w:t>
        <w:br/>
        <w:t>node s10-agent/analyze-validation.js &gt; validation-analysis.txt</w:t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DataTypeTok"/>
        </w:rPr>
      </w:r>
      <w:r/>
      <w:r>
        <w:rPr>
          <w:rStyle w:val="NormalTok"/>
        </w:rPr>
      </w:r>
      <w:r>
        <w:rPr>
          <w:rStyle w:val="StringTok"/>
        </w:rPr>
      </w:r>
      <w:r/>
      <w:r>
        <w:rPr>
          <w:rStyle w:val="Funct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DataTypeTok"/>
        </w:rPr>
      </w:r>
      <w:r/>
      <w:r>
        <w:rPr>
          <w:rStyle w:val="NormalTok"/>
        </w:rPr>
      </w:r>
      <w:r>
        <w:rPr>
          <w:rStyle w:val="DataTypeTok"/>
        </w:rPr>
      </w:r>
      <w:r/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OperatorTok"/>
        </w:rPr>
      </w:r>
      <w:r>
        <w:rPr>
          <w:rStyle w:val="NormalTok"/>
        </w:rPr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Equipo de Auditoría BizSmartHub</w:t>
      </w:r>
      <w:r>
        <w:t xml:space="preserve"> </w:t>
      </w:r>
      <w:r>
        <w:t xml:space="preserve">11 de mayo de 2026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Validación Forense del Informe de Auditoría contra S10 Producción</dc:title>
  <dc:creator>Equipo de Auditoría BizSmartHub</dc:creator>
  <cp:keywords/>
  <dcterms:created xsi:type="dcterms:W3CDTF">2026-05-11T15:00:36Z</dcterms:created>
  <dcterms:modified xsi:type="dcterms:W3CDTF">2026-05-11T15:00:36Z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</vt:lpwstr>
  </property>
  <property fmtid="{D5CDD505-2E9C-101B-9397-08002B2CF9AE}" pid="3" name="subtitle">
    <vt:lpwstr>Confronto finding-by-finding del informe vs S10 SQL Server (origen de la verdad)</vt:lpwstr>
  </property>
</Properties>
</file>