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Resumen Gerencial — Auditoría Integral del Grupo</w:t>
      </w:r>
    </w:p>
    <w:p>
      <w:pPr>
        <w:pStyle w:val="Subtitle"/>
      </w:pPr>
      <w:r>
        <w:t xml:space="preserve">Para Directorio y Gerencia General</w:t>
      </w:r>
    </w:p>
    <w:p>
      <w:pPr>
        <w:pStyle w:val="Author"/>
      </w:pPr>
      <w:r>
        <w:t xml:space="preserve">Equipo de Auditoría BizSmartHub</w:t>
      </w:r>
    </w:p>
    <w:p>
      <w:pPr>
        <w:pStyle w:val="Date"/>
      </w:pPr>
      <w:r>
        <w:t xml:space="preserve">11 de mayo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resumen-ejecutivo"/>
    <w:p>
      <w:pPr>
        <w:pStyle w:val="Heading1"/>
      </w:pPr>
      <w:r>
        <w:t xml:space="preserve">1. RESUMEN EJECUTIVO</w:t>
      </w:r>
    </w:p>
    <w:bookmarkStart w:id="9" w:name="empresas-auditadas"/>
    <w:p>
      <w:pPr>
        <w:pStyle w:val="Heading2"/>
      </w:pPr>
      <w:r>
        <w:t xml:space="preserve">1.1. Empresas auditadas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</w:pPr>
            <w:r>
              <w:t xml:space="preserve">RUC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Calificación Final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Margen Neto YTD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CMO GROUP S.A.</w:t>
            </w:r>
          </w:p>
        </w:tc>
        <w:tc>
          <w:tcPr/>
          <w:p>
            <w:pPr>
              <w:pStyle w:val="Compact"/>
            </w:pPr>
            <w:r>
              <w:t xml:space="preserve">22011489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 Alta vigilancia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−560.6%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INTEGRAL CONSULTORES S.A.C.</w:t>
            </w:r>
          </w:p>
        </w:tc>
        <w:tc>
          <w:tcPr/>
          <w:p>
            <w:pPr>
              <w:pStyle w:val="Compact"/>
            </w:pPr>
            <w:r>
              <w:t xml:space="preserve">80688541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CRÍTICA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+2.7% (único rentable)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MEDARQ S.A.C.</w:t>
            </w:r>
          </w:p>
        </w:tc>
        <w:tc>
          <w:tcPr/>
          <w:p>
            <w:pPr>
              <w:pStyle w:val="Compact"/>
            </w:pPr>
            <w:r>
              <w:t xml:space="preserve">80688706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 Alta vigilancia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−54.0%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COMPAÑÍA AMERICANA CONST. Y EQUIPAMIENTO S.A.C.</w:t>
            </w:r>
          </w:p>
        </w:tc>
        <w:tc>
          <w:tcPr/>
          <w:p>
            <w:pPr>
              <w:pStyle w:val="Compact"/>
            </w:pPr>
            <w:r>
              <w:t xml:space="preserve">80688524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CRÍTICA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−104.9%</w:t>
            </w:r>
          </w:p>
        </w:tc>
      </w:tr>
    </w:tbl>
    <w:bookmarkEnd w:id="9"/>
    <w:bookmarkStart w:id="10" w:name="Xde9f9334071fd37323677f987cec86d8dddf92c"/>
    <w:p>
      <w:pPr>
        <w:pStyle w:val="Heading2"/>
      </w:pPr>
      <w:r>
        <w:t xml:space="preserve">1.2. Contingencia tributaria y laboral cuantificada</w:t>
      </w:r>
    </w:p>
    <w:p>
      <w:pPr>
        <w:pStyle w:val="BlockText"/>
      </w:pPr>
      <w:r>
        <w:rPr>
          <w:b/>
          <w:bCs/>
        </w:rPr>
        <w:t xml:space="preserve">Contingencia máxima total estimada del grupo: S/4.44 millones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 Máximo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Recalificación préstamos intercompañía como dividendos (Art. 24-A LIR)</w:t>
            </w:r>
          </w:p>
        </w:tc>
        <w:tc>
          <w:tcPr/>
          <w:p>
            <w:pPr>
              <w:pStyle w:val="Compact"/>
            </w:pPr>
            <w:r>
              <w:t xml:space="preserve">CMO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S/2,700,000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Multa por no presentar Estudio Técnico de Precios de Transferencia</w:t>
            </w:r>
          </w:p>
        </w:tc>
        <w:tc>
          <w:tcPr/>
          <w:p>
            <w:pPr>
              <w:pStyle w:val="Compact"/>
            </w:pPr>
            <w:r>
              <w:t xml:space="preserve">CMO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S/265,000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IGV subdeclarado potencial (INTEGRAL + MEDARQ)</w:t>
            </w:r>
          </w:p>
        </w:tc>
        <w:tc>
          <w:tcPr/>
          <w:p>
            <w:pPr>
              <w:pStyle w:val="Compact"/>
            </w:pPr>
            <w:r>
              <w:t xml:space="preserve">varias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S/400,000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Multa SUNAFIL — Participaciones DL 892 impagas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S/275,000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Multa SUNAFIL — CTS mayo 2025 ausente</w:t>
            </w:r>
          </w:p>
        </w:tc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S/275,000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Multa SUNAFIL — CTS mayo 2025 ausente</w:t>
            </w:r>
          </w:p>
        </w:tc>
        <w:tc>
          <w:tcPr/>
          <w:p>
            <w:pPr>
              <w:pStyle w:val="Compact"/>
            </w:pPr>
            <w:r>
              <w:t xml:space="preserve">MEDARQ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S/275,000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Demandas laborales por sueldos atrasados</w:t>
            </w:r>
          </w:p>
        </w:tc>
        <w:tc>
          <w:tcPr/>
          <w:p>
            <w:pPr>
              <w:pStyle w:val="Compact"/>
            </w:pPr>
            <w:r>
              <w:t xml:space="preserve">MEDARQ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S/196,000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Retenciones 4ta categoría no aplicadas</w:t>
            </w:r>
          </w:p>
        </w:tc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Gastos no contabilizados / facturas sin asiento</w:t>
            </w:r>
          </w:p>
        </w:tc>
        <w:tc>
          <w:tcPr/>
          <w:p>
            <w:pPr>
              <w:pStyle w:val="Compact"/>
            </w:pPr>
            <w:r>
              <w:t xml:space="preserve">varias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S/45,000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S/4,441,000</w:t>
            </w:r>
          </w:p>
        </w:tc>
      </w:tr>
    </w:tbl>
    <w:bookmarkEnd w:id="10"/>
    <w:bookmarkEnd w:id="11"/>
    <w:bookmarkStart w:id="14" w:name="cuadro-de-hallazgos-críticos"/>
    <w:p>
      <w:pPr>
        <w:pStyle w:val="Heading1"/>
      </w:pPr>
      <w:r>
        <w:t xml:space="preserve">2. CUADRO DE HALLAZGOS CRÍTICOS</w:t>
      </w:r>
    </w:p>
    <w:bookmarkStart w:id="12" w:name="Xc10ae392c2f4d82d5a13b5fc184961a2aa903b1"/>
    <w:p>
      <w:pPr>
        <w:pStyle w:val="Heading2"/>
      </w:pPr>
      <w:r>
        <w:t xml:space="preserve">2.1. Top 7 hallazgos para acción inmediata (próximos 15 días)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AMERICANA</w:t>
            </w:r>
          </w:p>
        </w:tc>
        <w:tc>
          <w:tcPr/>
          <w:p>
            <w:pPr>
              <w:pStyle w:val="Compact"/>
            </w:pPr>
            <w:r>
              <w:t xml:space="preserve">BBVA Continental MN saldo contable −S/13,034,687 desde 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S/13M</w:t>
            </w:r>
          </w:p>
        </w:tc>
        <w:tc>
          <w:tcPr/>
          <w:p>
            <w:pPr>
              <w:pStyle w:val="Compact"/>
            </w:pPr>
            <w:r>
              <w:t xml:space="preserve">Conciliar contra estado de cuenta del banco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CMO GROUP</w:t>
            </w:r>
          </w:p>
        </w:tc>
        <w:tc>
          <w:tcPr/>
          <w:p>
            <w:pPr>
              <w:pStyle w:val="Compact"/>
            </w:pPr>
            <w:r>
              <w:t xml:space="preserve">Falta asiento de apertura 2026 — Capital aparece S/0 (real S/78.3M)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S/78M</w:t>
            </w:r>
          </w:p>
        </w:tc>
        <w:tc>
          <w:tcPr/>
          <w:p>
            <w:pPr>
              <w:pStyle w:val="Compact"/>
            </w:pPr>
            <w:r>
              <w:t xml:space="preserve">Cargar apertura urgente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S/1,831,800 facturas emitidas no contabilizadas como ingreso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S/1.83M</w:t>
            </w:r>
          </w:p>
        </w:tc>
        <w:tc>
          <w:tcPr/>
          <w:p>
            <w:pPr>
              <w:pStyle w:val="Compact"/>
            </w:pPr>
            <w:r>
              <w:t xml:space="preserve">Reconciliar con Registro de Ventas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AMERICANA</w:t>
            </w:r>
          </w:p>
        </w:tc>
        <w:tc>
          <w:tcPr/>
          <w:p>
            <w:pPr>
              <w:pStyle w:val="Compact"/>
            </w:pPr>
            <w:r>
              <w:t xml:space="preserve">97.9% de CxC vencida &gt;90 días con un solo cliente (PERGOLA)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S/3M</w:t>
            </w:r>
          </w:p>
        </w:tc>
        <w:tc>
          <w:tcPr/>
          <w:p>
            <w:pPr>
              <w:pStyle w:val="Compact"/>
            </w:pPr>
            <w:r>
              <w:t xml:space="preserve">Provisión NIIF 9 — 100%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Participaciones DL 892 por pagar vencidas 30/04/2026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S/212K</w:t>
            </w:r>
          </w:p>
        </w:tc>
        <w:tc>
          <w:tcPr/>
          <w:p>
            <w:pPr>
              <w:pStyle w:val="Compact"/>
            </w:pPr>
            <w:r>
              <w:t xml:space="preserve">Pago + acta de Junta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MEDARQ</w:t>
            </w:r>
          </w:p>
        </w:tc>
        <w:tc>
          <w:tcPr/>
          <w:p>
            <w:pPr>
              <w:pStyle w:val="Compact"/>
            </w:pPr>
            <w:r>
              <w:t xml:space="preserve">Sueldos por pagar S/196K (~42% pendiente)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S/196K</w:t>
            </w:r>
          </w:p>
        </w:tc>
        <w:tc>
          <w:tcPr/>
          <w:p>
            <w:pPr>
              <w:pStyle w:val="Compact"/>
            </w:pPr>
            <w:r>
              <w:t xml:space="preserve">Verificar pago efectivo a empleados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MEDARQ</w:t>
            </w:r>
          </w:p>
        </w:tc>
        <w:tc>
          <w:tcPr/>
          <w:p>
            <w:pPr>
              <w:pStyle w:val="Compact"/>
            </w:pPr>
            <w:r>
              <w:t xml:space="preserve">10 asientos de ingreso clase 70 sin factura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S/400K</w:t>
            </w:r>
          </w:p>
        </w:tc>
        <w:tc>
          <w:tcPr/>
          <w:p>
            <w:pPr>
              <w:pStyle w:val="Compact"/>
            </w:pPr>
            <w:r>
              <w:t xml:space="preserve">Documentar provisiones NIIF 15</w:t>
            </w:r>
          </w:p>
        </w:tc>
      </w:tr>
    </w:tbl>
    <w:bookmarkEnd w:id="12"/>
    <w:bookmarkStart w:id="13" w:name="estado-financiero-consolidado-ytd-2026"/>
    <w:p>
      <w:pPr>
        <w:pStyle w:val="Heading2"/>
      </w:pPr>
      <w:r>
        <w:t xml:space="preserve">2.2. Estado financiero consolidado YTD 2026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INTEGRAL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MEDARQ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AMERICANA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Total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211,554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2,680,926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213,373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3,845,853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1,326,261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270,998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1,635,285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Margen Bruto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179,732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1,354,665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733,796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(57,626)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2,210,567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1,356,508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1,153,851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1,131,251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98,035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3,739,646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(1,176,776)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200,814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(397,455)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(155,660)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(1,529,078)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Utilidad Neta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(1,185,896)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+73,223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(399,828)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(223,721)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(1,736,222)</w:t>
            </w:r>
          </w:p>
        </w:tc>
      </w:tr>
    </w:tbl>
    <w:p>
      <w:pPr>
        <w:pStyle w:val="BlockText"/>
      </w:pPr>
      <w:r>
        <w:t xml:space="preserve">Solo</w:t>
      </w:r>
      <w:r>
        <w:t xml:space="preserve"> </w:t>
      </w:r>
      <w:r>
        <w:rPr>
          <w:b/>
          <w:bCs/>
        </w:rPr>
        <w:t xml:space="preserve">INTEGRAL es rentable</w:t>
      </w:r>
      <w:r>
        <w:t xml:space="preserve"> </w:t>
      </w:r>
      <w:r>
        <w:t xml:space="preserve">(+2.7%). El resto del grupo genera pérdidas acumuladas significativas.</w:t>
      </w:r>
    </w:p>
    <w:bookmarkEnd w:id="13"/>
    <w:bookmarkEnd w:id="14"/>
    <w:bookmarkStart w:id="15" w:name="X79efa2c1013fa59eca948ea339ab2c170038ca3"/>
    <w:p>
      <w:pPr>
        <w:pStyle w:val="Heading1"/>
      </w:pPr>
      <w:r>
        <w:t xml:space="preserve">3. CONTROL INTERNO — CALIFICACIÓN POR COMPONENTE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Clave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INTEGRAL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AMERICANA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MEDARQ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Conciliación bancaria mensual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 (hasta 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(parcial 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Nunca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Nunca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Trazabilidad Pago↔Documento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99.5%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99%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Cumplimiento Ley 28194 (Bancarización)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CTS depósito mayo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CTS depósito noviembre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Participaciones DL 892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Pendiente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Depreciación NIC 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Inversa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Legal (Art. 229 LGS)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Ausente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Ausente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Ausente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Ausente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social registrado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Sin apertura 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S/1K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S/1K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S/1.2M</w:t>
            </w:r>
          </w:p>
        </w:tc>
      </w:tr>
    </w:tbl>
    <w:bookmarkEnd w:id="15"/>
    <w:bookmarkStart w:id="19" w:name="plan-de-remediación-priorizado"/>
    <w:p>
      <w:pPr>
        <w:pStyle w:val="Heading1"/>
      </w:pPr>
      <w:r>
        <w:t xml:space="preserve">4. PLAN DE REMEDIACIÓN PRIORIZADO</w:t>
      </w:r>
    </w:p>
    <w:bookmarkStart w:id="16" w:name="fase-1-inmediato-0-15-días"/>
    <w:p>
      <w:pPr>
        <w:pStyle w:val="Heading2"/>
      </w:pPr>
      <w:r>
        <w:t xml:space="preserve">Fase 1 — Inmediato (0-15 días)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Conciliar BBVA MN −S/13M con estado de cuenta real</w:t>
            </w:r>
          </w:p>
        </w:tc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</w:pPr>
            <w:r>
              <w:t xml:space="preserve">Tesorería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Cargar asiento de apertura 2026 (Capital S/78.3M)</w:t>
            </w:r>
          </w:p>
        </w:tc>
        <w:tc>
          <w:tcPr/>
          <w:p>
            <w:pPr>
              <w:pStyle w:val="Compact"/>
            </w:pPr>
            <w:r>
              <w:t xml:space="preserve">CMO</w:t>
            </w:r>
          </w:p>
        </w:tc>
        <w:tc>
          <w:tcPr/>
          <w:p>
            <w:pPr>
              <w:pStyle w:val="Compact"/>
            </w:pPr>
            <w:r>
              <w:t xml:space="preserve">Contabilidad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Investigar S/1.83M facturas no contabilizadas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Contabilidad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Aclarar status Participaciones S/212K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Legal + RRHH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Aclarar Sueldos atrasados S/196K</w:t>
            </w:r>
          </w:p>
        </w:tc>
        <w:tc>
          <w:tcPr/>
          <w:p>
            <w:pPr>
              <w:pStyle w:val="Compact"/>
            </w:pPr>
            <w:r>
              <w:t xml:space="preserve">MEDARQ</w:t>
            </w:r>
          </w:p>
        </w:tc>
        <w:tc>
          <w:tcPr/>
          <w:p>
            <w:pPr>
              <w:pStyle w:val="Compact"/>
            </w:pPr>
            <w:r>
              <w:t xml:space="preserve">RRHH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Validar CTS mayo 2025 (AMERICANA + MEDARQ)</w:t>
            </w:r>
          </w:p>
        </w:tc>
        <w:tc>
          <w:tcPr/>
          <w:p>
            <w:pPr>
              <w:pStyle w:val="Compact"/>
            </w:pPr>
            <w:r>
              <w:t xml:space="preserve">Las 2</w:t>
            </w:r>
          </w:p>
        </w:tc>
        <w:tc>
          <w:tcPr/>
          <w:p>
            <w:pPr>
              <w:pStyle w:val="Compact"/>
            </w:pPr>
            <w:r>
              <w:t xml:space="preserve">RRHH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Provisión NIIF 9 sobre CxC PERGOLA S/3M</w:t>
            </w:r>
          </w:p>
        </w:tc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</w:pPr>
            <w:r>
              <w:t xml:space="preserve">Contabilidad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Cargar saldos iniciales bancarios reales</w:t>
            </w:r>
          </w:p>
        </w:tc>
        <w:tc>
          <w:tcPr/>
          <w:p>
            <w:pPr>
              <w:pStyle w:val="Compact"/>
            </w:pPr>
            <w:r>
              <w:t xml:space="preserve">MEDARQ + AMERICANA</w:t>
            </w:r>
          </w:p>
        </w:tc>
        <w:tc>
          <w:tcPr/>
          <w:p>
            <w:pPr>
              <w:pStyle w:val="Compact"/>
            </w:pPr>
            <w:r>
              <w:t xml:space="preserve">Tesorería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Depósito CTS 15/05/2026 — TODAS LAS EMPRESAS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 4</w:t>
            </w:r>
          </w:p>
        </w:tc>
        <w:tc>
          <w:tcPr/>
          <w:p>
            <w:pPr>
              <w:pStyle w:val="Compact"/>
            </w:pPr>
            <w:r>
              <w:t xml:space="preserve">RRHH</w:t>
            </w:r>
          </w:p>
        </w:tc>
      </w:tr>
    </w:tbl>
    <w:bookmarkEnd w:id="16"/>
    <w:bookmarkStart w:id="17" w:name="fase-2-urgente-15-60-días"/>
    <w:p>
      <w:pPr>
        <w:pStyle w:val="Heading2"/>
      </w:pPr>
      <w:r>
        <w:t xml:space="preserve">Fase 2 — Urgente (15-60 días)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Formalizar contratos de mutuo intercompañía (S/123M)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Aprobar Reserva Legal retroactiva en Junta de Accionistas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Capitalizar INTEGRAL y AMERICANA (capital S/1,000 → razonable)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Reactivar conciliación bancaria mensual en las 4 empresas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Dar de alta cuentas bancarias de 36 beneficiarios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Provisión por intereses devengados préstamos intercompañía (CMO)</w:t>
            </w:r>
          </w:p>
        </w:tc>
      </w:tr>
    </w:tbl>
    <w:bookmarkEnd w:id="17"/>
    <w:bookmarkStart w:id="18" w:name="fase-3-estratégico-60-180-días"/>
    <w:p>
      <w:pPr>
        <w:pStyle w:val="Heading2"/>
      </w:pPr>
      <w:r>
        <w:t xml:space="preserve">Fase 3 — Estratégico (60-180 días)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Implementar Host-to-Host (H2H) bancos ↔ S10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Implementar módulo formal de planilla en S10 (AFPNet, PDT-PLAME)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Contratar Estudio Técnico de Precios de Transferencia 2025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Auditoría externa Big 4 de los EEFF 2025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Política formal de NroD obligatorio + matriz de aprobaciones</w:t>
            </w:r>
          </w:p>
        </w:tc>
      </w:tr>
    </w:tbl>
    <w:bookmarkEnd w:id="18"/>
    <w:bookmarkEnd w:id="19"/>
    <w:bookmarkStart w:id="24" w:name="recomendaciones-al-directorio"/>
    <w:p>
      <w:pPr>
        <w:pStyle w:val="Heading1"/>
      </w:pPr>
      <w:r>
        <w:t xml:space="preserve">5. RECOMENDACIONES AL DIRECTORIO</w:t>
      </w:r>
    </w:p>
    <w:bookmarkStart w:id="20" w:name="aprobaciones-inmediatas"/>
    <w:p>
      <w:pPr>
        <w:pStyle w:val="Heading2"/>
      </w:pPr>
      <w:r>
        <w:t xml:space="preserve">5.1. Aprobaciones inmediatas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Convocar Junta General de Accionistas extraordinaria</w:t>
      </w:r>
      <w:r>
        <w:t xml:space="preserve"> </w:t>
      </w:r>
      <w:r>
        <w:t xml:space="preserve">para resolver:</w:t>
      </w:r>
    </w:p>
    <w:p>
      <w:pPr>
        <w:pStyle w:val="Compact"/>
        <w:numPr>
          <w:ilvl w:val="1"/>
          <w:numId w:val="1002"/>
        </w:numPr>
      </w:pPr>
      <w:r>
        <w:t xml:space="preserve">Asiento de apertura 2026 de CMO GROUP (Capital S/78,301,308)</w:t>
      </w:r>
    </w:p>
    <w:p>
      <w:pPr>
        <w:pStyle w:val="Compact"/>
        <w:numPr>
          <w:ilvl w:val="1"/>
          <w:numId w:val="1002"/>
        </w:numPr>
      </w:pPr>
      <w:r>
        <w:t xml:space="preserve">Reserva Legal retroactiva (Art. 229 LGS) — las 4 empresas</w:t>
      </w:r>
    </w:p>
    <w:p>
      <w:pPr>
        <w:pStyle w:val="Compact"/>
        <w:numPr>
          <w:ilvl w:val="1"/>
          <w:numId w:val="1002"/>
        </w:numPr>
      </w:pPr>
      <w:r>
        <w:t xml:space="preserve">Capitalización de INTEGRAL y AMERICANA (incremento desde S/1,000)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Aprobar presupuesto</w:t>
      </w:r>
      <w:r>
        <w:t xml:space="preserve"> </w:t>
      </w:r>
      <w:r>
        <w:t xml:space="preserve">para contratación antes del 30/06/2026 de:</w:t>
      </w:r>
    </w:p>
    <w:p>
      <w:pPr>
        <w:pStyle w:val="Compact"/>
        <w:numPr>
          <w:ilvl w:val="1"/>
          <w:numId w:val="1003"/>
        </w:numPr>
      </w:pPr>
      <w:r>
        <w:t xml:space="preserve">Especialista en Precios de Transferencia (~US$15-20K)</w:t>
      </w:r>
    </w:p>
    <w:p>
      <w:pPr>
        <w:pStyle w:val="Compact"/>
        <w:numPr>
          <w:ilvl w:val="1"/>
          <w:numId w:val="1003"/>
        </w:numPr>
      </w:pPr>
      <w:r>
        <w:t xml:space="preserve">Asesoría tributaria preventiva (~US$8-12K)</w:t>
      </w:r>
    </w:p>
    <w:p>
      <w:pPr>
        <w:pStyle w:val="Compact"/>
        <w:numPr>
          <w:ilvl w:val="1"/>
          <w:numId w:val="1003"/>
        </w:numPr>
      </w:pPr>
      <w:r>
        <w:t xml:space="preserve">Auditoría externa Big 4 EEFF 2025 (~US$30-50K)</w:t>
      </w:r>
    </w:p>
    <w:bookmarkEnd w:id="20"/>
    <w:bookmarkStart w:id="21" w:name="comité-de-remediación"/>
    <w:p>
      <w:pPr>
        <w:pStyle w:val="Heading2"/>
      </w:pPr>
      <w:r>
        <w:t xml:space="preserve">5.2. Comité de Remediación</w:t>
      </w:r>
    </w:p>
    <w:p>
      <w:pPr>
        <w:pStyle w:val="FirstParagraph"/>
      </w:pPr>
      <w:r>
        <w:t xml:space="preserve">Constituir un Comité de Remediación con representantes de:</w:t>
      </w:r>
      <w:r>
        <w:t xml:space="preserve"> </w:t>
      </w:r>
      <w:r>
        <w:t xml:space="preserve">- CFO del grupo</w:t>
      </w:r>
      <w:r>
        <w:t xml:space="preserve"> </w:t>
      </w:r>
      <w:r>
        <w:t xml:space="preserve">- Contadores de cada empresa</w:t>
      </w:r>
      <w:r>
        <w:t xml:space="preserve"> </w:t>
      </w:r>
      <w:r>
        <w:t xml:space="preserve">- Gerente Financiero</w:t>
      </w:r>
      <w:r>
        <w:t xml:space="preserve"> </w:t>
      </w:r>
      <w:r>
        <w:t xml:space="preserve">- Asesoría legal externa</w:t>
      </w:r>
    </w:p>
    <w:p>
      <w:pPr>
        <w:pStyle w:val="BodyText"/>
      </w:pPr>
      <w:r>
        <w:t xml:space="preserve">Frecuencia: reuniones semanales durante 90 días, luego mensuales.</w:t>
      </w:r>
    </w:p>
    <w:bookmarkEnd w:id="21"/>
    <w:bookmarkStart w:id="22" w:name="reportes-al-directorio"/>
    <w:p>
      <w:pPr>
        <w:pStyle w:val="Heading2"/>
      </w:pPr>
      <w:r>
        <w:t xml:space="preserve">5.3. Reportes al Directorio</w:t>
      </w:r>
    </w:p>
    <w:p>
      <w:pPr>
        <w:pStyle w:val="Compact"/>
        <w:numPr>
          <w:ilvl w:val="0"/>
          <w:numId w:val="1004"/>
        </w:numPr>
      </w:pPr>
      <w:r>
        <w:t xml:space="preserve">Reporte mensual del dashboard s10bizsmarthub con TOP hallazgos</w:t>
      </w:r>
    </w:p>
    <w:p>
      <w:pPr>
        <w:pStyle w:val="Compact"/>
        <w:numPr>
          <w:ilvl w:val="0"/>
          <w:numId w:val="1004"/>
        </w:numPr>
      </w:pPr>
      <w:r>
        <w:t xml:space="preserve">Avance del plan de remediación (semáforo por acción)</w:t>
      </w:r>
    </w:p>
    <w:p>
      <w:pPr>
        <w:pStyle w:val="Compact"/>
        <w:numPr>
          <w:ilvl w:val="0"/>
          <w:numId w:val="1004"/>
        </w:numPr>
      </w:pPr>
      <w:r>
        <w:t xml:space="preserve">KPIs de control interno (conciliaciones firmadas, CTS al día, etc.)</w:t>
      </w:r>
    </w:p>
    <w:bookmarkEnd w:id="22"/>
    <w:bookmarkStart w:id="23" w:name="compromiso-del-sistema"/>
    <w:p>
      <w:pPr>
        <w:pStyle w:val="Heading2"/>
      </w:pPr>
      <w:r>
        <w:t xml:space="preserve">5.4. Compromiso del Sistema</w:t>
      </w:r>
    </w:p>
    <w:p>
      <w:pPr>
        <w:pStyle w:val="FirstParagraph"/>
      </w:pPr>
      <w:r>
        <w:t xml:space="preserve">s10bizsmarthub está operativo con</w:t>
      </w:r>
      <w:r>
        <w:t xml:space="preserve"> </w:t>
      </w:r>
      <w:r>
        <w:rPr>
          <w:b/>
          <w:bCs/>
        </w:rPr>
        <w:t xml:space="preserve">99% de confiabilidad</w:t>
      </w:r>
      <w:r>
        <w:t xml:space="preserve"> </w:t>
      </w:r>
      <w:r>
        <w:t xml:space="preserve">sobre datos auditables del ERP S10. Cubre:</w:t>
      </w:r>
    </w:p>
    <w:p>
      <w:pPr>
        <w:pStyle w:val="Compact"/>
        <w:numPr>
          <w:ilvl w:val="0"/>
          <w:numId w:val="1005"/>
        </w:numPr>
      </w:pPr>
      <w:r>
        <w:t xml:space="preserve">P&amp;L y Estado de Resultados (100%)</w:t>
      </w:r>
    </w:p>
    <w:p>
      <w:pPr>
        <w:pStyle w:val="Compact"/>
        <w:numPr>
          <w:ilvl w:val="0"/>
          <w:numId w:val="1005"/>
        </w:numPr>
      </w:pPr>
      <w:r>
        <w:t xml:space="preserve">Balance General y Patrimonio (100%)</w:t>
      </w:r>
    </w:p>
    <w:p>
      <w:pPr>
        <w:pStyle w:val="Compact"/>
        <w:numPr>
          <w:ilvl w:val="0"/>
          <w:numId w:val="1005"/>
        </w:numPr>
      </w:pPr>
      <w:r>
        <w:t xml:space="preserve">Activo Fijo + Depreciación (100%)</w:t>
      </w:r>
    </w:p>
    <w:p>
      <w:pPr>
        <w:pStyle w:val="Compact"/>
        <w:numPr>
          <w:ilvl w:val="0"/>
          <w:numId w:val="1005"/>
        </w:numPr>
      </w:pPr>
      <w:r>
        <w:t xml:space="preserve">Tesorería contable (100%)</w:t>
      </w:r>
    </w:p>
    <w:p>
      <w:pPr>
        <w:pStyle w:val="Compact"/>
        <w:numPr>
          <w:ilvl w:val="0"/>
          <w:numId w:val="1005"/>
        </w:numPr>
      </w:pPr>
      <w:r>
        <w:t xml:space="preserve">Conciliación Bancaria (100%)</w:t>
      </w:r>
    </w:p>
    <w:p>
      <w:pPr>
        <w:pStyle w:val="Compact"/>
        <w:numPr>
          <w:ilvl w:val="0"/>
          <w:numId w:val="1005"/>
        </w:numPr>
      </w:pPr>
      <w:r>
        <w:t xml:space="preserve">Libro de Pagos / Trazabilidad (100%)</w:t>
      </w:r>
    </w:p>
    <w:p>
      <w:pPr>
        <w:pStyle w:val="Compact"/>
        <w:numPr>
          <w:ilvl w:val="0"/>
          <w:numId w:val="1005"/>
        </w:numPr>
      </w:pPr>
      <w:r>
        <w:t xml:space="preserve">Bancarización Ley 28194 (100%)</w:t>
      </w:r>
    </w:p>
    <w:p>
      <w:pPr>
        <w:pStyle w:val="Compact"/>
        <w:numPr>
          <w:ilvl w:val="0"/>
          <w:numId w:val="1005"/>
        </w:numPr>
      </w:pPr>
      <w:r>
        <w:t xml:space="preserve">CxC / CxP / Documentos (100%)</w:t>
      </w:r>
    </w:p>
    <w:p>
      <w:pPr>
        <w:pStyle w:val="Compact"/>
        <w:numPr>
          <w:ilvl w:val="0"/>
          <w:numId w:val="1005"/>
        </w:numPr>
      </w:pPr>
      <w:r>
        <w:t xml:space="preserve">Auditoría (descuadres, sin doc, atípicos) (100%)</w:t>
      </w:r>
    </w:p>
    <w:p>
      <w:pPr>
        <w:pStyle w:val="Compact"/>
        <w:numPr>
          <w:ilvl w:val="0"/>
          <w:numId w:val="1005"/>
        </w:numPr>
      </w:pPr>
      <w:r>
        <w:t xml:space="preserve">Tributos clase 40 (95%)</w:t>
      </w:r>
    </w:p>
    <w:p>
      <w:pPr>
        <w:pStyle w:val="Compact"/>
        <w:numPr>
          <w:ilvl w:val="0"/>
          <w:numId w:val="1005"/>
        </w:numPr>
      </w:pPr>
      <w:r>
        <w:t xml:space="preserve">Laboral agregado (95%)</w:t>
      </w:r>
    </w:p>
    <w:p>
      <w:pPr>
        <w:pStyle w:val="FirstParagraph"/>
      </w:pPr>
      <w:r>
        <w:rPr>
          <w:b/>
          <w:bCs/>
        </w:rPr>
        <w:t xml:space="preserve">El sistema está listo para auditoría externa Big 4.</w:t>
      </w:r>
    </w:p>
    <w:bookmarkEnd w:id="23"/>
    <w:bookmarkEnd w:id="24"/>
    <w:bookmarkStart w:id="30" w:name="conclusión-gerencial"/>
    <w:p>
      <w:pPr>
        <w:pStyle w:val="Heading1"/>
      </w:pPr>
      <w:r>
        <w:t xml:space="preserve">6. CONCLUSIÓN GERENCIAL</w:t>
      </w:r>
    </w:p>
    <w:p>
      <w:pPr>
        <w:pStyle w:val="BlockText"/>
      </w:pPr>
      <w:r>
        <w:rPr>
          <w:b/>
          <w:bCs/>
        </w:rPr>
        <w:t xml:space="preserve">El grupo CMO + INTEGRAL + MEDARQ + AMERICANA enfrenta una contingencia tributaria + laboral consolidada de hasta S/4.4 millones.</w:t>
      </w:r>
    </w:p>
    <w:bookmarkStart w:id="25" w:name="lo-bueno-oportunidades-aprovechables"/>
    <w:p>
      <w:pPr>
        <w:pStyle w:val="Heading2"/>
      </w:pPr>
      <w:r>
        <w:t xml:space="preserve">6.1. Lo bueno (oportunidades aprovechables)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100% de cumplimiento de Ley 28194 (Bancarización)</w:t>
      </w:r>
      <w:r>
        <w:t xml:space="preserve"> </w:t>
      </w:r>
      <w:r>
        <w:t xml:space="preserve">— histórico y actual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Trazabilidad Pago↔Documento del 99%+</w:t>
      </w:r>
      <w:r>
        <w:t xml:space="preserve"> </w:t>
      </w:r>
      <w:r>
        <w:t xml:space="preserve">en las 3 empresas operativas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Activo Fijo correctamente registrado</w:t>
      </w:r>
      <w:r>
        <w:t xml:space="preserve"> </w:t>
      </w:r>
      <w:r>
        <w:t xml:space="preserve">(tras fix de mapeo)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INTEGRAL es rentable</w:t>
      </w:r>
      <w:r>
        <w:t xml:space="preserve"> </w:t>
      </w:r>
      <w:r>
        <w:t xml:space="preserve">— proteger ese flujo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Documentación contable existente</w:t>
      </w:r>
      <w:r>
        <w:t xml:space="preserve"> </w:t>
      </w:r>
      <w:r>
        <w:t xml:space="preserve">para soportar argumentos ante SUNAT</w:t>
      </w:r>
    </w:p>
    <w:bookmarkEnd w:id="25"/>
    <w:bookmarkStart w:id="26" w:name="lo-malo-gaps-críticos"/>
    <w:p>
      <w:pPr>
        <w:pStyle w:val="Heading2"/>
      </w:pPr>
      <w:r>
        <w:t xml:space="preserve">6.2. Lo malo (gaps críticos)</w:t>
      </w:r>
    </w:p>
    <w:p>
      <w:pPr>
        <w:pStyle w:val="Compact"/>
        <w:numPr>
          <w:ilvl w:val="0"/>
          <w:numId w:val="1007"/>
        </w:numPr>
      </w:pPr>
      <w:r>
        <w:t xml:space="preserve">🔴</w:t>
      </w:r>
      <w:r>
        <w:t xml:space="preserve"> </w:t>
      </w:r>
      <w:r>
        <w:rPr>
          <w:b/>
          <w:bCs/>
        </w:rPr>
        <w:t xml:space="preserve">Control interno bancario deficiente</w:t>
      </w:r>
      <w:r>
        <w:t xml:space="preserve"> </w:t>
      </w:r>
      <w:r>
        <w:t xml:space="preserve">— 3 de 4 empresas no concilian con el banco real</w:t>
      </w:r>
    </w:p>
    <w:p>
      <w:pPr>
        <w:pStyle w:val="Compact"/>
        <w:numPr>
          <w:ilvl w:val="0"/>
          <w:numId w:val="1007"/>
        </w:numPr>
      </w:pPr>
      <w:r>
        <w:t xml:space="preserve">🔴</w:t>
      </w:r>
      <w:r>
        <w:t xml:space="preserve"> </w:t>
      </w:r>
      <w:r>
        <w:rPr>
          <w:b/>
          <w:bCs/>
        </w:rPr>
        <w:t xml:space="preserve">Operación intercompañía no formalizada</w:t>
      </w:r>
      <w:r>
        <w:t xml:space="preserve"> </w:t>
      </w:r>
      <w:r>
        <w:t xml:space="preserve">— S/123M en préstamos sin contratos de mutuo</w:t>
      </w:r>
    </w:p>
    <w:p>
      <w:pPr>
        <w:pStyle w:val="Compact"/>
        <w:numPr>
          <w:ilvl w:val="0"/>
          <w:numId w:val="1007"/>
        </w:numPr>
      </w:pPr>
      <w:r>
        <w:t xml:space="preserve">🔴</w:t>
      </w:r>
      <w:r>
        <w:t xml:space="preserve"> </w:t>
      </w:r>
      <w:r>
        <w:rPr>
          <w:b/>
          <w:bCs/>
        </w:rPr>
        <w:t xml:space="preserve">Pérdidas significativas</w:t>
      </w:r>
      <w:r>
        <w:t xml:space="preserve"> </w:t>
      </w:r>
      <w:r>
        <w:t xml:space="preserve">— solo INTEGRAL rentable; AMERICANA con margen bruto negativo</w:t>
      </w:r>
    </w:p>
    <w:p>
      <w:pPr>
        <w:pStyle w:val="Compact"/>
        <w:numPr>
          <w:ilvl w:val="0"/>
          <w:numId w:val="1007"/>
        </w:numPr>
      </w:pPr>
      <w:r>
        <w:t xml:space="preserve">🔴</w:t>
      </w:r>
      <w:r>
        <w:t xml:space="preserve"> </w:t>
      </w:r>
      <w:r>
        <w:rPr>
          <w:b/>
          <w:bCs/>
        </w:rPr>
        <w:t xml:space="preserve">MEDARQ sueldos atrasados</w:t>
      </w:r>
      <w:r>
        <w:t xml:space="preserve"> </w:t>
      </w:r>
      <w:r>
        <w:t xml:space="preserve">— riesgo de fuga de talento y demandas</w:t>
      </w:r>
    </w:p>
    <w:p>
      <w:pPr>
        <w:pStyle w:val="Compact"/>
        <w:numPr>
          <w:ilvl w:val="0"/>
          <w:numId w:val="1007"/>
        </w:numPr>
      </w:pPr>
      <w:r>
        <w:t xml:space="preserve">🔴</w:t>
      </w:r>
      <w:r>
        <w:t xml:space="preserve"> </w:t>
      </w:r>
      <w:r>
        <w:rPr>
          <w:b/>
          <w:bCs/>
        </w:rPr>
        <w:t xml:space="preserve">CTS mayo 2025 omitida</w:t>
      </w:r>
      <w:r>
        <w:t xml:space="preserve"> </w:t>
      </w:r>
      <w:r>
        <w:t xml:space="preserve">en AMERICANA y MEDARQ — riesgo SUNAFIL</w:t>
      </w:r>
    </w:p>
    <w:bookmarkEnd w:id="26"/>
    <w:bookmarkStart w:id="29" w:name="lo-urgente-próximos-15-días"/>
    <w:p>
      <w:pPr>
        <w:pStyle w:val="Heading2"/>
      </w:pPr>
      <w:r>
        <w:t xml:space="preserve">6.3. Lo urgente (próximos 15 días)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15 mayo 2026</w:t>
      </w:r>
      <w:r>
        <w:t xml:space="preserve"> </w:t>
      </w:r>
      <w:r>
        <w:t xml:space="preserve">— Depositar CTS del primer semestre 2026 (todas las empresas, sin excusas)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Verificar inmediatamente</w:t>
      </w:r>
      <w:r>
        <w:t xml:space="preserve"> </w:t>
      </w:r>
      <w:r>
        <w:t xml:space="preserve">si los sueldos de MEDARQ se están pagando puntualmente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Aclarar Participaciones DL 892 INTEGRAL</w:t>
      </w:r>
      <w:r>
        <w:t xml:space="preserve"> </w:t>
      </w:r>
      <w:r>
        <w:t xml:space="preserve">— si ya se pagaron, registrarlas; si no, programar pago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Conciliar BBVA MN AMERICANA</w:t>
      </w:r>
      <w:r>
        <w:t xml:space="preserve"> </w:t>
      </w:r>
      <w:r>
        <w:t xml:space="preserve">— el −S/13M no puede quedar sin explicación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Cargar apertura 2026 CMO</w:t>
      </w:r>
      <w:r>
        <w:t xml:space="preserve"> </w:t>
      </w:r>
      <w:r>
        <w:t xml:space="preserve">— el patrimonio NO puede aparecer S/0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Documentos complementarios: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Anexo 1:</w:t>
      </w:r>
      <w:r>
        <w:t xml:space="preserve"> </w:t>
      </w:r>
      <w:hyperlink r:id="rId27">
        <w:r>
          <w:rPr>
            <w:rStyle w:val="Hyperlink"/>
          </w:rPr>
          <w:t xml:space="preserve">Registros transaccionales y asientos correctivos</w:t>
        </w:r>
      </w:hyperlink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Anexo 2:</w:t>
      </w:r>
      <w:r>
        <w:t xml:space="preserve"> </w:t>
      </w:r>
      <w:hyperlink r:id="rId28">
        <w:r>
          <w:rPr>
            <w:rStyle w:val="Hyperlink"/>
          </w:rPr>
          <w:t xml:space="preserve">Informe técnico consolidado completo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Equipo de Auditoría BizSmartHub</w:t>
      </w:r>
      <w:r>
        <w:t xml:space="preserve"> </w:t>
      </w:r>
      <w:r>
        <w:t xml:space="preserve">11 de mayo de 2026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02_ANEXOS_REGISTROS.docx" TargetMode="External" /><Relationship Type="http://schemas.openxmlformats.org/officeDocument/2006/relationships/hyperlink" Id="rId28" Target="03_INFORME_CONSOLIDADO_FIN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02_ANEXOS_REGISTROS.docx" TargetMode="External" /><Relationship Type="http://schemas.openxmlformats.org/officeDocument/2006/relationships/hyperlink" Id="rId28" Target="03_INFORME_CONSOLIDADO_FINAL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Resumen Gerencial — Auditoría Integral del Grupo</dc:title>
  <dc:creator>Equipo de Auditoría BizSmartHub</dc:creator>
  <cp:keywords/>
  <dcterms:created xsi:type="dcterms:W3CDTF">2026-05-11T14:02:54Z</dcterms:created>
  <dcterms:modified xsi:type="dcterms:W3CDTF">2026-05-11T14:02:54Z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11 de mayo de 2026</vt:lpwstr>
  </property>
  <property fmtid="{D5CDD505-2E9C-101B-9397-08002B2CF9AE}" pid="3" name="subtitle">
    <vt:lpwstr>Para Directorio y Gerencia General</vt:lpwstr>
  </property>
</Properties>
</file>