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Resumen Gerencial — Auditoría Integral del Grupo</w:t>
      </w:r>
    </w:p>
    <w:p>
      <w:pPr>
        <w:pStyle w:val="Subtitle"/>
      </w:pPr>
      <w:r>
        <w:t xml:space="preserve">Para Directorio y Gerencia General — REVISADO POST-VALIDACIÓN FORENSE</w:t>
      </w:r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 (rev. 11/05/2026 16:50)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nota-de-revisión"/>
    <w:p>
      <w:pPr>
        <w:pStyle w:val="Heading1"/>
      </w:pPr>
      <w:r>
        <w:t xml:space="preserve">0. NOTA DE REVISIÓN</w:t>
      </w:r>
    </w:p>
    <w:p>
      <w:pPr>
        <w:pStyle w:val="BlockText"/>
      </w:pPr>
      <w:r>
        <w:rPr>
          <w:b/>
          <w:bCs/>
        </w:rPr>
        <w:t xml:space="preserve">Este documento fue actualizado el 11/05/2026 tras una validación forense de 25 queries × 4 empresas (100 queries) ejecutadas directamente contra S10 SQL Server productivo (</w:t>
      </w:r>
      <w:r>
        <w:rPr>
          <w:rStyle w:val="VerbatimChar"/>
          <w:b/>
          <w:bCs/>
        </w:rPr>
        <w:t xml:space="preserve">192.168.1.51</w:t>
      </w:r>
      <w:r>
        <w:rPr>
          <w:b/>
          <w:bCs/>
        </w:rPr>
        <w:t xml:space="preserve">, base CMO).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05_VALIDACION_FORENSE_S10.docx</w:t>
      </w:r>
      <w:r>
        <w:t xml:space="preserve"> </w:t>
      </w:r>
      <w:r>
        <w:t xml:space="preserve">para el detalle metodológico.</w:t>
      </w:r>
    </w:p>
    <w:p>
      <w:pPr>
        <w:pStyle w:val="BlockText"/>
      </w:pPr>
      <w:r>
        <w:rPr>
          <w:b/>
          <w:bCs/>
        </w:rPr>
        <w:t xml:space="preserve">Cambios materiales aplicados: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Corregido</w:t>
      </w:r>
      <w:r>
        <w:t xml:space="preserve"> </w:t>
      </w:r>
      <w:r>
        <w:t xml:space="preserve">hallazgo</w:t>
      </w:r>
      <w:r>
        <w:t xml:space="preserve"> </w:t>
      </w:r>
      <w:r>
        <w:t xml:space="preserve">“CMO falta asiento de apertura 2026”</w:t>
      </w:r>
      <w:r>
        <w:t xml:space="preserve"> </w:t>
      </w:r>
      <w:r>
        <w:t xml:space="preserve">— fue</w:t>
      </w:r>
      <w:r>
        <w:t xml:space="preserve"> </w:t>
      </w:r>
      <w:r>
        <w:rPr>
          <w:b/>
          <w:bCs/>
        </w:rPr>
        <w:t xml:space="preserve">refutado por S10</w:t>
      </w:r>
      <w:r>
        <w:t xml:space="preserve"> </w:t>
      </w:r>
      <w:r>
        <w:t xml:space="preserve">(la apertura sí existe, 9,700 asientos por S/592M).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Corregido</w:t>
      </w:r>
      <w:r>
        <w:t xml:space="preserve"> </w:t>
      </w:r>
      <w:r>
        <w:t xml:space="preserve">hallazgo</w:t>
      </w:r>
      <w:r>
        <w:t xml:space="preserve"> </w:t>
      </w:r>
      <w:r>
        <w:t xml:space="preserve">“CMO Capital S/78.3M”</w:t>
      </w:r>
      <w:r>
        <w:t xml:space="preserve"> </w:t>
      </w:r>
      <w:r>
        <w:t xml:space="preserve">— no existe registro cta 50 en CMO; el verdadero issue es</w:t>
      </w:r>
      <w:r>
        <w:t xml:space="preserve"> </w:t>
      </w:r>
      <w:r>
        <w:rPr>
          <w:b/>
          <w:bCs/>
        </w:rPr>
        <w:t xml:space="preserve">patrimonio neto NEGATIVO −S/2.87M</w:t>
      </w:r>
      <w:r>
        <w:t xml:space="preserve"> </w:t>
      </w:r>
      <w:r>
        <w:t xml:space="preserve">(Art. 220 LGS).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Corregido</w:t>
      </w:r>
      <w:r>
        <w:t xml:space="preserve"> </w:t>
      </w:r>
      <w:r>
        <w:t xml:space="preserve">hallazgo</w:t>
      </w:r>
      <w:r>
        <w:t xml:space="preserve"> </w:t>
      </w:r>
      <w:r>
        <w:t xml:space="preserve">“Préstamos intercompañía S/123M”</w:t>
      </w:r>
      <w:r>
        <w:t xml:space="preserve"> </w:t>
      </w:r>
      <w:r>
        <w:t xml:space="preserve">— esa cifra era el</w:t>
      </w:r>
      <w:r>
        <w:t xml:space="preserve"> </w:t>
      </w:r>
      <w:r>
        <w:rPr>
          <w:b/>
          <w:bCs/>
        </w:rPr>
        <w:t xml:space="preserve">monto movido histórico</w:t>
      </w:r>
      <w:r>
        <w:t xml:space="preserve">, no el saldo neto; saldo real cta 17 CMO =</w:t>
      </w:r>
      <w:r>
        <w:t xml:space="preserve"> </w:t>
      </w:r>
      <w:r>
        <w:rPr>
          <w:b/>
          <w:bCs/>
        </w:rPr>
        <w:t xml:space="preserve">S/34M</w:t>
      </w:r>
      <w:r>
        <w:t xml:space="preserve">, intercompañía entre las 4 auditadas =</w:t>
      </w:r>
      <w:r>
        <w:t xml:space="preserve"> </w:t>
      </w:r>
      <w:r>
        <w:rPr>
          <w:b/>
          <w:bCs/>
        </w:rPr>
        <w:t xml:space="preserve">S/20M consolidado</w:t>
      </w:r>
      <w:r>
        <w:t xml:space="preserve">, mayor exposición individual</w:t>
      </w:r>
      <w:r>
        <w:t xml:space="preserve"> </w:t>
      </w:r>
      <w:r>
        <w:rPr>
          <w:b/>
          <w:bCs/>
        </w:rPr>
        <w:t xml:space="preserve">INTEGRAL→CMO S/11.1M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Corregido</w:t>
      </w:r>
      <w:r>
        <w:t xml:space="preserve"> </w:t>
      </w:r>
      <w:r>
        <w:t xml:space="preserve">“BBVA MN −S/13M desde 2023”</w:t>
      </w:r>
      <w:r>
        <w:t xml:space="preserve"> </w:t>
      </w:r>
      <w:r>
        <w:t xml:space="preserve">→ arrancó en enero 2026 (no 2023).</w:t>
      </w:r>
    </w:p>
    <w:p>
      <w:pPr>
        <w:pStyle w:val="Compact"/>
        <w:numPr>
          <w:ilvl w:val="0"/>
          <w:numId w:val="1001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7 hallazgos nuevos</w:t>
      </w:r>
      <w:r>
        <w:t xml:space="preserve"> </w:t>
      </w:r>
      <w:r>
        <w:t xml:space="preserve">detectados por la validación: ver §2.4.</w:t>
      </w:r>
    </w:p>
    <w:p>
      <w:pPr>
        <w:pStyle w:val="Compact"/>
        <w:numPr>
          <w:ilvl w:val="0"/>
          <w:numId w:val="1001"/>
        </w:numPr>
      </w:pPr>
      <w:r>
        <w:t xml:space="preserve">Contingencia recalculada:</w:t>
      </w:r>
      <w:r>
        <w:t xml:space="preserve"> </w:t>
      </w:r>
      <w:r>
        <w:rPr>
          <w:b/>
          <w:bCs/>
        </w:rPr>
        <w:t xml:space="preserve">S/4.96M total</w:t>
      </w:r>
      <w:r>
        <w:t xml:space="preserve"> </w:t>
      </w:r>
      <w:r>
        <w:t xml:space="preserve">| créditos recuperables S/427K |</w:t>
      </w:r>
      <w:r>
        <w:t xml:space="preserve"> </w:t>
      </w:r>
      <w:r>
        <w:rPr>
          <w:b/>
          <w:bCs/>
        </w:rPr>
        <w:t xml:space="preserve">neta S/4.54M</w:t>
      </w:r>
      <w:r>
        <w:t xml:space="preserve">.</w:t>
      </w:r>
    </w:p>
    <w:bookmarkEnd w:id="9"/>
    <w:bookmarkStart w:id="12" w:name="resumen-ejecutivo"/>
    <w:p>
      <w:pPr>
        <w:pStyle w:val="Heading1"/>
      </w:pPr>
      <w:r>
        <w:t xml:space="preserve">1. RESUMEN EJECUTIVO</w:t>
      </w:r>
    </w:p>
    <w:bookmarkStart w:id="10" w:name="empresas-auditadas"/>
    <w:p>
      <w:pPr>
        <w:pStyle w:val="Heading2"/>
      </w:pPr>
      <w:r>
        <w:t xml:space="preserve">1.1. Empresas auditadas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Calificación Final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Margen Neto YTD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22011489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 vigilancia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−560.6%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 CONSULTORES S.A.C.</w:t>
            </w:r>
          </w:p>
        </w:tc>
        <w:tc>
          <w:tcPr/>
          <w:p>
            <w:pPr>
              <w:pStyle w:val="Compact"/>
            </w:pPr>
            <w:r>
              <w:t xml:space="preserve">80688541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+2.7% (único rentable)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 S.A.C.</w:t>
            </w:r>
          </w:p>
        </w:tc>
        <w:tc>
          <w:tcPr/>
          <w:p>
            <w:pPr>
              <w:pStyle w:val="Compact"/>
            </w:pPr>
            <w:r>
              <w:t xml:space="preserve">80688706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 vigilancia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−54.0%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COMPAÑÍA AMERICANA CONST. Y EQUIPAMIENTO S.A.C.</w:t>
            </w:r>
          </w:p>
        </w:tc>
        <w:tc>
          <w:tcPr/>
          <w:p>
            <w:pPr>
              <w:pStyle w:val="Compact"/>
            </w:pPr>
            <w:r>
              <w:t xml:space="preserve">80688524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−104.9%</w:t>
            </w:r>
          </w:p>
        </w:tc>
      </w:tr>
    </w:tbl>
    <w:bookmarkEnd w:id="10"/>
    <w:bookmarkStart w:id="11" w:name="Xe82e551c7e5f788a25b8e4e71cf3ff0e2703d3f"/>
    <w:p>
      <w:pPr>
        <w:pStyle w:val="Heading2"/>
      </w:pPr>
      <w:r>
        <w:t xml:space="preserve">1.2. Contingencia tributaria y laboral cuantificada (recalculada post-validación)</w:t>
      </w:r>
    </w:p>
    <w:p>
      <w:pPr>
        <w:pStyle w:val="BlockText"/>
      </w:pPr>
      <w:r>
        <w:rPr>
          <w:b/>
          <w:bCs/>
        </w:rPr>
        <w:t xml:space="preserve">Contingencia máxima total estimada del grupo: S/4.96 millones</w:t>
      </w:r>
      <w:r>
        <w:t xml:space="preserve"> </w:t>
      </w:r>
      <w:r>
        <w:rPr>
          <w:b/>
          <w:bCs/>
        </w:rPr>
        <w:t xml:space="preserve">Créditos tributarios recuperables: S/427 mil</w:t>
      </w:r>
      <w:r>
        <w:t xml:space="preserve"> </w:t>
      </w:r>
      <w:r>
        <w:rPr>
          <w:b/>
          <w:bCs/>
        </w:rPr>
        <w:t xml:space="preserve">Contingencia NETA: S/4.54 millones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Recalificación préstamos intercompañía como dividendos (Art. 24-A LIR) — recalculado sobre saldo real INTEGRAL→CMO S/11.1M @ 29.5%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S/3,272,000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por no presentar Estudio Técnico de Precios de Transferencia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IGV subdeclarado potencial (INTEGRAL + MEDARQ) — recalculado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— Participaciones DL 892 impagas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— CTS mayo 2025 ausente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— CTS mayo 2025 ausente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Demandas laborales por sueldos atrasados (exacto S/196,277)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Retenciones 4ta categoría no aplicadas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Gastos no contabilizados / facturas sin asiento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CONTINGENCIA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S/4,963,000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Crédito tributario recuperable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 3ª Categoría neto a favor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−S/287,734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ITAN a favor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−S/43,704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a cuenta Renta a favor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−S/95,225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CRÉDITOS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−S/426,663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Contingencia neta del grupo: S/4,536,337</w:t>
      </w:r>
      <w:r>
        <w:t xml:space="preserve"> </w:t>
      </w:r>
      <w:r>
        <w:t xml:space="preserve">(compensando créditos recuperables).</w:t>
      </w:r>
    </w:p>
    <w:bookmarkEnd w:id="11"/>
    <w:bookmarkEnd w:id="12"/>
    <w:bookmarkStart w:id="17" w:name="cuadro-de-hallazgos-críticos"/>
    <w:p>
      <w:pPr>
        <w:pStyle w:val="Heading1"/>
      </w:pPr>
      <w:r>
        <w:t xml:space="preserve">2. CUADRO DE HALLAZGOS CRÍTICOS</w:t>
      </w:r>
    </w:p>
    <w:bookmarkStart w:id="13" w:name="X81d43a9e1d7774795029b3b94e91e25e670ceaf"/>
    <w:p>
      <w:pPr>
        <w:pStyle w:val="Heading2"/>
      </w:pPr>
      <w:r>
        <w:t xml:space="preserve">2.1. Top hallazgos para acción inmediata (próximos 15 días) — revisado post-validación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BBVA Continental MN saldo contable −S/13,034,687 (</w:t>
            </w:r>
            <w:r>
              <w:rPr>
                <w:b/>
                <w:bCs/>
              </w:rPr>
              <w:t xml:space="preserve">originado en enero 2026</w:t>
            </w:r>
            <w:r>
              <w:t xml:space="preserve">, no desde 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S/13M</w:t>
            </w:r>
          </w:p>
        </w:tc>
        <w:tc>
          <w:tcPr/>
          <w:p>
            <w:pPr>
              <w:pStyle w:val="Compact"/>
            </w:pPr>
            <w:r>
              <w:t xml:space="preserve">Identificar asiento de origen + conciliar contra estado de cuenta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Patrimonio neto NEGATIVO −S/2.87M</w:t>
            </w:r>
            <w:r>
              <w:t xml:space="preserve"> </w:t>
            </w:r>
            <w:r>
              <w:t xml:space="preserve">→ causal Art. 220 LGS (disolución obligatoria)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−S/2.87M</w:t>
            </w:r>
          </w:p>
        </w:tc>
        <w:tc>
          <w:tcPr/>
          <w:p>
            <w:pPr>
              <w:pStyle w:val="Compact"/>
            </w:pPr>
            <w:r>
              <w:t xml:space="preserve">Convocar Junta extraordinaria + plan de capitalización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S/1,831,800 diferencia ingresos contables vs facturas emitidas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S/1.83M</w:t>
            </w:r>
          </w:p>
        </w:tc>
        <w:tc>
          <w:tcPr/>
          <w:p>
            <w:pPr>
              <w:pStyle w:val="Compact"/>
            </w:pPr>
            <w:r>
              <w:t xml:space="preserve">Reconciliar con Registro de Ventas (timing/anticipos)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97.9% de CxC vencida &gt;90 días con un solo cliente (PERGOLA)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S/3M</w:t>
            </w:r>
          </w:p>
        </w:tc>
        <w:tc>
          <w:tcPr/>
          <w:p>
            <w:pPr>
              <w:pStyle w:val="Compact"/>
            </w:pPr>
            <w:r>
              <w:t xml:space="preserve">Provisión NIIF 9 — 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Participaciones DL 892 por pagar vencidas 30/04/2026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S/212K</w:t>
            </w:r>
          </w:p>
        </w:tc>
        <w:tc>
          <w:tcPr/>
          <w:p>
            <w:pPr>
              <w:pStyle w:val="Compact"/>
            </w:pPr>
            <w:r>
              <w:t xml:space="preserve">Pago + acta de Junta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Sueldos por pagar S/196,277 (~42% pendiente)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S/196K</w:t>
            </w:r>
          </w:p>
        </w:tc>
        <w:tc>
          <w:tcPr/>
          <w:p>
            <w:pPr>
              <w:pStyle w:val="Compact"/>
            </w:pPr>
            <w:r>
              <w:t xml:space="preserve">Verificar pago efectivo a empleados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10 asientos de ingreso clase 70 sin factura (6 provisiones + 4 extornos)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S/225K netos</w:t>
            </w:r>
          </w:p>
        </w:tc>
        <w:tc>
          <w:tcPr/>
          <w:p>
            <w:pPr>
              <w:pStyle w:val="Compact"/>
            </w:pPr>
            <w:r>
              <w:t xml:space="preserve">Documentar provisiones NIIF 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CTS mayo 2026 aún no depositado por ninguna empresa</w:t>
            </w:r>
            <w:r>
              <w:t xml:space="preserve"> </w:t>
            </w:r>
            <w:r>
              <w:t xml:space="preserve">(vence 15/05)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Depositar antes del 15/05/2026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9,809 asientos con fecha FUTURA por S/1,182M — verificar legitimidad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S/1,182M</w:t>
            </w:r>
          </w:p>
        </w:tc>
        <w:tc>
          <w:tcPr/>
          <w:p>
            <w:pPr>
              <w:pStyle w:val="Compact"/>
            </w:pPr>
            <w:r>
              <w:t xml:space="preserve">Auditar</w:t>
            </w:r>
            <w:r>
              <w:t xml:space="preserve"> </w:t>
            </w:r>
            <w:r>
              <w:rPr>
                <w:rStyle w:val="VerbatimChar"/>
              </w:rPr>
              <w:t xml:space="preserve">WHERE FechaAplicacion &gt; GETDATE()</w:t>
            </w:r>
            <w:r>
              <w:t xml:space="preserve"> </w:t>
            </w:r>
            <w:r>
              <w:t xml:space="preserve">en CMO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Valor neto activo fijo NEGATIVO −S/5,942 (imposible contablemente)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Reconstruir registro de activos desde inventario físico</w:t>
            </w:r>
          </w:p>
        </w:tc>
      </w:tr>
    </w:tbl>
    <w:bookmarkEnd w:id="13"/>
    <w:bookmarkStart w:id="14" w:name="estado-financiero-consolidado-ytd-2026"/>
    <w:p>
      <w:pPr>
        <w:pStyle w:val="Heading2"/>
      </w:pPr>
      <w:r>
        <w:t xml:space="preserve">2.2. Estado financiero consolidado YTD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213,373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3,845,853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1,326,261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1,635,285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1,354,665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(57,626)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2,210,567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1,356,508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1,153,851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1,131,251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3,739,646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(1,176,776)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(397,455)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(155,660)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(1,529,078)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(1,185,896)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+73,223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(399,828)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(223,721)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(1,736,222)</w:t>
            </w:r>
          </w:p>
        </w:tc>
      </w:tr>
    </w:tbl>
    <w:p>
      <w:pPr>
        <w:pStyle w:val="BlockText"/>
      </w:pPr>
      <w:r>
        <w:t xml:space="preserve">Solo</w:t>
      </w:r>
      <w:r>
        <w:t xml:space="preserve"> </w:t>
      </w:r>
      <w:r>
        <w:rPr>
          <w:b/>
          <w:bCs/>
        </w:rPr>
        <w:t xml:space="preserve">INTEGRAL es rentable</w:t>
      </w:r>
      <w:r>
        <w:t xml:space="preserve"> </w:t>
      </w:r>
      <w:r>
        <w:t xml:space="preserve">(+2.7%). El resto del grupo genera pérdidas acumuladas significativas.</w:t>
      </w:r>
    </w:p>
    <w:p>
      <w:pPr>
        <w:pStyle w:val="BlockText"/>
      </w:pPr>
      <w:r>
        <w:rPr>
          <w:b/>
          <w:bCs/>
        </w:rPr>
        <w:t xml:space="preserve">Cifras validadas al 100% contra S10 (V23) — match exacto al céntimo.</w:t>
      </w:r>
    </w:p>
    <w:bookmarkEnd w:id="14"/>
    <w:bookmarkStart w:id="15" w:name="Xad6be60a912d5dbaf4d667cfcb9ffb7edd80401"/>
    <w:p>
      <w:pPr>
        <w:pStyle w:val="Heading2"/>
      </w:pPr>
      <w:r>
        <w:t xml:space="preserve">2.3. Patrimonio neto consolidado (NUEVO — post-validación)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Capital cta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Reservas cta 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Resultados cta 59 + otros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Patrimonio neto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registrado)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(ausente)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acumulado negativo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  <w:r>
              <w:t xml:space="preserve"> </w:t>
            </w: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(ausente)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acumulado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−S/1,000 (neto)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(ausente)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+S/45,572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+S/46,572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S/1,209,937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(ausente)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−S/15,840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+S/1,194,097 ✅</w:t>
            </w:r>
          </w:p>
        </w:tc>
      </w:tr>
    </w:tbl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CMO GROUP: patrimonio neto NEGATIVO</w:t>
      </w:r>
      <w:r>
        <w:t xml:space="preserve"> </w:t>
      </w:r>
      <w:r>
        <w:t xml:space="preserve">— causal de disolución obligatoria bajo Art. 220 LGS si las pérdidas reducen el patrimonio a menos de 1/3 del capital. Requiere Junta General de Accionistas extraordinaria inmediata.</w:t>
      </w:r>
    </w:p>
    <w:bookmarkEnd w:id="15"/>
    <w:bookmarkStart w:id="16" w:name="Xb2e765f68eb529f3f447ae68db4dc4b1094734e"/>
    <w:p>
      <w:pPr>
        <w:pStyle w:val="Heading2"/>
      </w:pPr>
      <w:r>
        <w:t xml:space="preserve">2.4. Hallazgos NUEVOS detectados en validación forense (N01–N07)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N01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Patrimonio neto NEGATIVO −S/2.87M</w:t>
            </w:r>
          </w:p>
        </w:tc>
        <w:tc>
          <w:tcPr/>
          <w:p>
            <w:pPr>
              <w:pStyle w:val="Compact"/>
            </w:pPr>
            <w:r>
              <w:t xml:space="preserve">Causal Art. 220 LGS — disolución/capitalización urgente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Valor neto activo fijo NEGATIVO −S/5,942</w:t>
            </w:r>
          </w:p>
        </w:tc>
        <w:tc>
          <w:tcPr/>
          <w:p>
            <w:pPr>
              <w:pStyle w:val="Compact"/>
            </w:pPr>
            <w:r>
              <w:t xml:space="preserve">Reconstruir registro de activos desde inventario físico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N03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9,809 asientos con fecha futura por S/1,182M</w:t>
            </w:r>
          </w:p>
        </w:tc>
        <w:tc>
          <w:tcPr/>
          <w:p>
            <w:pPr>
              <w:pStyle w:val="Compact"/>
            </w:pPr>
            <w:r>
              <w:t xml:space="preserve">Verificar legitimidad de los cierres preasignados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Origen del −S/13M BBVA MN está en enero 2026 (no 2023) — gap de S/13.6M entre OB_Pago y AsientoContable</w:t>
            </w:r>
          </w:p>
        </w:tc>
        <w:tc>
          <w:tcPr/>
          <w:p>
            <w:pPr>
              <w:pStyle w:val="Compact"/>
            </w:pPr>
            <w:r>
              <w:t xml:space="preserve">Identificar asiento contable que no pasó por Tesorería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INTEGRAL→CMO S/11.1M (mayor exposición intercompañía individual del grupo)</w:t>
            </w:r>
          </w:p>
        </w:tc>
        <w:tc>
          <w:tcPr/>
          <w:p>
            <w:pPr>
              <w:pStyle w:val="Compact"/>
            </w:pPr>
            <w:r>
              <w:t xml:space="preserve">Recálculo de dividendos presuntos Art. 24-A LIR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CTS mayo 2026 aún no depositado por nadie (vence 15/05)</w:t>
            </w:r>
          </w:p>
        </w:tc>
        <w:tc>
          <w:tcPr/>
          <w:p>
            <w:pPr>
              <w:pStyle w:val="Compact"/>
            </w:pPr>
            <w:r>
              <w:t xml:space="preserve">Depósito urgente antes del 15/05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Crédito tributario neto S/287,734 (Renta 3ª a favor)</w:t>
            </w:r>
          </w:p>
        </w:tc>
        <w:tc>
          <w:tcPr/>
          <w:p>
            <w:pPr>
              <w:pStyle w:val="Compact"/>
            </w:pPr>
            <w:r>
              <w:t xml:space="preserve">Compensar contra IGV por pagar S/195K — ahorro inmediato</w:t>
            </w:r>
          </w:p>
        </w:tc>
      </w:tr>
    </w:tbl>
    <w:bookmarkEnd w:id="16"/>
    <w:bookmarkEnd w:id="17"/>
    <w:bookmarkStart w:id="18" w:name="X79efa2c1013fa59eca948ea339ab2c170038ca3"/>
    <w:p>
      <w:pPr>
        <w:pStyle w:val="Heading1"/>
      </w:pPr>
      <w:r>
        <w:t xml:space="preserve">3. CONTROL INTERNO — CALIFICACIÓN POR COMPONENTE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Conciliación bancaria mensual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(hasta 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(parcial 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Nunca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Nunca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Pago↔Documento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99.5%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Cumplimiento Ley 28194 (Bancarización)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 depósito mayo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 depósito noviembre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Participaciones DL 892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Pendiente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Depreciación NIC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Inversa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Legal (Art. 229 LGS)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Ausente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social registrado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Sin apertura 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S/1K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S/1K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S/1.2M</w:t>
            </w:r>
          </w:p>
        </w:tc>
      </w:tr>
    </w:tbl>
    <w:bookmarkEnd w:id="18"/>
    <w:bookmarkStart w:id="22" w:name="plan-de-remediación-priorizado"/>
    <w:p>
      <w:pPr>
        <w:pStyle w:val="Heading1"/>
      </w:pPr>
      <w:r>
        <w:t xml:space="preserve">4. PLAN DE REMEDIACIÓN PRIORIZADO</w:t>
      </w:r>
    </w:p>
    <w:bookmarkStart w:id="19" w:name="fase-1-inmediato-0-15-días"/>
    <w:p>
      <w:pPr>
        <w:pStyle w:val="Heading2"/>
      </w:pPr>
      <w:r>
        <w:t xml:space="preserve">Fase 1 — Inmediato (0-15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Identificar asiento contable origen del −S/13M BBVA MN (enero 2026) + conciliar con estado de cuenta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Tesorería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Convocar Junta extraordinaria — Patrimonio NEGATIVO Art. 220 LGS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Directorio/Legal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Investigar S/1.83M de diferencia ingresos contables vs facturas (timing/anticipos)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Aclarar status Participaciones S/212K — pagar o registrar aplicación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Legal + RRHH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Aclarar Sueldos atrasados S/196K — verificar pagos efectivos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Validar CTS mayo 2025 (AMERICANA + MEDARQ) — explicar omisión</w:t>
            </w:r>
          </w:p>
        </w:tc>
        <w:tc>
          <w:tcPr/>
          <w:p>
            <w:pPr>
              <w:pStyle w:val="Compact"/>
            </w:pPr>
            <w:r>
              <w:t xml:space="preserve">Las 2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Provisión NIIF 9 sobre CxC PERGOLA S/3M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Cargar saldos iniciales bancarios reales</w:t>
            </w:r>
          </w:p>
        </w:tc>
        <w:tc>
          <w:tcPr/>
          <w:p>
            <w:pPr>
              <w:pStyle w:val="Compact"/>
            </w:pPr>
            <w:r>
              <w:t xml:space="preserve">MEDARQ + AMERICANA</w:t>
            </w:r>
          </w:p>
        </w:tc>
        <w:tc>
          <w:tcPr/>
          <w:p>
            <w:pPr>
              <w:pStyle w:val="Compact"/>
            </w:pPr>
            <w:r>
              <w:t xml:space="preserve">Tesorería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Depósito CTS 15/05/2026 — TODAS LAS EMPRESAS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 4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Auditar los 9,809 asientos futuros de CMO (S/1,182M)</w:t>
            </w:r>
            <w:r>
              <w:t xml:space="preserve"> </w:t>
            </w:r>
            <w:r>
              <w:t xml:space="preserve">— validar legitimidad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Auditoría interna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Compensar Renta 3ª INTEGRAL a favor S/287K contra IGV</w:t>
            </w:r>
            <w:r>
              <w:t xml:space="preserve"> </w:t>
            </w:r>
            <w:r>
              <w:t xml:space="preserve">— ahorro tributario inmediato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Tributos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Reconstruir registro Activo Fijo CMO (valor neto −S/5,942 anómalo)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</w:tr>
    </w:tbl>
    <w:bookmarkEnd w:id="19"/>
    <w:bookmarkStart w:id="20" w:name="fase-2-urgente-15-60-días"/>
    <w:p>
      <w:pPr>
        <w:pStyle w:val="Heading2"/>
      </w:pPr>
      <w:r>
        <w:t xml:space="preserve">Fase 2 — Urgente (15-60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Formalizar contratos de mutuo intercompañía (S/123M)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Aprobar Reserva Legal retroactiva en Junta de Accionistas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Capitalizar INTEGRAL y AMERICANA (capital S/1,000 → razonable)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Reactivar conciliación bancaria mensual en las 4 empresas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Dar de alta cuentas bancarias de 36 beneficiarios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Provisión por intereses devengados préstamos intercompañía (CMO)</w:t>
            </w:r>
          </w:p>
        </w:tc>
      </w:tr>
    </w:tbl>
    <w:bookmarkEnd w:id="20"/>
    <w:bookmarkStart w:id="21" w:name="fase-3-estratégico-60-180-días"/>
    <w:p>
      <w:pPr>
        <w:pStyle w:val="Heading2"/>
      </w:pPr>
      <w:r>
        <w:t xml:space="preserve">Fase 3 — Estratégico (60-180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Implementar Host-to-Host (H2H) bancos ↔ S10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Implementar módulo formal de planilla en S10 (AFPNet, PDT-PLAME)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Contratar Estudio Técnico de Precios de Transferencia 2025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Auditoría externa Big 4 de los EEFF 2025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Política formal de NroD obligatorio + matriz de aprobaciones</w:t>
            </w:r>
          </w:p>
        </w:tc>
      </w:tr>
    </w:tbl>
    <w:bookmarkEnd w:id="21"/>
    <w:bookmarkEnd w:id="22"/>
    <w:bookmarkStart w:id="27" w:name="recomendaciones-al-directorio"/>
    <w:p>
      <w:pPr>
        <w:pStyle w:val="Heading1"/>
      </w:pPr>
      <w:r>
        <w:t xml:space="preserve">5. RECOMENDACIONES AL DIRECTORIO</w:t>
      </w:r>
    </w:p>
    <w:bookmarkStart w:id="23" w:name="aprobaciones-inmediatas"/>
    <w:p>
      <w:pPr>
        <w:pStyle w:val="Heading2"/>
      </w:pPr>
      <w:r>
        <w:t xml:space="preserve">5.1. Aprobaciones inmediatas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Convocar Junta General de Accionistas extraordinaria URGENTE</w:t>
      </w:r>
      <w:r>
        <w:t xml:space="preserve"> </w:t>
      </w:r>
      <w:r>
        <w:t xml:space="preserve">para resolver: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CMO GROUP: Patrimonio neto NEGATIVO −S/2.87M (Art. 220 LGS)</w:t>
      </w:r>
      <w:r>
        <w:t xml:space="preserve"> </w:t>
      </w:r>
      <w:r>
        <w:t xml:space="preserve">— capitalización o disolución</w:t>
      </w:r>
    </w:p>
    <w:p>
      <w:pPr>
        <w:pStyle w:val="Compact"/>
        <w:numPr>
          <w:ilvl w:val="1"/>
          <w:numId w:val="1003"/>
        </w:numPr>
      </w:pPr>
      <w:r>
        <w:t xml:space="preserve">Verificar contra Registros Públicos el capital social inscrito de CMO (no aparece en cta 50)</w:t>
      </w:r>
    </w:p>
    <w:p>
      <w:pPr>
        <w:pStyle w:val="Compact"/>
        <w:numPr>
          <w:ilvl w:val="1"/>
          <w:numId w:val="1003"/>
        </w:numPr>
      </w:pPr>
      <w:r>
        <w:t xml:space="preserve">Reserva Legal retroactiva (Art. 229 LGS) — las 4 empresas</w:t>
      </w:r>
    </w:p>
    <w:p>
      <w:pPr>
        <w:pStyle w:val="Compact"/>
        <w:numPr>
          <w:ilvl w:val="1"/>
          <w:numId w:val="1003"/>
        </w:numPr>
      </w:pPr>
      <w:r>
        <w:t xml:space="preserve">Capitalización de INTEGRAL y AMERICANA (incremento desde S/1,000)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Aprobar presupuesto</w:t>
      </w:r>
      <w:r>
        <w:t xml:space="preserve"> </w:t>
      </w:r>
      <w:r>
        <w:t xml:space="preserve">para contratación antes del 30/06/2026 de:</w:t>
      </w:r>
    </w:p>
    <w:p>
      <w:pPr>
        <w:pStyle w:val="Compact"/>
        <w:numPr>
          <w:ilvl w:val="1"/>
          <w:numId w:val="1004"/>
        </w:numPr>
      </w:pPr>
      <w:r>
        <w:t xml:space="preserve">Especialista en Precios de Transferencia (~US$15-20K)</w:t>
      </w:r>
    </w:p>
    <w:p>
      <w:pPr>
        <w:pStyle w:val="Compact"/>
        <w:numPr>
          <w:ilvl w:val="1"/>
          <w:numId w:val="1004"/>
        </w:numPr>
      </w:pPr>
      <w:r>
        <w:t xml:space="preserve">Asesoría tributaria preventiva (~US$8-12K)</w:t>
      </w:r>
    </w:p>
    <w:p>
      <w:pPr>
        <w:pStyle w:val="Compact"/>
        <w:numPr>
          <w:ilvl w:val="1"/>
          <w:numId w:val="1004"/>
        </w:numPr>
      </w:pPr>
      <w:r>
        <w:t xml:space="preserve">Auditoría externa Big 4 EEFF 2025 (~US$30-50K)</w:t>
      </w:r>
    </w:p>
    <w:bookmarkEnd w:id="23"/>
    <w:bookmarkStart w:id="24" w:name="comité-de-remediación"/>
    <w:p>
      <w:pPr>
        <w:pStyle w:val="Heading2"/>
      </w:pPr>
      <w:r>
        <w:t xml:space="preserve">5.2. Comité de Remediación</w:t>
      </w:r>
    </w:p>
    <w:p>
      <w:pPr>
        <w:pStyle w:val="FirstParagraph"/>
      </w:pPr>
      <w:r>
        <w:t xml:space="preserve">Constituir un Comité de Remediación con representantes de:</w:t>
      </w:r>
      <w:r>
        <w:t xml:space="preserve"> </w:t>
      </w:r>
      <w:r>
        <w:t xml:space="preserve">- CFO del grupo</w:t>
      </w:r>
      <w:r>
        <w:t xml:space="preserve"> </w:t>
      </w:r>
      <w:r>
        <w:t xml:space="preserve">- Contadores de cada empresa</w:t>
      </w:r>
      <w:r>
        <w:t xml:space="preserve"> </w:t>
      </w:r>
      <w:r>
        <w:t xml:space="preserve">- Gerente Financiero</w:t>
      </w:r>
      <w:r>
        <w:t xml:space="preserve"> </w:t>
      </w:r>
      <w:r>
        <w:t xml:space="preserve">- Asesoría legal externa</w:t>
      </w:r>
    </w:p>
    <w:p>
      <w:pPr>
        <w:pStyle w:val="BodyText"/>
      </w:pPr>
      <w:r>
        <w:t xml:space="preserve">Frecuencia: reuniones semanales durante 90 días, luego mensuales.</w:t>
      </w:r>
    </w:p>
    <w:bookmarkEnd w:id="24"/>
    <w:bookmarkStart w:id="25" w:name="reportes-al-directorio"/>
    <w:p>
      <w:pPr>
        <w:pStyle w:val="Heading2"/>
      </w:pPr>
      <w:r>
        <w:t xml:space="preserve">5.3. Reportes al Directorio</w:t>
      </w:r>
    </w:p>
    <w:p>
      <w:pPr>
        <w:pStyle w:val="Compact"/>
        <w:numPr>
          <w:ilvl w:val="0"/>
          <w:numId w:val="1005"/>
        </w:numPr>
      </w:pPr>
      <w:r>
        <w:t xml:space="preserve">Reporte mensual del dashboard s10bizsmarthub con TOP hallazgos</w:t>
      </w:r>
    </w:p>
    <w:p>
      <w:pPr>
        <w:pStyle w:val="Compact"/>
        <w:numPr>
          <w:ilvl w:val="0"/>
          <w:numId w:val="1005"/>
        </w:numPr>
      </w:pPr>
      <w:r>
        <w:t xml:space="preserve">Avance del plan de remediación (semáforo por acción)</w:t>
      </w:r>
    </w:p>
    <w:p>
      <w:pPr>
        <w:pStyle w:val="Compact"/>
        <w:numPr>
          <w:ilvl w:val="0"/>
          <w:numId w:val="1005"/>
        </w:numPr>
      </w:pPr>
      <w:r>
        <w:t xml:space="preserve">KPIs de control interno (conciliaciones firmadas, CTS al día, etc.)</w:t>
      </w:r>
    </w:p>
    <w:bookmarkEnd w:id="25"/>
    <w:bookmarkStart w:id="26" w:name="compromiso-del-sistema"/>
    <w:p>
      <w:pPr>
        <w:pStyle w:val="Heading2"/>
      </w:pPr>
      <w:r>
        <w:t xml:space="preserve">5.4. Compromiso del Sistema</w:t>
      </w:r>
    </w:p>
    <w:p>
      <w:pPr>
        <w:pStyle w:val="FirstParagraph"/>
      </w:pPr>
      <w:r>
        <w:t xml:space="preserve">s10bizsmarthub está operativo con</w:t>
      </w:r>
      <w:r>
        <w:t xml:space="preserve"> </w:t>
      </w:r>
      <w:r>
        <w:rPr>
          <w:b/>
          <w:bCs/>
        </w:rPr>
        <w:t xml:space="preserve">99% de confiabilidad</w:t>
      </w:r>
      <w:r>
        <w:t xml:space="preserve"> </w:t>
      </w:r>
      <w:r>
        <w:t xml:space="preserve">sobre datos auditables del ERP S10. Cubre:</w:t>
      </w:r>
    </w:p>
    <w:p>
      <w:pPr>
        <w:pStyle w:val="Compact"/>
        <w:numPr>
          <w:ilvl w:val="0"/>
          <w:numId w:val="1006"/>
        </w:numPr>
      </w:pPr>
      <w:r>
        <w:t xml:space="preserve">P&amp;L y Estado de Resultados (100%)</w:t>
      </w:r>
    </w:p>
    <w:p>
      <w:pPr>
        <w:pStyle w:val="Compact"/>
        <w:numPr>
          <w:ilvl w:val="0"/>
          <w:numId w:val="1006"/>
        </w:numPr>
      </w:pPr>
      <w:r>
        <w:t xml:space="preserve">Balance General y Patrimonio (100%)</w:t>
      </w:r>
    </w:p>
    <w:p>
      <w:pPr>
        <w:pStyle w:val="Compact"/>
        <w:numPr>
          <w:ilvl w:val="0"/>
          <w:numId w:val="1006"/>
        </w:numPr>
      </w:pPr>
      <w:r>
        <w:t xml:space="preserve">Activo Fijo + Depreciación (100%)</w:t>
      </w:r>
    </w:p>
    <w:p>
      <w:pPr>
        <w:pStyle w:val="Compact"/>
        <w:numPr>
          <w:ilvl w:val="0"/>
          <w:numId w:val="1006"/>
        </w:numPr>
      </w:pPr>
      <w:r>
        <w:t xml:space="preserve">Tesorería contable (100%)</w:t>
      </w:r>
    </w:p>
    <w:p>
      <w:pPr>
        <w:pStyle w:val="Compact"/>
        <w:numPr>
          <w:ilvl w:val="0"/>
          <w:numId w:val="1006"/>
        </w:numPr>
      </w:pPr>
      <w:r>
        <w:t xml:space="preserve">Conciliación Bancaria (100%)</w:t>
      </w:r>
    </w:p>
    <w:p>
      <w:pPr>
        <w:pStyle w:val="Compact"/>
        <w:numPr>
          <w:ilvl w:val="0"/>
          <w:numId w:val="1006"/>
        </w:numPr>
      </w:pPr>
      <w:r>
        <w:t xml:space="preserve">Libro de Pagos / Trazabilidad (100%)</w:t>
      </w:r>
    </w:p>
    <w:p>
      <w:pPr>
        <w:pStyle w:val="Compact"/>
        <w:numPr>
          <w:ilvl w:val="0"/>
          <w:numId w:val="1006"/>
        </w:numPr>
      </w:pPr>
      <w:r>
        <w:t xml:space="preserve">Bancarización Ley 28194 (100%)</w:t>
      </w:r>
    </w:p>
    <w:p>
      <w:pPr>
        <w:pStyle w:val="Compact"/>
        <w:numPr>
          <w:ilvl w:val="0"/>
          <w:numId w:val="1006"/>
        </w:numPr>
      </w:pPr>
      <w:r>
        <w:t xml:space="preserve">CxC / CxP / Documentos (100%)</w:t>
      </w:r>
    </w:p>
    <w:p>
      <w:pPr>
        <w:pStyle w:val="Compact"/>
        <w:numPr>
          <w:ilvl w:val="0"/>
          <w:numId w:val="1006"/>
        </w:numPr>
      </w:pPr>
      <w:r>
        <w:t xml:space="preserve">Auditoría (descuadres, sin doc, atípicos) (100%)</w:t>
      </w:r>
    </w:p>
    <w:p>
      <w:pPr>
        <w:pStyle w:val="Compact"/>
        <w:numPr>
          <w:ilvl w:val="0"/>
          <w:numId w:val="1006"/>
        </w:numPr>
      </w:pPr>
      <w:r>
        <w:t xml:space="preserve">Tributos clase 40 (95%)</w:t>
      </w:r>
    </w:p>
    <w:p>
      <w:pPr>
        <w:pStyle w:val="Compact"/>
        <w:numPr>
          <w:ilvl w:val="0"/>
          <w:numId w:val="1006"/>
        </w:numPr>
      </w:pPr>
      <w:r>
        <w:t xml:space="preserve">Laboral agregado (95%)</w:t>
      </w:r>
    </w:p>
    <w:p>
      <w:pPr>
        <w:pStyle w:val="FirstParagraph"/>
      </w:pPr>
      <w:r>
        <w:rPr>
          <w:b/>
          <w:bCs/>
        </w:rPr>
        <w:t xml:space="preserve">El sistema está listo para auditoría externa Big 4.</w:t>
      </w:r>
    </w:p>
    <w:bookmarkEnd w:id="26"/>
    <w:bookmarkEnd w:id="27"/>
    <w:bookmarkStart w:id="35" w:name="conclusión-gerencial"/>
    <w:p>
      <w:pPr>
        <w:pStyle w:val="Heading1"/>
      </w:pPr>
      <w:r>
        <w:t xml:space="preserve">6. CONCLUSIÓN GERENCIAL</w:t>
      </w:r>
    </w:p>
    <w:p>
      <w:pPr>
        <w:pStyle w:val="BlockText"/>
      </w:pPr>
      <w:r>
        <w:rPr>
          <w:b/>
          <w:bCs/>
        </w:rPr>
        <w:t xml:space="preserve">El grupo CMO + INTEGRAL + MEDARQ + AMERICANA enfrenta una contingencia tributaria + laboral consolidada de hasta S/4.96 millones (NETA tras créditos recuperables: S/4.54 millones).</w:t>
      </w:r>
    </w:p>
    <w:p>
      <w:pPr>
        <w:pStyle w:val="BlockText"/>
      </w:pPr>
      <w:r>
        <w:rPr>
          <w:b/>
          <w:bCs/>
        </w:rPr>
        <w:t xml:space="preserve">Adicionalmente, CMO GROUP tiene patrimonio neto negativo (−S/2.87M), causal de disolución obligatoria bajo Art. 220 LGS.</w:t>
      </w:r>
    </w:p>
    <w:bookmarkStart w:id="28" w:name="lo-bueno-oportunidades-aprovechables"/>
    <w:p>
      <w:pPr>
        <w:pStyle w:val="Heading2"/>
      </w:pPr>
      <w:r>
        <w:t xml:space="preserve">6.1. Lo bueno (oportunidades aprovechables)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100% de cumplimiento de Ley 28194 (Bancarización)</w:t>
      </w:r>
      <w:r>
        <w:t xml:space="preserve"> </w:t>
      </w:r>
      <w:r>
        <w:t xml:space="preserve">— histórico y actual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Trazabilidad Pago↔Documento del 99%+</w:t>
      </w:r>
      <w:r>
        <w:t xml:space="preserve"> </w:t>
      </w:r>
      <w:r>
        <w:t xml:space="preserve">en las 3 empresas operativas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Activo Fijo correctamente registrado</w:t>
      </w:r>
      <w:r>
        <w:t xml:space="preserve"> </w:t>
      </w:r>
      <w:r>
        <w:t xml:space="preserve">(tras fix de mapeo)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INTEGRAL es rentable</w:t>
      </w:r>
      <w:r>
        <w:t xml:space="preserve"> </w:t>
      </w:r>
      <w:r>
        <w:t xml:space="preserve">— proteger ese flujo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Documentación contable existente</w:t>
      </w:r>
      <w:r>
        <w:t xml:space="preserve"> </w:t>
      </w:r>
      <w:r>
        <w:t xml:space="preserve">para soportar argumentos ante SUNAT</w:t>
      </w:r>
    </w:p>
    <w:bookmarkEnd w:id="28"/>
    <w:bookmarkStart w:id="29" w:name="lo-malo-gaps-críticos"/>
    <w:p>
      <w:pPr>
        <w:pStyle w:val="Heading2"/>
      </w:pPr>
      <w:r>
        <w:t xml:space="preserve">6.2. Lo malo (gaps críticos)</w:t>
      </w:r>
    </w:p>
    <w:p>
      <w:pPr>
        <w:pStyle w:val="Compact"/>
        <w:numPr>
          <w:ilvl w:val="0"/>
          <w:numId w:val="100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Control interno bancario deficiente</w:t>
      </w:r>
      <w:r>
        <w:t xml:space="preserve"> </w:t>
      </w:r>
      <w:r>
        <w:t xml:space="preserve">— 3 de 4 empresas no concilian con el banco real</w:t>
      </w:r>
    </w:p>
    <w:p>
      <w:pPr>
        <w:pStyle w:val="Compact"/>
        <w:numPr>
          <w:ilvl w:val="0"/>
          <w:numId w:val="100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Operación intercompañía no formalizada</w:t>
      </w:r>
      <w:r>
        <w:t xml:space="preserve"> </w:t>
      </w:r>
      <w:r>
        <w:t xml:space="preserve">— S/123M en préstamos sin contratos de mutuo</w:t>
      </w:r>
    </w:p>
    <w:p>
      <w:pPr>
        <w:pStyle w:val="Compact"/>
        <w:numPr>
          <w:ilvl w:val="0"/>
          <w:numId w:val="100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Pérdidas significativas</w:t>
      </w:r>
      <w:r>
        <w:t xml:space="preserve"> </w:t>
      </w:r>
      <w:r>
        <w:t xml:space="preserve">— solo INTEGRAL rentable; AMERICANA con margen bruto negativo</w:t>
      </w:r>
    </w:p>
    <w:p>
      <w:pPr>
        <w:pStyle w:val="Compact"/>
        <w:numPr>
          <w:ilvl w:val="0"/>
          <w:numId w:val="100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MEDARQ sueldos atrasados</w:t>
      </w:r>
      <w:r>
        <w:t xml:space="preserve"> </w:t>
      </w:r>
      <w:r>
        <w:t xml:space="preserve">— riesgo de fuga de talento y demandas</w:t>
      </w:r>
    </w:p>
    <w:p>
      <w:pPr>
        <w:pStyle w:val="Compact"/>
        <w:numPr>
          <w:ilvl w:val="0"/>
          <w:numId w:val="100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CTS mayo 2025 omitida</w:t>
      </w:r>
      <w:r>
        <w:t xml:space="preserve"> </w:t>
      </w:r>
      <w:r>
        <w:t xml:space="preserve">en AMERICANA y MEDARQ — riesgo SUNAFIL</w:t>
      </w:r>
    </w:p>
    <w:bookmarkEnd w:id="29"/>
    <w:bookmarkStart w:id="34" w:name="lo-urgente-próximos-15-días"/>
    <w:p>
      <w:pPr>
        <w:pStyle w:val="Heading2"/>
      </w:pPr>
      <w:r>
        <w:t xml:space="preserve">6.3. Lo urgente (próximos 15 días)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15 mayo 2026</w:t>
      </w:r>
      <w:r>
        <w:t xml:space="preserve"> </w:t>
      </w:r>
      <w:r>
        <w:t xml:space="preserve">— Depositar CTS del primer semestre 2026 (todas las empresas, sin excusas)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Convocar Junta extraordinaria CMO</w:t>
      </w:r>
      <w:r>
        <w:t xml:space="preserve"> </w:t>
      </w:r>
      <w:r>
        <w:t xml:space="preserve">— patrimonio negativo Art. 220 LGS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Verificar inmediatamente</w:t>
      </w:r>
      <w:r>
        <w:t xml:space="preserve"> </w:t>
      </w:r>
      <w:r>
        <w:t xml:space="preserve">si los sueldos de MEDARQ se están pagando puntualmente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Aclarar Participaciones DL 892 INTEGRAL</w:t>
      </w:r>
      <w:r>
        <w:t xml:space="preserve"> </w:t>
      </w:r>
      <w:r>
        <w:t xml:space="preserve">— si ya se pagaron, registrarlas; si no, programar pago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Identificar el asiento contable</w:t>
      </w:r>
      <w:r>
        <w:t xml:space="preserve"> </w:t>
      </w:r>
      <w:r>
        <w:t xml:space="preserve">que generó el −S/13M de BBVA MN AMERICANA en enero 2026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Compensar Renta 3ª INTEGRAL a favor S/287K contra IGV</w:t>
      </w:r>
      <w:r>
        <w:t xml:space="preserve"> </w:t>
      </w:r>
      <w:r>
        <w:t xml:space="preserve">— ahorro tributario inmediato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Auditar los 9,809 asientos futuros de CMO</w:t>
      </w:r>
      <w:r>
        <w:t xml:space="preserve"> </w:t>
      </w:r>
      <w:r>
        <w:t xml:space="preserve">(S/1,182M) — validar legitimidad antes del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Documentos complementarios: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Anexo 1:</w:t>
      </w:r>
      <w:r>
        <w:t xml:space="preserve"> </w:t>
      </w:r>
      <w:hyperlink r:id="rId30">
        <w:r>
          <w:rPr>
            <w:rStyle w:val="Hyperlink"/>
          </w:rPr>
          <w:t xml:space="preserve">Registros transaccionales y asientos correctivos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Anexo 2:</w:t>
      </w:r>
      <w:r>
        <w:t xml:space="preserve"> </w:t>
      </w:r>
      <w:hyperlink r:id="rId31">
        <w:r>
          <w:rPr>
            <w:rStyle w:val="Hyperlink"/>
          </w:rPr>
          <w:t xml:space="preserve">Informe técnico consolidado completo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Anexo 3:</w:t>
      </w:r>
      <w:r>
        <w:t xml:space="preserve"> </w:t>
      </w:r>
      <w:hyperlink r:id="rId32">
        <w:r>
          <w:rPr>
            <w:rStyle w:val="Hyperlink"/>
          </w:rPr>
          <w:t xml:space="preserve">Trazabilidad histórica del proceso de auditoría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Anexo 4:</w:t>
      </w:r>
      <w:r>
        <w:t xml:space="preserve"> </w:t>
      </w:r>
      <w:hyperlink r:id="rId33">
        <w:r>
          <w:rPr>
            <w:rStyle w:val="Hyperlink"/>
          </w:rPr>
          <w:t xml:space="preserve">Validación forense contra S10 productivo — finding-by-finding</w:t>
        </w:r>
      </w:hyperlink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NUEVO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Equipo de Auditoría BizSmartHub</w:t>
      </w:r>
      <w:r>
        <w:t xml:space="preserve"> </w:t>
      </w:r>
      <w:r>
        <w:t xml:space="preserve">11 de mayo de 2026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02_ANEXOS_REGISTROS.docx" TargetMode="External" /><Relationship Type="http://schemas.openxmlformats.org/officeDocument/2006/relationships/hyperlink" Id="rId31" Target="03_INFORME_CONSOLIDADO_FINAL.docx" TargetMode="External" /><Relationship Type="http://schemas.openxmlformats.org/officeDocument/2006/relationships/hyperlink" Id="rId32" Target="04_TRAZABILIDAD_HISTORICA.docx" TargetMode="External" /><Relationship Type="http://schemas.openxmlformats.org/officeDocument/2006/relationships/hyperlink" Id="rId33" Target="05_VALIDACION_FORENSE_S10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02_ANEXOS_REGISTROS.docx" TargetMode="External" /><Relationship Type="http://schemas.openxmlformats.org/officeDocument/2006/relationships/hyperlink" Id="rId31" Target="03_INFORME_CONSOLIDADO_FINAL.docx" TargetMode="External" /><Relationship Type="http://schemas.openxmlformats.org/officeDocument/2006/relationships/hyperlink" Id="rId32" Target="04_TRAZABILIDAD_HISTORICA.docx" TargetMode="External" /><Relationship Type="http://schemas.openxmlformats.org/officeDocument/2006/relationships/hyperlink" Id="rId33" Target="05_VALIDACION_FORENSE_S10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Gerencial — Auditoría Integral del Grupo</dc:title>
  <dc:creator>Equipo de Auditoría BizSmartHub</dc:creator>
  <cp:keywords/>
  <dcterms:created xsi:type="dcterms:W3CDTF">2026-05-11T15:19:59Z</dcterms:created>
  <dcterms:modified xsi:type="dcterms:W3CDTF">2026-05-11T15:19:59Z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 (rev. 11/05/2026 16:50)</vt:lpwstr>
  </property>
  <property fmtid="{D5CDD505-2E9C-101B-9397-08002B2CF9AE}" pid="3" name="subtitle">
    <vt:lpwstr>Para Directorio y Gerencia General — REVISADO POST-VALIDACIÓN FORENSE</vt:lpwstr>
  </property>
</Properties>
</file>