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Respostas ao Questionário — ExpoTech 2026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Projeto:</w:t>
      </w:r>
      <w:r w:rsidDel="00000000" w:rsidR="00000000" w:rsidRPr="00000000">
        <w:rPr>
          <w:rtl w:val="0"/>
        </w:rPr>
        <w:t xml:space="preserve"> Smart Building — Sistema de controle inteligente de ar-condicionado via IoT </w:t>
      </w:r>
      <w:r w:rsidDel="00000000" w:rsidR="00000000" w:rsidRPr="00000000">
        <w:rPr>
          <w:b w:val="1"/>
          <w:bCs w:val="1"/>
          <w:rtl w:val="0"/>
        </w:rPr>
        <w:t xml:space="preserve">Repositório:</w:t>
      </w:r>
      <w:r w:rsidDel="00000000" w:rsidR="00000000" w:rsidRPr="00000000">
        <w:rPr>
          <w:rtl w:val="0"/>
        </w:rPr>
        <w:t xml:space="preserve"> </w:t>
      </w:r>
      <w:hyperlink r:id="rId6">
        <w:r w:rsidDel="00000000" w:rsidR="00000000" w:rsidRPr="00000000">
          <w:rPr>
            <w:color w:val="467886"/>
            <w:u w:val="single"/>
            <w:rtl w:val="0"/>
          </w:rPr>
          <w:t xml:space="preserve">https://github.com/jhowsoares/SmartBuilding_ExpoTech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Critério 1 — Arquitetura da API &amp; Protocolos (20%)</w:t>
      </w:r>
    </w:p>
    <w:p w:rsidR="00000000" w:rsidDel="00000000" w:rsidP="00000000" w:rsidRDefault="00000000" w:rsidRPr="00000000" w14:paraId="0000000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Métodos HTTP e decisões de idempotência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No nosso projeto, a maior dúvida surgiu justamente entre PUT e PATCH ao atualizar uma sala. A gente decidiu usar PATCH /api/v1/rooms/{room_id} porque o usuário pode querer atualizar só um campo — por exemplo, só o nome da sala — sem precisar reenviar tudo. O PUT seria usado se fôssemos substituir o recurso inteiro de uma vez, o que não faz muito sentido no caso das salas aqui.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Sobre idempotência: GET, PUT e DELETE são idempotentes, ou seja, você pode chamar várias vezes e o resultado é o mesmo. O POST /api/v1/sensors/data não é idempotente porque cada chamada cria uma nova leitura de sensor no banco. Isso foi algo que discutimos bastante antes de fechar o design.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b w:val="1"/>
          <w:bCs w:val="1"/>
          <w:rtl w:val="0"/>
        </w:rPr>
        <w:t xml:space="preserve">Evidência:</w:t>
      </w:r>
      <w:r w:rsidDel="00000000" w:rsidR="00000000" w:rsidRPr="00000000">
        <w:rPr>
          <w:rtl w:val="0"/>
        </w:rPr>
        <w:t xml:space="preserve"> backend/app/api/v1/rooms.py — os métodos GET, POST, PATCH e DELETE estão claramente separados por responsabilidade.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/>
        <w:drawing>
          <wp:inline distB="114300" distT="114300" distL="114300" distR="114300">
            <wp:extent cx="3858578" cy="3947622"/>
            <wp:effectExtent b="0" l="0" r="0" t="0"/>
            <wp:docPr id="1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58578" cy="394762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Status codes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Fluxo de sucesso ao criar uma sala: POST /api/v1/rooms retorna 201 Created. Listar salas retorna 200 OK. Excluir retorna 204 No Content (sem corpo, pois não há nada para retornar). Fluxo de erro: se a sala não existe, retorna 404 Not Found; se os dados do body estão errados, retorna 422 Unprocessable Entity; se tentarmos criar algo que já existe, 409 Conflict. Isso ajuda muito no monitoramento: só de olhar o código já dá para saber se o problema foi no cliente ou no servidor.</w:t>
      </w:r>
    </w:p>
    <w:p w:rsidR="00000000" w:rsidDel="00000000" w:rsidP="00000000" w:rsidRDefault="00000000" w:rsidRPr="00000000" w14:paraId="0000000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Modelagem de recursos (URLs)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Nossas URLs ficaram assim: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GET /api/v1/rooms — lista salas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POST /api/v1/rooms — cria sala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GET /api/v1/rooms/{room_id} — detalhe de uma sala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PATCH /api/v1/rooms/{room_id} — atualiza parcialmente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DELETE /api/v1/rooms/{room_id} — remove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POST /api/v1/sensors/data — ingestão de leitura IoT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Estamos no Nível 2 de Richardson: usamos recursos (substantivos nas URLs) e os verbos HTTP corretos para cada ação. Evitamos coisas tipo /criarSala que seria um estilo RPC, misturando verbo na URL.</w:t>
      </w:r>
    </w:p>
    <w:p w:rsidR="00000000" w:rsidDel="00000000" w:rsidP="00000000" w:rsidRDefault="00000000" w:rsidRPr="00000000" w14:paraId="0000001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Versionamento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Escolhemos colocar /v1 direto na URL (/api/v1/...). É a forma mais simples e visível — qualquer desenvolvedor que olha a URL já sabe qual versão está consumindo. Se precisarmos lançar uma v2 com mudanças que quebram a compatibilidade, a v1 continua funcionando em paralelo. Quem já usa a v1 não é afetado.</w:t>
      </w:r>
    </w:p>
    <w:p w:rsidR="00000000" w:rsidDel="00000000" w:rsidP="00000000" w:rsidRDefault="00000000" w:rsidRPr="00000000" w14:paraId="0000001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Contrato OpenAPI (Design-first)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Seguimos o approach design-first: o openapi.yaml foi criado antes do código. Uma decisão que discutimos antes de programar foi se o endpoint de sensores devia usar POST /sensors/data ou POST /sensors/{sensor_id}/readings. Optamos pelo primeiro porque a leitura vem do sensor já com o sensor_id no body, então ficaria redundante colocar na URL também.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b w:val="1"/>
          <w:bCs w:val="1"/>
          <w:rtl w:val="0"/>
        </w:rPr>
        <w:t xml:space="preserve">Evidência:</w:t>
      </w:r>
      <w:r w:rsidDel="00000000" w:rsidR="00000000" w:rsidRPr="00000000">
        <w:rPr>
          <w:rtl w:val="0"/>
        </w:rPr>
        <w:t xml:space="preserve"> docs/openapi.yaml — o arquivo existe e está sincronizado com o código via CI (job contract-check no ci.yml).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/>
        <w:drawing>
          <wp:inline distB="114300" distT="114300" distL="114300" distR="114300">
            <wp:extent cx="2386186" cy="514667"/>
            <wp:effectExtent b="0" l="0" r="0" t="0"/>
            <wp:docPr id="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86186" cy="51466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Falha parcial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Se o banco de dados cair, a API responde com 503 Service Unavailable em formato RFC 7807 (veja Critério 2). Se o MQTT cair, a API continua funcionando para consultas — só não recebe dados novos dos sensores. Isso está no main.py no bloco de lifespan: a API levanta um warning mas não derruba o servidor todo.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Critério 2 — DX &amp; Documentação (20%)</w:t>
      </w:r>
    </w:p>
    <w:p w:rsidR="00000000" w:rsidDel="00000000" w:rsidP="00000000" w:rsidRDefault="00000000" w:rsidRPr="00000000" w14:paraId="0000001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OpenAPI como fonte da verdade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O openapi.yaml guia o código de duas formas: o FastAPI usa as anotações Pydantic para validar automaticamente as requisições (e gera a documentação Swagger), e temos um job no CI chamado contract-check que exporta o OpenAPI do FastAPI em tempo de execução e compara com o arquivo docs/openapi.yaml. Se eles divergirem, o deploy é bloqueado.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b w:val="1"/>
          <w:bCs w:val="1"/>
          <w:rtl w:val="0"/>
        </w:rPr>
        <w:t xml:space="preserve">Evidência:</w:t>
      </w:r>
      <w:r w:rsidDel="00000000" w:rsidR="00000000" w:rsidRPr="00000000">
        <w:rPr>
          <w:rtl w:val="0"/>
        </w:rPr>
        <w:t xml:space="preserve"> .github/workflows/ci.yml, job contract-check.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arquivo: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/>
        <w:drawing>
          <wp:inline distB="114300" distT="114300" distL="114300" distR="114300">
            <wp:extent cx="5399730" cy="3492500"/>
            <wp:effectExtent b="0" l="0" r="0" t="0"/>
            <wp:docPr id="6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3492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contract-check</w:t>
      </w:r>
      <w:r w:rsidDel="00000000" w:rsidR="00000000" w:rsidRPr="00000000">
        <w:rPr/>
        <w:drawing>
          <wp:inline distB="114300" distT="114300" distL="114300" distR="114300">
            <wp:extent cx="5399730" cy="3530600"/>
            <wp:effectExtent b="0" l="0" r="0" t="0"/>
            <wp:docPr id="16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3530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Primeira chamada bem-sucedida (TTFC)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Para um desenvolvedor de fora fazer a primeira chamada com sucesso: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Acessa o Swagger UI em http://localhost:8000/api/docs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Chama POST /api/v1/auth/login com o exemplo já preenchido 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admin@smartbuilding.local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 / admin123)</w:t>
      </w:r>
    </w:p>
    <w:p w:rsidR="00000000" w:rsidDel="00000000" w:rsidP="00000000" w:rsidRDefault="00000000" w:rsidRPr="00000000" w14:paraId="00000029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3248025" cy="914400"/>
            <wp:effectExtent b="0" l="0" r="0" t="0"/>
            <wp:docPr id="21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48025" cy="914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Copia o access_token retornado</w:t>
      </w:r>
    </w:p>
    <w:p w:rsidR="00000000" w:rsidDel="00000000" w:rsidP="00000000" w:rsidRDefault="00000000" w:rsidRPr="00000000" w14:paraId="0000002B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399730" cy="673100"/>
            <wp:effectExtent b="0" l="0" r="0" t="0"/>
            <wp:docPr id="12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673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Clica em "Authorize" no Swagger e cola o token</w:t>
      </w:r>
      <w:r w:rsidDel="00000000" w:rsidR="00000000" w:rsidRPr="00000000">
        <w:rPr/>
        <w:drawing>
          <wp:inline distB="114300" distT="114300" distL="114300" distR="114300">
            <wp:extent cx="1924050" cy="581025"/>
            <wp:effectExtent b="0" l="0" r="0" t="0"/>
            <wp:docPr id="1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24050" cy="581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3068003" cy="1249927"/>
            <wp:effectExtent b="0" l="0" r="0" t="0"/>
            <wp:docPr id="19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68003" cy="124992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Chama GET /api/v1/rooms — pronto, primeira chamada funcionando</w:t>
      </w:r>
    </w:p>
    <w:p w:rsidR="00000000" w:rsidDel="00000000" w:rsidP="00000000" w:rsidRDefault="00000000" w:rsidRPr="00000000" w14:paraId="0000002E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399730" cy="2082800"/>
            <wp:effectExtent b="0" l="0" r="0" t="0"/>
            <wp:docPr id="4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2082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Fizemos questão de colocar exemplos prontos no próprio openapi.yaml para que o Swagger já preencha os campos. Isso reduz bastante o tempo até a primeira chamada funcionar.</w:t>
      </w:r>
    </w:p>
    <w:p w:rsidR="00000000" w:rsidDel="00000000" w:rsidP="00000000" w:rsidRDefault="00000000" w:rsidRPr="00000000" w14:paraId="0000003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Endpoint crítico no Nível 2 de Richardson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O POST /api/v1/sensors/data é nosso endpoint mais importante. Ele usa POST porque cria um novo recurso (uma leitura de sensor) a cada chamada. Retorna 201 Created com o objeto criado. Se os dados forem inválidos (ex: tipo de sensor errado), retorna 422 com detalhes do erro. É um recurso claro (/sensors/data) e não uma função disfarçada.</w:t>
      </w:r>
    </w:p>
    <w:p w:rsidR="00000000" w:rsidDel="00000000" w:rsidP="00000000" w:rsidRDefault="00000000" w:rsidRPr="00000000" w14:paraId="0000003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Padrão de erro (RFC 7807)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Adotamos o RFC 7807 em todos os erros. Um exemplo real de 422: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json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"type": "https://smartbuilding.local/errors/validation-error",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"title": "Erro de validação",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"status": 422,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"detail": "body → valor: valor não é um número válido",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"instance": "/api/v1/sensors/data",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"errors": [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  "field": "body → valor",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  "message": "value is not a valid float",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  "type": "float_parsing"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]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A diferença que implementamos:</w:t>
      </w:r>
    </w:p>
    <w:p w:rsidR="00000000" w:rsidDel="00000000" w:rsidP="00000000" w:rsidRDefault="00000000" w:rsidRPr="00000000" w14:paraId="00000044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400</w:t>
      </w:r>
      <w:r w:rsidDel="00000000" w:rsidR="00000000" w:rsidRPr="00000000">
        <w:rPr>
          <w:rtl w:val="0"/>
        </w:rPr>
        <w:t xml:space="preserve"> → erro do cliente puro (campo malformado, tipo errado)</w:t>
      </w:r>
    </w:p>
    <w:p w:rsidR="00000000" w:rsidDel="00000000" w:rsidP="00000000" w:rsidRDefault="00000000" w:rsidRPr="00000000" w14:paraId="00000045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422</w:t>
      </w:r>
      <w:r w:rsidDel="00000000" w:rsidR="00000000" w:rsidRPr="00000000">
        <w:rPr>
          <w:rtl w:val="0"/>
        </w:rPr>
        <w:t xml:space="preserve"> → input correto sintaticamente, mas semanticamente inválido (ex: page_size negativo)</w:t>
      </w:r>
    </w:p>
    <w:p w:rsidR="00000000" w:rsidDel="00000000" w:rsidP="00000000" w:rsidRDefault="00000000" w:rsidRPr="00000000" w14:paraId="00000046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409</w:t>
      </w:r>
      <w:r w:rsidDel="00000000" w:rsidR="00000000" w:rsidRPr="00000000">
        <w:rPr>
          <w:rtl w:val="0"/>
        </w:rPr>
        <w:t xml:space="preserve"> → input correto, mas conflito com o estado atual do servidor (ex: sala já existe com esse nome)</w:t>
      </w:r>
    </w:p>
    <w:p w:rsidR="00000000" w:rsidDel="00000000" w:rsidP="00000000" w:rsidRDefault="00000000" w:rsidRPr="00000000" w14:paraId="00000047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500</w:t>
      </w:r>
      <w:r w:rsidDel="00000000" w:rsidR="00000000" w:rsidRPr="00000000">
        <w:rPr>
          <w:rtl w:val="0"/>
        </w:rPr>
        <w:t xml:space="preserve"> → erro interno, a culpa é nossa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b w:val="1"/>
          <w:bCs w:val="1"/>
          <w:rtl w:val="0"/>
        </w:rPr>
        <w:t xml:space="preserve">Evidência:</w:t>
      </w:r>
      <w:r w:rsidDel="00000000" w:rsidR="00000000" w:rsidRPr="00000000">
        <w:rPr>
          <w:rtl w:val="0"/>
        </w:rPr>
        <w:t xml:space="preserve"> backend/app/errors/</w:t>
      </w:r>
      <w:hyperlink r:id="rId16">
        <w:r w:rsidDel="00000000" w:rsidR="00000000" w:rsidRPr="00000000">
          <w:rPr>
            <w:color w:val="1155cc"/>
            <w:u w:val="single"/>
            <w:rtl w:val="0"/>
          </w:rPr>
          <w:t xml:space="preserve">handlers.py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/>
        <w:drawing>
          <wp:inline distB="114300" distT="114300" distL="114300" distR="114300">
            <wp:extent cx="5399730" cy="7188200"/>
            <wp:effectExtent b="0" l="0" r="0" t="0"/>
            <wp:docPr id="13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718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Paginação, filtros e ordenação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Usamos page e size (máximo 100). Escolhemos page/limit em vez de cursor porque nosso caso de uso é um dashboard que navega por páginas fixas, não um feed infinito. Cursor-based seria melhor se tivéssemos um scroll infinito com dados chegando em tempo real, o que não é o caso aqui.</w:t>
      </w:r>
    </w:p>
    <w:p w:rsidR="00000000" w:rsidDel="00000000" w:rsidP="00000000" w:rsidRDefault="00000000" w:rsidRPr="00000000" w14:paraId="0000004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b w:val="1"/>
          <w:bCs w:val="1"/>
          <w:rtl w:val="0"/>
        </w:rPr>
        <w:t xml:space="preserve">Exemplo:</w:t>
      </w:r>
      <w:r w:rsidDel="00000000" w:rsidR="00000000" w:rsidRPr="00000000">
        <w:rPr>
          <w:rtl w:val="0"/>
        </w:rPr>
        <w:t xml:space="preserve"> GET /api/v1/sensors?page=1&amp;size=20&amp;tipo=temperature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/>
        <w:drawing>
          <wp:inline distB="114300" distT="114300" distL="114300" distR="114300">
            <wp:extent cx="5399730" cy="2387600"/>
            <wp:effectExtent b="0" l="0" r="0" t="0"/>
            <wp:docPr id="2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2387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Governança do contrato (Spectral)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Configuramos o Spectral no arquivo spectral.yml com regras que rodam no CI. Uma regra que pegou um problema real: a regra operation-operationId detectou que um endpoint de health check estava sem operationId, o que impediria a geração correta de clientes SDK. Corrigimos antes do merge.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b w:val="1"/>
          <w:bCs w:val="1"/>
          <w:rtl w:val="0"/>
        </w:rPr>
        <w:t xml:space="preserve">Evidência:</w:t>
      </w:r>
      <w:r w:rsidDel="00000000" w:rsidR="00000000" w:rsidRPr="00000000">
        <w:rPr>
          <w:rtl w:val="0"/>
        </w:rPr>
        <w:t xml:space="preserve"> spectral.yml + job lint-openapi em .github/workflows/ci.yml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/>
        <w:drawing>
          <wp:inline distB="114300" distT="114300" distL="114300" distR="114300">
            <wp:extent cx="5399730" cy="3556000"/>
            <wp:effectExtent b="0" l="0" r="0" t="0"/>
            <wp:docPr id="1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3556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/>
        <w:drawing>
          <wp:inline distB="114300" distT="114300" distL="114300" distR="114300">
            <wp:extent cx="5399730" cy="3403600"/>
            <wp:effectExtent b="0" l="0" r="0" t="0"/>
            <wp:docPr id="20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3403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Critério 3 — Segurança (15%)</w:t>
      </w:r>
    </w:p>
    <w:p w:rsidR="00000000" w:rsidDel="00000000" w:rsidP="00000000" w:rsidRDefault="00000000" w:rsidRPr="00000000" w14:paraId="0000005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BOLA — Broken Object Level Authorization (API1:2023)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Para garantir que um usuário só vê seus próprios dados, usamos duas coisas juntas. Primeiro, rotas como GET /api/v1/users/me usam o sub do JWT (o ID do usuário) para buscar os dados, sem aceitar ID na URL. Segundo, o middleware get_current_user em deps.py valida o token e injeta os dados do usuário autenticado — o endpoint nunca confia em um ID que vem do body ou da URL quando se trata de dados pessoais.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Se alguém tentar acessar dados de outro usuário trocando o ID manualmente, a validação do token vai barrar porque o sub do token não vai bater com o ID solicitado.</w:t>
      </w:r>
    </w:p>
    <w:p w:rsidR="00000000" w:rsidDel="00000000" w:rsidP="00000000" w:rsidRDefault="00000000" w:rsidRPr="00000000" w14:paraId="0000005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Autenticação JWT (API2:2023)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O JWT é validado verificando a assinatura (com a JWT_SECRET configurada via variável de ambiente), a validade (exp), e o tipo do token (access vs refresh). O access token dura 60 minutos, o refresh token dura 7 dias.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O trade-off que discutimos: tokens com vida curta são mais seguros (se vazar, expira rápido), mas exigem que o frontend renove com mais frequência. Optamos por 60 minutos porque é um sistema interno de gestão — não é um app bancário, então o usuário não vai ficar sendo deslogado toda hora.</w:t>
      </w:r>
    </w:p>
    <w:p w:rsidR="00000000" w:rsidDel="00000000" w:rsidP="00000000" w:rsidRDefault="00000000" w:rsidRPr="00000000" w14:paraId="0000005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b w:val="1"/>
          <w:bCs w:val="1"/>
          <w:rtl w:val="0"/>
        </w:rPr>
        <w:t xml:space="preserve">Evidência:</w:t>
      </w:r>
      <w:r w:rsidDel="00000000" w:rsidR="00000000" w:rsidRPr="00000000">
        <w:rPr>
          <w:rtl w:val="0"/>
        </w:rPr>
        <w:t xml:space="preserve"> backend/app/api/v1/auth.py — funções login, refresh e logout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/>
        <w:drawing>
          <wp:inline distB="114300" distT="114300" distL="114300" distR="114300">
            <wp:extent cx="5399730" cy="6121400"/>
            <wp:effectExtent b="0" l="0" r="0" t="0"/>
            <wp:docPr id="5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612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Validação de entrada (API4:2023)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Para os parâmetros de paginação: page tem mínimo 1, size tem mínimo 1 e máximo 100. Para o tipo de sensor, é um enum (temperature, humidity, presence) — se mandar qualquer outro valor, o Pydantic rejeita com 422 antes de chegar na lógica de negócio. O tick do sensor deve ser um inteiro positivo. Isso tudo está nas anotações do Query no FastAPI.</w:t>
      </w:r>
    </w:p>
    <w:p w:rsidR="00000000" w:rsidDel="00000000" w:rsidP="00000000" w:rsidRDefault="00000000" w:rsidRPr="00000000" w14:paraId="0000006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Rate Limiting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Configuramos limites diferentes por tipo de operação:</w:t>
      </w:r>
    </w:p>
    <w:p w:rsidR="00000000" w:rsidDel="00000000" w:rsidP="00000000" w:rsidRDefault="00000000" w:rsidRPr="00000000" w14:paraId="00000063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Login: 10 req/min (proteção contra brute force)</w:t>
      </w:r>
    </w:p>
    <w:p w:rsidR="00000000" w:rsidDel="00000000" w:rsidP="00000000" w:rsidRDefault="00000000" w:rsidRPr="00000000" w14:paraId="00000064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Ingestão de sensores: 120 req/min (IoT manda dados com frequência)</w:t>
      </w:r>
    </w:p>
    <w:p w:rsidR="00000000" w:rsidDel="00000000" w:rsidP="00000000" w:rsidRDefault="00000000" w:rsidRPr="00000000" w14:paraId="00000065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Endpoints gerais: 60 req/min</w:t>
      </w:r>
    </w:p>
    <w:p w:rsidR="00000000" w:rsidDel="00000000" w:rsidP="00000000" w:rsidRDefault="00000000" w:rsidRPr="00000000" w14:paraId="00000066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Treinamento de ML: 3 req/5min (operação cara)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O contador é por usuário (usando o sub do JWT) ou por IP como fallback. Fica armazenado no Redis com TTL automático. A resposta com 429 inclui o header Retry-After com quantos segundos esperar.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b w:val="1"/>
          <w:bCs w:val="1"/>
          <w:rtl w:val="0"/>
        </w:rPr>
        <w:t xml:space="preserve">Evidência:</w:t>
      </w:r>
      <w:r w:rsidDel="00000000" w:rsidR="00000000" w:rsidRPr="00000000">
        <w:rPr>
          <w:rtl w:val="0"/>
        </w:rPr>
        <w:t xml:space="preserve"> backend/app/middleware/rate_limit.py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/>
        <w:drawing>
          <wp:inline distB="114300" distT="114300" distL="114300" distR="114300">
            <wp:extent cx="5399730" cy="3543300"/>
            <wp:effectExtent b="0" l="0" r="0" t="0"/>
            <wp:docPr id="11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3543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Cache e dados pessoais (LGPD)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Usamos Cache-Control: private, no-store nas respostas que contêm dados de usuário ou leituras de sensores. Se déssemos Cache-Control: public, max-age=86400 nesses endpoints, um proxy intermediário (ou o próprio navegador) poderia guardar a resposta e entregar para o próximo usuário que acessar — que seria uma violação grave de privacidade, já que os dados de consumo energético de uma sala podem ser considerados dados pessoais.</w:t>
      </w:r>
    </w:p>
    <w:p w:rsidR="00000000" w:rsidDel="00000000" w:rsidP="00000000" w:rsidRDefault="00000000" w:rsidRPr="00000000" w14:paraId="0000006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BOPLA — Broken Object Property Level Authorization (API3:2023)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Controlamos o que é exposto via schemas Pydantic separados: UserCreate (entrada) tem campos como password, mas UserResponse (saída) nunca inclui password_hash. Isso evita mass assignment — se alguém mandar um campo role no body de update tentando se promover para admin, o schema de entrada simplesmente não tem esse campo e ele é ignorado.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Critério 4 — Performance &amp; Resiliência (10%)</w:t>
      </w:r>
    </w:p>
    <w:p w:rsidR="00000000" w:rsidDel="00000000" w:rsidP="00000000" w:rsidRDefault="00000000" w:rsidRPr="00000000" w14:paraId="0000007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Paginação como proteção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O page_size máximo é 100. Escolhemos esse número porque, na prática, o dashboard nunca precisa mostrar mais de 50 itens por vez — colocamos 100 como teto com margem. Trazer mais que isso de uma vez só sobrecarregaria o banco desnecessariamente. Se não tivéssemos limite, alguém poderia fazer GET /api/v1/sensors?size=999999 e travar o servidor.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/>
        <w:drawing>
          <wp:inline distB="114300" distT="114300" distL="114300" distR="114300">
            <wp:extent cx="4819650" cy="1352550"/>
            <wp:effectExtent b="0" l="0" r="0" t="0"/>
            <wp:docPr id="23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19650" cy="1352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Cache x privacidade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Endpoints como GET /api/v1/health podem usar cache (dados públicos, não mudam por usuário). Endpoints com dados de sensores, usuários ou alertas recebem no-store porque têm dados pessoais ou são muito dinâmicos. A regra que seguimos: se a resposta varia por usuário ou tem dado pessoal, no-store.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/>
        <w:drawing>
          <wp:inline distB="114300" distT="114300" distL="114300" distR="114300">
            <wp:extent cx="5399730" cy="1168400"/>
            <wp:effectExtent b="0" l="0" r="0" t="0"/>
            <wp:docPr id="18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1168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Rate Limiting do ponto de vista de performance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Além de segurança, o rate limiting protege a API contra sobrecarga. Se um sensor com defeito ficar mandando dados em loop, ele bate no limite de 120 req/min e começa a receber 429 — a API continua saudável para os outros.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/>
        <w:drawing>
          <wp:inline distB="114300" distT="114300" distL="114300" distR="114300">
            <wp:extent cx="5399730" cy="1028700"/>
            <wp:effectExtent b="0" l="0" r="0" t="0"/>
            <wp:docPr id="10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1028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Throttling por concorrência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O endpoint de treinamento do modelo de ML (/api/v1/predictions/train) tem um limite muito mais baixo — 3 requisições a cada 5 minutos. Isso é porque treinar o modelo consome muita CPU e memória. Em vez de deixar 20 treinamentos rodarem ao mesmo tempo e travar o servidor, limitamos na entrada. A API fica lenta naquele endpoint específico em vez de cair.</w:t>
      </w:r>
    </w:p>
    <w:p w:rsidR="00000000" w:rsidDel="00000000" w:rsidP="00000000" w:rsidRDefault="00000000" w:rsidRPr="00000000" w14:paraId="0000007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Idempotência em retries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Para operações que podem ser repetidas pelo cliente (ex: timeout na requisição), usamos o comportamento idempotente do PUT/PATCH quando aplicável. Para criação de sensores que podem ter retry automático, o sensor_id + tick funcionam como chave natural — se o mesmo sensor mandar a mesma leitura duas vezes (mesmo tick), o banco rejeita por constraint de unicidade e retorna 409.</w:t>
      </w:r>
    </w:p>
    <w:p w:rsidR="00000000" w:rsidDel="00000000" w:rsidP="00000000" w:rsidRDefault="00000000" w:rsidRPr="00000000" w14:paraId="0000007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Observabilidade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Logamos latência, erros 5xx, hits de rate limit (429) e status das conexões com banco e MQTT. Para proteger dados pessoais nos logs (LGPD), nunca logamos o conteúdo das requisições — apenas metadados como sensor_id, tipo e timestamp. O email aparece nos logs de login, mas nunca a senha.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Critério 5 — Ciclo de Vida, Operação &amp; Governança (10%)</w:t>
      </w:r>
    </w:p>
    <w:p w:rsidR="00000000" w:rsidDel="00000000" w:rsidP="00000000" w:rsidRDefault="00000000" w:rsidRPr="00000000" w14:paraId="0000008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Testes no CI/CD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O CI roda três jobs em sequência:</w:t>
      </w:r>
    </w:p>
    <w:p w:rsidR="00000000" w:rsidDel="00000000" w:rsidP="00000000" w:rsidRDefault="00000000" w:rsidRPr="00000000" w14:paraId="00000083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lint-openapi</w:t>
      </w:r>
      <w:r w:rsidDel="00000000" w:rsidR="00000000" w:rsidRPr="00000000">
        <w:rPr>
          <w:rtl w:val="0"/>
        </w:rPr>
        <w:t xml:space="preserve">: Spectral valida o openapi.yaml — falha se faltar operationId, summary, ou se os erros 4xx não usarem RFC 7807</w:t>
      </w:r>
    </w:p>
    <w:p w:rsidR="00000000" w:rsidDel="00000000" w:rsidP="00000000" w:rsidRDefault="00000000" w:rsidRPr="00000000" w14:paraId="00000084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test-backend</w:t>
      </w:r>
      <w:r w:rsidDel="00000000" w:rsidR="00000000" w:rsidRPr="00000000">
        <w:rPr>
          <w:rtl w:val="0"/>
        </w:rPr>
        <w:t xml:space="preserve">: pytest sobe um PostgreSQL e Redis temporários e roda todos os testes</w:t>
      </w:r>
    </w:p>
    <w:p w:rsidR="00000000" w:rsidDel="00000000" w:rsidP="00000000" w:rsidRDefault="00000000" w:rsidRPr="00000000" w14:paraId="00000085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contract-check</w:t>
      </w:r>
      <w:r w:rsidDel="00000000" w:rsidR="00000000" w:rsidRPr="00000000">
        <w:rPr>
          <w:rtl w:val="0"/>
        </w:rPr>
        <w:t xml:space="preserve">: exporta o OpenAPI do FastAPI ao vivo e compara com o arquivo — bloqueia se estiverem diferentes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Se qualquer um falhar, o merge é bloqueado. Já aconteceu de a gente esquecer de atualizar o openapi.yaml depois de mudar um endpoint — o job contract-check pegou na hora.</w:t>
      </w:r>
    </w:p>
    <w:p w:rsidR="00000000" w:rsidDel="00000000" w:rsidP="00000000" w:rsidRDefault="00000000" w:rsidRPr="00000000" w14:paraId="0000008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b w:val="1"/>
          <w:bCs w:val="1"/>
          <w:rtl w:val="0"/>
        </w:rPr>
        <w:t xml:space="preserve">Evidência:</w:t>
      </w:r>
      <w:r w:rsidDel="00000000" w:rsidR="00000000" w:rsidRPr="00000000">
        <w:rPr>
          <w:rtl w:val="0"/>
        </w:rPr>
        <w:t xml:space="preserve"> .github/workflows/ci.yml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/>
        <w:drawing>
          <wp:inline distB="114300" distT="114300" distL="114300" distR="114300">
            <wp:extent cx="5399730" cy="3556000"/>
            <wp:effectExtent b="0" l="0" r="0" t="0"/>
            <wp:docPr id="9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3556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Versionamento na prática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Usamos versão na URL (/api/v1/). Se precisarmos fazer uma mudança incompatível — por exemplo, mudar o formato de resposta dos sensores de um campo valor para value em inglês — lançaríamos /api/v2/sensors mantendo a /api/v1/sensors funcionando por pelo menos 6 meses. Quem usa a v1 não percebe nada, quem quer a v2 migra no próprio ritmo.</w:t>
      </w:r>
      <w:r w:rsidDel="00000000" w:rsidR="00000000" w:rsidRPr="00000000">
        <w:rPr/>
        <w:drawing>
          <wp:inline distB="114300" distT="114300" distL="114300" distR="114300">
            <wp:extent cx="15478771" cy="518689"/>
            <wp:effectExtent b="0" l="0" r="0" t="0"/>
            <wp:docPr id="15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478771" cy="51868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Plano de depreciação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Documentamos isso em docs/deprecation-policy.md. Quando um endpoint vai ser desligado:</w:t>
      </w:r>
    </w:p>
    <w:p w:rsidR="00000000" w:rsidDel="00000000" w:rsidP="00000000" w:rsidRDefault="00000000" w:rsidRPr="00000000" w14:paraId="00000095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Adicionamos o header Deprecation: date="AAAA-MM-DD" em todas as respostas</w:t>
      </w:r>
    </w:p>
    <w:p w:rsidR="00000000" w:rsidDel="00000000" w:rsidP="00000000" w:rsidRDefault="00000000" w:rsidRPr="00000000" w14:paraId="00000096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Adicionamos o header Sunset: date="AAAA-MM-DD" com a data do desligamento</w:t>
      </w:r>
    </w:p>
    <w:p w:rsidR="00000000" w:rsidDel="00000000" w:rsidP="00000000" w:rsidRDefault="00000000" w:rsidRPr="00000000" w14:paraId="00000097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Atualizamos o openapi.yaml marcando o endpoint como deprecated</w:t>
      </w:r>
    </w:p>
    <w:p w:rsidR="00000000" w:rsidDel="00000000" w:rsidP="00000000" w:rsidRDefault="00000000" w:rsidRPr="00000000" w14:paraId="00000098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Monitoramos o volume de chamadas para esse endpoint até zerar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O prazo mínimo é de 6 meses entre deprecação e sunset. Temos um exemplo prático: a rota legada /api/v1/sensors/{sensor_id}/data está documentada com depreciação em 2027-01-01 e sunset em 2027-06-01.</w:t>
      </w:r>
    </w:p>
    <w:p w:rsidR="00000000" w:rsidDel="00000000" w:rsidP="00000000" w:rsidRDefault="00000000" w:rsidRPr="00000000" w14:paraId="0000009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Observabilidade e SLO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As métricas principais que monitoraríamos: taxa de erro (% de respostas 5xx), latência p95 por endpoint, volume de requisições por minuto e cache hit/miss. Um SLO razoável para esse sistema seria: "99% das requisições aos endpoints de leitura respondidas em menos de 300ms". Com isso, se a latência subir, sabemos antes dos usuários reclamarem.</w:t>
      </w:r>
    </w:p>
    <w:p w:rsidR="00000000" w:rsidDel="00000000" w:rsidP="00000000" w:rsidRDefault="00000000" w:rsidRPr="00000000" w14:paraId="0000009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API Gateway e BFF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Num cenário de produção real, colocaríamos um Gateway (tipo Kong ou AWS API Gateway) na frente. No Gateway ficaria: autenticação, rate limiting e roteamento. No backend ficaria a lógica de negócio. Isso faz sentido porque o Gateway é especializado em tráfego e pode escalar independente da aplicação.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O nosso frontend React funciona como um BFF simples — ele consome a API e formata os dados para a tela, sem que o backend precise saber nada do formato de exibição.</w:t>
      </w:r>
    </w:p>
    <w:p w:rsidR="00000000" w:rsidDel="00000000" w:rsidP="00000000" w:rsidRDefault="00000000" w:rsidRPr="00000000" w14:paraId="0000009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Consumer-Driven Contracts (Pact)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Não implementamos Pact ainda, mas planejamos assim: o frontend definiria um "contrato" dizendo "preciso que o endpoint /api/v1/rooms retorne pelo menos os campos id, name e building". O Pact Broker armazenaria esse contrato. No CI do backend, o can-i-deploy verificaria se a nova versão do backend ainda satisfaz o que o frontend precisa — impedindo que a gente quebre o front sem perceber.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Critério 6 — Integração Multidisciplinar (10%)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O projeto integra quatro áreas de forma direta: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b w:val="1"/>
          <w:bCs w:val="1"/>
          <w:rtl w:val="0"/>
        </w:rPr>
        <w:t xml:space="preserve">Engenharia de Software / Computação:</w:t>
      </w:r>
      <w:r w:rsidDel="00000000" w:rsidR="00000000" w:rsidRPr="00000000">
        <w:rPr>
          <w:rtl w:val="0"/>
        </w:rPr>
        <w:t xml:space="preserve"> toda a arquitetura da API REST, o backend em FastAPI, o banco PostgreSQL, o Docker e o CI/CD.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b w:val="1"/>
          <w:bCs w:val="1"/>
          <w:rtl w:val="0"/>
        </w:rPr>
        <w:t xml:space="preserve">Redes de Computadores:</w:t>
      </w:r>
      <w:r w:rsidDel="00000000" w:rsidR="00000000" w:rsidRPr="00000000">
        <w:rPr>
          <w:rtl w:val="0"/>
        </w:rPr>
        <w:t xml:space="preserve"> implementamos a comunicação via protocolo MQTT (pasta Rede/) simulando sensores IoT. O broker Mosquitto gerencia os tópicos. O firmware do ESP32 (firmware/esp32_smartbuilding.ino) publica as leituras de temperatura, umidade e presença via MQTT, que o backend consome via subscriber.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/>
        <w:drawing>
          <wp:inline distB="114300" distT="114300" distL="114300" distR="114300">
            <wp:extent cx="5399730" cy="1143000"/>
            <wp:effectExtent b="0" l="0" r="0" t="0"/>
            <wp:docPr id="8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1143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b w:val="1"/>
          <w:bCs w:val="1"/>
          <w:rtl w:val="0"/>
        </w:rPr>
        <w:t xml:space="preserve">Inteligência Artificial / Ciência de Dados:</w:t>
      </w:r>
      <w:r w:rsidDel="00000000" w:rsidR="00000000" w:rsidRPr="00000000">
        <w:rPr>
          <w:rtl w:val="0"/>
        </w:rPr>
        <w:t xml:space="preserve"> temos um modelo de ML (backend/app/ml/) que prediz o consumo energético com base nas leituras dos sensores. O modelo está treinado e serializado em consumption_model.pkl. O endpoint POST /api/v1/predictions/train requer autenticação de admin para disparar um re-treinamento.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/>
        <w:drawing>
          <wp:inline distB="114300" distT="114300" distL="114300" distR="114300">
            <wp:extent cx="5399730" cy="965200"/>
            <wp:effectExtent b="0" l="0" r="0" t="0"/>
            <wp:docPr id="22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965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b w:val="1"/>
          <w:bCs w:val="1"/>
          <w:rtl w:val="0"/>
        </w:rPr>
        <w:t xml:space="preserve">Engenharia Elétrica / Física Aplicada:</w:t>
      </w:r>
      <w:r w:rsidDel="00000000" w:rsidR="00000000" w:rsidRPr="00000000">
        <w:rPr>
          <w:rtl w:val="0"/>
        </w:rPr>
        <w:t xml:space="preserve"> o hardware ESP32 com sensores físicos (temperatura, umidade, presença) é o ponto de entrada dos dados. A área elétrica contribuiu com o dimensionamento dos sensores e a calibração das leituras — os thresholds de alerta (ex: temperatura acima de 28°C dispara alerta) foram definidos com base em parâmetros físicos reais do ambiente.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Critério 7 — Protótipo funcional &amp; Repositório (15%)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b w:val="1"/>
          <w:bCs w:val="1"/>
          <w:rtl w:val="0"/>
        </w:rPr>
        <w:t xml:space="preserve">Repositório:</w:t>
      </w:r>
      <w:r w:rsidDel="00000000" w:rsidR="00000000" w:rsidRPr="00000000">
        <w:rPr>
          <w:rtl w:val="0"/>
        </w:rPr>
        <w:t xml:space="preserve"> </w:t>
      </w:r>
      <w:hyperlink r:id="rId30">
        <w:r w:rsidDel="00000000" w:rsidR="00000000" w:rsidRPr="00000000">
          <w:rPr>
            <w:color w:val="1155cc"/>
            <w:u w:val="single"/>
            <w:rtl w:val="0"/>
          </w:rPr>
          <w:t xml:space="preserve">https://github.com/jhowsoares/SmartBuilding_ExpoTech</w:t>
        </w:r>
      </w:hyperlink>
      <w:r w:rsidDel="00000000" w:rsidR="00000000" w:rsidRPr="00000000">
        <w:rPr>
          <w:rtl w:val="0"/>
        </w:rPr>
        <w:t xml:space="preserve"> — com código completo de backend, frontend, firmware ESP32, simulador, documentação e CI configurado.</w:t>
      </w:r>
    </w:p>
    <w:p w:rsidR="00000000" w:rsidDel="00000000" w:rsidP="00000000" w:rsidRDefault="00000000" w:rsidRPr="00000000" w14:paraId="000000B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Testes:</w:t>
      </w:r>
      <w:r w:rsidDel="00000000" w:rsidR="00000000" w:rsidRPr="00000000">
        <w:rPr>
          <w:rtl w:val="0"/>
        </w:rPr>
        <w:t xml:space="preserve"> os testes ficam em backend/tests/ (test_auth.py, test_devices.py, test_health.py) e tests/test_api_contract.py na raiz. Rodam automaticamente no CI.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399730" cy="1193800"/>
            <wp:effectExtent b="0" l="0" r="0" t="0"/>
            <wp:docPr id="7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1193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b w:val="1"/>
          <w:bCs w:val="1"/>
          <w:rtl w:val="0"/>
        </w:rPr>
        <w:t xml:space="preserve">README:</w:t>
      </w:r>
      <w:r w:rsidDel="00000000" w:rsidR="00000000" w:rsidRPr="00000000">
        <w:rPr>
          <w:rtl w:val="0"/>
        </w:rPr>
        <w:t xml:space="preserve"> o README.md na raiz explica o que é o projeto e como rodar com Docker Compose (docker compose up). A documentação detalhada fica em docs/.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b w:val="1"/>
          <w:bCs w:val="1"/>
          <w:rtl w:val="0"/>
        </w:rPr>
        <w:t xml:space="preserve">Prova de conceito funcionando:</w:t>
      </w:r>
      <w:r w:rsidDel="00000000" w:rsidR="00000000" w:rsidRPr="00000000">
        <w:rPr>
          <w:rtl w:val="0"/>
        </w:rPr>
        <w:t xml:space="preserve"> a API sobe com docker compose up e responde em http://localhost:8000/api/v1/health com 200 OK. O Swagger está disponível em http://localhost:8000/api/docs. O simulador (simulator/simulator.py) publica dados de sensores via MQTT para demonstrar o fluxo completo mesmo sem o hardware físico.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i w:val="1"/>
          <w:iCs w:val="1"/>
          <w:rtl w:val="0"/>
        </w:rPr>
        <w:t xml:space="preserve">Respostas baseadas no código do repositório SmartBuilding_ExpoTech — todas as evidências citadas estão nos arquivos mencionados.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ourier New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pt_BR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5.png"/><Relationship Id="rId22" Type="http://schemas.openxmlformats.org/officeDocument/2006/relationships/image" Target="media/image14.png"/><Relationship Id="rId21" Type="http://schemas.openxmlformats.org/officeDocument/2006/relationships/image" Target="media/image13.png"/><Relationship Id="rId24" Type="http://schemas.openxmlformats.org/officeDocument/2006/relationships/image" Target="media/image3.png"/><Relationship Id="rId23" Type="http://schemas.openxmlformats.org/officeDocument/2006/relationships/image" Target="media/image20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6.png"/><Relationship Id="rId26" Type="http://schemas.openxmlformats.org/officeDocument/2006/relationships/image" Target="media/image23.png"/><Relationship Id="rId25" Type="http://schemas.openxmlformats.org/officeDocument/2006/relationships/image" Target="media/image18.png"/><Relationship Id="rId28" Type="http://schemas.openxmlformats.org/officeDocument/2006/relationships/image" Target="media/image4.png"/><Relationship Id="rId27" Type="http://schemas.openxmlformats.org/officeDocument/2006/relationships/image" Target="media/image9.png"/><Relationship Id="rId5" Type="http://schemas.openxmlformats.org/officeDocument/2006/relationships/styles" Target="styles.xml"/><Relationship Id="rId6" Type="http://schemas.openxmlformats.org/officeDocument/2006/relationships/hyperlink" Target="https://github.com/jhowsoares/SmartBuilding_ExpoTech" TargetMode="External"/><Relationship Id="rId29" Type="http://schemas.openxmlformats.org/officeDocument/2006/relationships/image" Target="media/image19.png"/><Relationship Id="rId7" Type="http://schemas.openxmlformats.org/officeDocument/2006/relationships/image" Target="media/image2.png"/><Relationship Id="rId8" Type="http://schemas.openxmlformats.org/officeDocument/2006/relationships/image" Target="media/image6.png"/><Relationship Id="rId31" Type="http://schemas.openxmlformats.org/officeDocument/2006/relationships/image" Target="media/image21.png"/><Relationship Id="rId30" Type="http://schemas.openxmlformats.org/officeDocument/2006/relationships/hyperlink" Target="https://github.com/jhowsoares/SmartBuilding_ExpoTech" TargetMode="External"/><Relationship Id="rId11" Type="http://schemas.openxmlformats.org/officeDocument/2006/relationships/image" Target="media/image17.png"/><Relationship Id="rId10" Type="http://schemas.openxmlformats.org/officeDocument/2006/relationships/image" Target="media/image7.png"/><Relationship Id="rId13" Type="http://schemas.openxmlformats.org/officeDocument/2006/relationships/image" Target="media/image11.png"/><Relationship Id="rId12" Type="http://schemas.openxmlformats.org/officeDocument/2006/relationships/image" Target="media/image22.png"/><Relationship Id="rId15" Type="http://schemas.openxmlformats.org/officeDocument/2006/relationships/image" Target="media/image10.png"/><Relationship Id="rId14" Type="http://schemas.openxmlformats.org/officeDocument/2006/relationships/image" Target="media/image8.png"/><Relationship Id="rId17" Type="http://schemas.openxmlformats.org/officeDocument/2006/relationships/image" Target="media/image12.png"/><Relationship Id="rId16" Type="http://schemas.openxmlformats.org/officeDocument/2006/relationships/hyperlink" Target="http://handlers.py" TargetMode="External"/><Relationship Id="rId19" Type="http://schemas.openxmlformats.org/officeDocument/2006/relationships/image" Target="media/image1.png"/><Relationship Id="rId18" Type="http://schemas.openxmlformats.org/officeDocument/2006/relationships/image" Target="media/image15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