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pPr>
    </w:p>
    <w:p>
      <w:pPr>
        <w:pStyle w:val="Title"/>
      </w:pPr>
      <w:r>
        <w:t>PoliSim Experimental Program Status Report</w:t>
      </w:r>
    </w:p>
    <w:p>
      <w:pPr>
        <w:spacing w:after="560"/>
      </w:pPr>
      <w:r>
        <w:rPr>
          <w:rFonts w:ascii="Aptos" w:hAnsi="Aptos"/>
          <w:color w:val="6B7280"/>
          <w:sz w:val="32"/>
        </w:rPr>
        <w:t>Replication of Out of One Many and time-locked multi-model society experiments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3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Report control</w:t>
            </w:r>
          </w:p>
        </w:tc>
        <w:tc>
          <w:tcPr>
            <w:tcW w:type="dxa" w:w="73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Value</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Report status</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Active development snapshot</w:t>
            </w:r>
          </w:p>
        </w:tc>
      </w:tr>
      <w:tr>
        <w:trPr>
          <w:cantSplit/>
        </w:trPr>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Version</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0.1</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Snapshot</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23 September 2026 at 05:35 PM EDT</w:t>
            </w:r>
          </w:p>
        </w:tc>
      </w:tr>
      <w:tr>
        <w:trPr>
          <w:cantSplit/>
        </w:trPr>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Repository state</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codex/reproducibility-correctness at 42e3608</w:t>
            </w:r>
          </w:p>
        </w:tc>
      </w:tr>
      <w:tr>
        <w:trPr>
          <w:cantSplit/>
        </w:trPr>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Audience</w:t>
            </w:r>
          </w:p>
        </w:tc>
        <w:tc>
          <w:tcPr>
            <w:tcW w:type="dxa" w:w="734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External technical and research review</w:t>
            </w:r>
          </w:p>
        </w:tc>
      </w:tr>
    </w:tbl>
    <w:p>
      <w:pPr>
        <w:spacing w:after="0"/>
      </w:pPr>
    </w:p>
    <w:p>
      <w:pPr>
        <w:spacing w:after="840"/>
      </w:pPr>
    </w:p>
    <w:p>
      <w:pPr>
        <w:spacing w:after="160"/>
        <w:jc w:val="left"/>
      </w:pPr>
      <w:r>
        <w:rPr>
          <w:b/>
          <w:sz w:val="22"/>
        </w:rPr>
        <w:t>Purpose</w:t>
      </w:r>
    </w:p>
    <w:p>
      <w:pPr>
        <w:spacing w:after="140" w:line="276" w:lineRule="auto"/>
      </w:pPr>
      <w:r>
        <w:t>This report provides a traceable account of what has been built, what has been tested, what has been observed, and what remains unproven. It is designed to let an outside reader understand the experimental program without seeing the source code or the live task history.</w:t>
      </w:r>
    </w:p>
    <w:p>
      <w:r>
        <w:br w:type="page"/>
      </w:r>
    </w:p>
    <w:p>
      <w:pPr>
        <w:pStyle w:val="Heading1"/>
        <w:keepNext/>
      </w:pPr>
      <w:r>
        <w:t>1 Executive status</w:t>
      </w:r>
    </w:p>
    <w:p>
      <w:pPr>
        <w:spacing w:after="140" w:line="276" w:lineRule="auto"/>
      </w:pPr>
      <w:r>
        <w:rPr>
          <w:b/>
        </w:rPr>
        <w:t>Main conclusion.</w:t>
      </w:r>
      <w:r>
        <w:t xml:space="preserve"> PoliSim is presently a credible experimental workbench, but it has not yet produced a scientifically adequate replication of the original silicon-sampling study or a validated claim that interacting AI societies reproduce human political behavior. The strongest result to date is the infrastructure: time-bounded evidence, provenance, population tooling, evaluation boundaries, scoring, reproducibility controls, and a monitoring interface. Existing behavioral runs are smoke tests and small probes whose sample sizes and treatments are insufficient for substantive conclusions.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8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Area</w:t>
            </w:r>
          </w:p>
        </w:tc>
        <w:tc>
          <w:tcPr>
            <w:tcW w:type="dxa" w:w="208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state</w:t>
            </w:r>
          </w:p>
        </w:tc>
        <w:tc>
          <w:tcPr>
            <w:tcW w:type="dxa" w:w="55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What it means</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Research protocol</w:t>
            </w:r>
          </w:p>
        </w:tc>
        <w:tc>
          <w:tcPr>
            <w:tcW w:type="dxa" w:w="2088"/>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 active definition</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paper-faithful baseline and the society extension are being separated so results remain interpretable.</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Core platform</w:t>
            </w:r>
          </w:p>
        </w:tc>
        <w:tc>
          <w:tcPr>
            <w:tcW w:type="dxa" w:w="2088"/>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Frozen evidence, provenance, run manifests, scoring, population construction, and dashboard paths are implemented.</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Existing experiments</w:t>
            </w:r>
          </w:p>
        </w:tc>
        <w:tc>
          <w:tcPr>
            <w:tcW w:type="dxa" w:w="2088"/>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Preliminary</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Runs validate software paths and expose design gaps; they do not establish human-response fidelity.</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inputs</w:t>
            </w:r>
          </w:p>
        </w:tc>
        <w:tc>
          <w:tcPr>
            <w:tcW w:type="dxa" w:w="2088"/>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Partial</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instruments and the public 5,914-row replication CSV are present; the official weighted ANES file is still missing.</w:t>
            </w:r>
          </w:p>
        </w:tc>
      </w:tr>
      <w:tr>
        <w:trPr>
          <w:cantSplit/>
        </w:trPr>
        <w:tc>
          <w:tcPr>
            <w:tcW w:type="dxa" w:w="208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Container isolation</w:t>
            </w:r>
          </w:p>
        </w:tc>
        <w:tc>
          <w:tcPr>
            <w:tcW w:type="dxa" w:w="2088"/>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 locally</w:t>
            </w:r>
          </w:p>
        </w:tc>
        <w:tc>
          <w:tcPr>
            <w:tcW w:type="dxa" w:w="55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is installed but the daemon is stopped. Existing container mode isolates retrieval, not the hosted model workers.</w:t>
            </w:r>
          </w:p>
        </w:tc>
      </w:tr>
      <w:tr>
        <w:trPr>
          <w:cantSplit/>
        </w:trPr>
        <w:tc>
          <w:tcPr>
            <w:tcW w:type="dxa" w:w="208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Scientific claim readiness</w:t>
            </w:r>
          </w:p>
        </w:tc>
        <w:tc>
          <w:tcPr>
            <w:tcW w:type="dxa" w:w="2088"/>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ready</w:t>
            </w:r>
          </w:p>
        </w:tc>
        <w:tc>
          <w:tcPr>
            <w:tcW w:type="dxa" w:w="55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preregistered, adequately powered, leak-audited baseline must precede any public performance claim.</w:t>
            </w:r>
          </w:p>
        </w:tc>
      </w:tr>
    </w:tbl>
    <w:p>
      <w:pPr>
        <w:spacing w:after="0"/>
      </w:pPr>
    </w:p>
    <w:p>
      <w:pPr>
        <w:pStyle w:val="Heading2"/>
        <w:keepNext/>
      </w:pPr>
      <w:r>
        <w:t>How to read this report</w:t>
      </w:r>
    </w:p>
    <w:p>
      <w:pPr>
        <w:pStyle w:val="ListBullet"/>
        <w:spacing w:after="80" w:line="269" w:lineRule="auto"/>
      </w:pPr>
      <w:r>
        <w:t>Facts are tied to repository artifacts, run outputs, test results, or the active engineering log.</w:t>
      </w:r>
    </w:p>
    <w:p>
      <w:pPr>
        <w:pStyle w:val="ListBullet"/>
        <w:spacing w:after="80" w:line="269" w:lineRule="auto"/>
      </w:pPr>
      <w:r>
        <w:t>Interpretations are labeled as preliminary when the design or sample size does not support a stronger statement.</w:t>
      </w:r>
    </w:p>
    <w:p>
      <w:pPr>
        <w:pStyle w:val="ListBullet"/>
        <w:spacing w:after="80" w:line="269" w:lineRule="auto"/>
      </w:pPr>
      <w:r>
        <w:t>Proposed work is separated from completed work; a planned feature is never presented as an observed result.</w:t>
      </w:r>
    </w:p>
    <w:p>
      <w:pPr>
        <w:pStyle w:val="Heading2"/>
        <w:keepNext/>
      </w:pPr>
      <w:r>
        <w:t>Current decision</w:t>
      </w:r>
    </w:p>
    <w:p>
      <w:pPr>
        <w:spacing w:after="140" w:line="276" w:lineRule="auto"/>
      </w:pPr>
      <w:r>
        <w:t>Proceed with a staged replication. First reproduce the original paper's 2012 vote-choice design without agent conversation. Then compare that independent baseline with a matched interacting-society treatment. Keep the broader all-question experiment and the historical forecasting benchmark as separate arms. This makes it possible to tell whether interaction improves fidelity or simply creates correlated group behavior.</w:t>
      </w:r>
    </w:p>
    <w:p>
      <w:r>
        <w:br w:type="page"/>
      </w:r>
    </w:p>
    <w:p>
      <w:pPr>
        <w:pStyle w:val="Heading1"/>
        <w:keepNext/>
      </w:pPr>
      <w:r>
        <w:t>2 Research question and reference study</w:t>
      </w:r>
    </w:p>
    <w:p>
      <w:pPr>
        <w:spacing w:after="140" w:line="276" w:lineRule="auto"/>
      </w:pPr>
      <w:r>
        <w:t>The program asks whether language models, conditioned on historically appropriate demographic and attitudinal profiles, can reproduce distributions and association patterns observed in human survey data. The extension asks whether groups of such models, allowed to exchange limited social signals, move closer to or farther from held-out human outcomes.</w:t>
      </w:r>
    </w:p>
    <w:p>
      <w:pPr>
        <w:pStyle w:val="Heading2"/>
        <w:keepNext/>
      </w:pPr>
      <w:r>
        <w:t>Reference study</w:t>
      </w:r>
    </w:p>
    <w:p>
      <w:pPr>
        <w:spacing w:after="140" w:line="276" w:lineRule="auto"/>
      </w:pPr>
      <w:r>
        <w:t>The benchmark is Out of One Many Using Language Models to Simulate Human Samples by Argyle and colleagues [1]. The paper conditioned GPT-3 on thousands of respondent backstories and compared model outputs with human survey responses. Its vote-choice study used ten ANES profile variables. For 2012, the paper reports a GPT-3 Republican vote probability of 0.391 versus 0.404 in ANES and a tetrachoric correlation of 0.90 between binary model and human vote measures. These are reference values, not results from PoliSim.</w:t>
      </w:r>
    </w:p>
    <w:p>
      <w:pPr>
        <w:spacing w:after="140" w:line="276" w:lineRule="auto"/>
      </w:pPr>
      <w:r>
        <w:t>The paper's closed-ended-question study used the 2016 ANES, not the 2012 ANES. It selected twelve variables, supplied eleven answers, and asked the model to predict the twelfth. Across 4,270 participants and twelve leave-one-question-out experiments, the design required more than 50,000 unique conditioning texts. The complete-case analysis retained 1,782 cases. This distinction matters because the proposed PoliSim all-question 2012 arm is an extension, not a direct reproduction of that study.</w:t>
      </w:r>
    </w:p>
    <w:p>
      <w:pPr>
        <w:spacing w:after="140" w:line="276" w:lineRule="auto"/>
      </w:pPr>
      <w:r>
        <w:t>The current work also recalculated the paper's public 2012 Study 2 comparator. The file contains 5,914 rows and 4,188 valid two-party comparisons. It yields a full-sample Romney probability of 0.391, an observed Romney share of 0.404 among valid two-party responses, agreement of 0.854, and Cohen's kappa of 0.689. This confirms that the public replication input and metric mapping are being read correctly; it is not a new GPT-3 or GPT-4.1 model run.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Feature</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Paper-faithful baseline</w:t>
            </w:r>
          </w:p>
        </w:tc>
        <w:tc>
          <w:tcPr>
            <w:tcW w:type="dxa" w:w="410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PoliSim extension</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Primary year</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for vote choice</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2012 pre/post inventory plus election-year context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Unit</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One conditioned model query per respondent</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Weighted synthetic/respondent-derived profile with repeated independent and social treatments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Interaction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None</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Controlled small-group conversation or social updating</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scope</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Vote choice; selected-variable study used 2016</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Full inventory with explicit eligibility exclusions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Information boundary</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Prompt conditioning on respondent backstory</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Pre-election runtime profiles plus frozen evidence; post-election targets held in a vault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Evaluation</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Aggregate/subgroup agreement and association measures</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agreement, kappa, distribution error, subgroup error, convergence, and treatment contrasts</w:t>
            </w:r>
          </w:p>
        </w:tc>
      </w:tr>
    </w:tbl>
    <w:p>
      <w:pPr>
        <w:spacing w:after="0"/>
      </w:pPr>
    </w:p>
    <w:p>
      <w:r>
        <w:br w:type="page"/>
      </w:r>
    </w:p>
    <w:p>
      <w:pPr>
        <w:pStyle w:val="Heading1"/>
        <w:keepNext/>
      </w:pPr>
      <w:r>
        <w:t>3 Experimental design</w:t>
      </w:r>
    </w:p>
    <w:p>
      <w:pPr>
        <w:spacing w:after="140" w:line="276" w:lineRule="auto"/>
      </w:pPr>
      <w:r>
        <w:t>The current protocol deliberately separates three experiments. Combining them would make any positive result scientifically ambiguous.</w:t>
      </w:r>
    </w:p>
    <w:p>
      <w:pPr>
        <w:pStyle w:val="Heading2"/>
        <w:keepNext/>
      </w:pPr>
      <w:r>
        <w:t>Experiment A Paper-faithful vote-choice baseline</w:t>
      </w:r>
    </w:p>
    <w:p>
      <w:pPr>
        <w:pStyle w:val="ListBullet"/>
        <w:spacing w:after="80" w:line="269" w:lineRule="auto"/>
      </w:pPr>
      <w:r>
        <w:t>Use the ten 2012 ANES profile variables specified in the paper and hold out the 2012 presidential vote field.</w:t>
      </w:r>
    </w:p>
    <w:p>
      <w:pPr>
        <w:pStyle w:val="ListBullet"/>
        <w:spacing w:after="80" w:line="269" w:lineRule="auto"/>
      </w:pPr>
      <w:r>
        <w:t>Generate one independent probability per sampled profile with no conversation and no post-election evidence.</w:t>
      </w:r>
    </w:p>
    <w:p>
      <w:pPr>
        <w:pStyle w:val="ListBullet"/>
        <w:spacing w:after="80" w:line="269" w:lineRule="auto"/>
      </w:pPr>
      <w:r>
        <w:t>Apply the correct ANES weights and compare toplines, individual agreement, subgroup performance, and association measures.</w:t>
      </w:r>
    </w:p>
    <w:p>
      <w:pPr>
        <w:pStyle w:val="ListBullet"/>
        <w:spacing w:after="80" w:line="269" w:lineRule="auto"/>
      </w:pPr>
      <w:r>
        <w:t>Use a single declared model cohort for the main replication; do not mix model families in the primary estimate.</w:t>
      </w:r>
    </w:p>
    <w:p>
      <w:pPr>
        <w:pStyle w:val="Heading2"/>
        <w:keepNext/>
      </w:pPr>
      <w:r>
        <w:t>Experiment B Full-question independent baseline</w:t>
      </w:r>
    </w:p>
    <w:p>
      <w:pPr>
        <w:pStyle w:val="ListBullet"/>
        <w:spacing w:after="80" w:line="269" w:lineRule="auto"/>
      </w:pPr>
      <w:r>
        <w:t>Catalog every named specification in the official pre- and post-election instruments.</w:t>
      </w:r>
    </w:p>
    <w:p>
      <w:pPr>
        <w:pStyle w:val="ListBullet"/>
        <w:spacing w:after="80" w:line="269" w:lineRule="auto"/>
      </w:pPr>
      <w:r>
        <w:t>Record ineligible items rather than deleting them silently. Administrative, restricted, display-only, free-text, and unbounded-entry items are excluded from automated prompting.</w:t>
      </w:r>
    </w:p>
    <w:p>
      <w:pPr>
        <w:pStyle w:val="ListBullet"/>
        <w:spacing w:after="80" w:line="269" w:lineRule="auto"/>
      </w:pPr>
      <w:r>
        <w:t>For each eligible item, predict the held-out response using only permitted profile fields and pre-election context.</w:t>
      </w:r>
    </w:p>
    <w:p>
      <w:pPr>
        <w:pStyle w:val="ListBullet"/>
        <w:spacing w:after="80" w:line="269" w:lineRule="auto"/>
      </w:pPr>
      <w:r>
        <w:t>Use the independent result as the control condition for the society treatment.</w:t>
      </w:r>
    </w:p>
    <w:p>
      <w:pPr>
        <w:pStyle w:val="Heading2"/>
        <w:keepNext/>
      </w:pPr>
      <w:r>
        <w:t>Experiment C Interacting society treatment</w:t>
      </w:r>
    </w:p>
    <w:p>
      <w:pPr>
        <w:pStyle w:val="ListBullet"/>
        <w:spacing w:after="80" w:line="269" w:lineRule="auto"/>
      </w:pPr>
      <w:r>
        <w:t>Assign the same profiles and questions used by the independent control to small conversation groups.</w:t>
      </w:r>
    </w:p>
    <w:p>
      <w:pPr>
        <w:pStyle w:val="ListBullet"/>
        <w:spacing w:after="80" w:line="269" w:lineRule="auto"/>
      </w:pPr>
      <w:r>
        <w:t>Preserve each agent's initial response, interaction trace, final response, model identity, seed, and sampling weight.</w:t>
      </w:r>
    </w:p>
    <w:p>
      <w:pPr>
        <w:pStyle w:val="ListBullet"/>
        <w:spacing w:after="80" w:line="269" w:lineRule="auto"/>
      </w:pPr>
      <w:r>
        <w:t>Estimate whether interaction changes error, diversity, subgroup fidelity, polarization, consensus, and between-replication variance.</w:t>
      </w:r>
    </w:p>
    <w:p>
      <w:pPr>
        <w:pStyle w:val="ListBullet"/>
        <w:spacing w:after="80" w:line="269" w:lineRule="auto"/>
      </w:pPr>
      <w:r>
        <w:t>Treat convergence as a property to measure, not as evidence of correctness.</w:t>
      </w:r>
    </w:p>
    <w:p>
      <w:pPr>
        <w:jc w:val="center"/>
      </w:pPr>
      <w:r>
        <w:drawing>
          <wp:inline xmlns:a="http://schemas.openxmlformats.org/drawingml/2006/main" xmlns:pic="http://schemas.openxmlformats.org/drawingml/2006/picture">
            <wp:extent cx="6355080" cy="1664426"/>
            <wp:docPr id="1" name="Picture 1" descr="Experimental flow from protocol and pre-election profiles through matched independent and society treatments, sealed prediction artifacts, and held-out evaluation beyond the generation boundary." title="PoliSim experimental flow"/>
            <wp:cNvGraphicFramePr>
              <a:graphicFrameLocks noChangeAspect="1"/>
            </wp:cNvGraphicFramePr>
            <a:graphic>
              <a:graphicData uri="http://schemas.openxmlformats.org/drawingml/2006/picture">
                <pic:pic>
                  <pic:nvPicPr>
                    <pic:cNvPr id="0" name="experimental_architecture.png"/>
                    <pic:cNvPicPr/>
                  </pic:nvPicPr>
                  <pic:blipFill>
                    <a:blip r:embed="rId11"/>
                    <a:stretch>
                      <a:fillRect/>
                    </a:stretch>
                  </pic:blipFill>
                  <pic:spPr>
                    <a:xfrm>
                      <a:off x="0" y="0"/>
                      <a:ext cx="6355080" cy="1664426"/>
                    </a:xfrm>
                    <a:prstGeom prst="rect"/>
                  </pic:spPr>
                </pic:pic>
              </a:graphicData>
            </a:graphic>
          </wp:inline>
        </w:drawing>
      </w:r>
    </w:p>
    <w:p>
      <w:pPr>
        <w:spacing w:before="60" w:after="180"/>
        <w:jc w:val="center"/>
      </w:pPr>
      <w:r>
        <w:rPr>
          <w:i/>
          <w:color w:val="6B7280"/>
          <w:sz w:val="18"/>
        </w:rPr>
        <w:t>Figure 1 Experimental flow and the sealed boundary between model generation and held-out evaluation</w:t>
      </w:r>
    </w:p>
    <w:p>
      <w:pPr>
        <w:pStyle w:val="Heading2"/>
        <w:keepNext/>
      </w:pPr>
      <w:r>
        <w:t>Provider-free pilot parameters</w:t>
      </w:r>
    </w:p>
    <w:p>
      <w:pPr>
        <w:spacing w:after="140" w:line="276" w:lineRule="auto"/>
      </w:pPr>
      <w:r>
        <w:t>The active implementation uses a structural simulator before any paid model run. Its current defaults are five replications, a maximum of 120 computational agents, groups of 12, and three interaction rounds. These values are engineering defaults for validating the split, treatment logic, and scoring path. They are not a final power calculation and they are not a scientific result.</w:t>
      </w:r>
    </w:p>
    <w:p>
      <w:pPr>
        <w:spacing w:after="140" w:line="276" w:lineRule="auto"/>
      </w:pPr>
      <w:r>
        <w:t>A separate live conversational path is scaffolded but has not sent paid traffic. Its default probe pairs 12 profiles with the same model assignments, collects an independent private answer, runs two synchronous anonymous-message rounds, and then collects a private final answer. Tools are disabled, world context must pass cutoff validation, and the preflight allows up to 96 provider requests when one strict-JSON retry per call is included. The seal records that provider calls remain host-side.</w:t>
      </w:r>
    </w:p>
    <w:p>
      <w:pPr>
        <w:pStyle w:val="Heading1"/>
        <w:keepNext/>
      </w:pPr>
      <w:r>
        <w:t>4 Data separation and experimental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Zone</w:t>
            </w:r>
          </w:p>
        </w:tc>
        <w:tc>
          <w:tcPr>
            <w:tcW w:type="dxa" w:w="43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Permitted contents</w:t>
            </w:r>
          </w:p>
        </w:tc>
        <w:tc>
          <w:tcPr>
            <w:tcW w:type="dxa" w:w="352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Runtime rule</w:t>
            </w:r>
          </w:p>
        </w:tc>
      </w:tr>
      <w:tr>
        <w:trPr>
          <w:cantSplit/>
        </w:trPr>
        <w:tc>
          <w:tcPr>
            <w:tcW w:type="dxa" w:w="18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Population build</w:t>
            </w:r>
          </w:p>
        </w:tc>
        <w:tc>
          <w:tcPr>
            <w:tcW w:type="dxa" w:w="43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Census or ACS constraints, donor microdata, geography, checksums</w:t>
            </w:r>
          </w:p>
        </w:tc>
        <w:tc>
          <w:tcPr>
            <w:tcW w:type="dxa" w:w="35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Used to construct profiles; not a searchable agent corpus</w:t>
            </w:r>
          </w:p>
        </w:tc>
      </w:tr>
      <w:tr>
        <w:trPr>
          <w:cantSplit/>
        </w:trPr>
        <w:tc>
          <w:tcPr>
            <w:tcW w:type="dxa" w:w="18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Behavior training</w:t>
            </w:r>
          </w:p>
        </w:tc>
        <w:tc>
          <w:tcPr>
            <w:tcW w:type="dxa" w:w="43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Licensed survey microdata and weighting documentation</w:t>
            </w:r>
          </w:p>
        </w:tc>
        <w:tc>
          <w:tcPr>
            <w:tcW w:type="dxa" w:w="35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Raw respondent rows are not exposed to runtime agents</w:t>
            </w:r>
          </w:p>
        </w:tc>
      </w:tr>
      <w:tr>
        <w:trPr>
          <w:cantSplit/>
        </w:trPr>
        <w:tc>
          <w:tcPr>
            <w:tcW w:type="dxa" w:w="18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Runtime profile</w:t>
            </w:r>
          </w:p>
        </w:tc>
        <w:tc>
          <w:tcPr>
            <w:tcW w:type="dxa" w:w="43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Pseudonymous synthetic profile, task, frozen evidence, permitted model state</w:t>
            </w:r>
          </w:p>
        </w:tc>
        <w:tc>
          <w:tcPr>
            <w:tcW w:type="dxa" w:w="35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Only pre-cutoff fields and documents are mounted or supplied</w:t>
            </w:r>
          </w:p>
        </w:tc>
      </w:tr>
      <w:tr>
        <w:trPr>
          <w:cantSplit/>
        </w:trPr>
        <w:tc>
          <w:tcPr>
            <w:tcW w:type="dxa" w:w="18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Evaluation vault</w:t>
            </w:r>
          </w:p>
        </w:tc>
        <w:tc>
          <w:tcPr>
            <w:tcW w:type="dxa" w:w="43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Held-out survey responses and certified post-event outcomes</w:t>
            </w:r>
          </w:p>
        </w:tc>
        <w:tc>
          <w:tcPr>
            <w:tcW w:type="dxa" w:w="35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Unavailable until prediction artifacts are sealed</w:t>
            </w:r>
          </w:p>
        </w:tc>
      </w:tr>
    </w:tbl>
    <w:p>
      <w:pPr>
        <w:spacing w:after="0"/>
      </w:pPr>
    </w:p>
    <w:p>
      <w:pPr>
        <w:pStyle w:val="Heading2"/>
        <w:keepNext/>
      </w:pPr>
      <w:r>
        <w:t>Controls that must be enforced</w:t>
      </w:r>
    </w:p>
    <w:p>
      <w:pPr>
        <w:pStyle w:val="ListBullet"/>
        <w:spacing w:after="80" w:line="269" w:lineRule="auto"/>
      </w:pPr>
      <w:r>
        <w:t>Temporal control: evidence and profile fields must be available before the declared cutoff.</w:t>
      </w:r>
    </w:p>
    <w:p>
      <w:pPr>
        <w:pStyle w:val="ListBullet"/>
        <w:spacing w:after="80" w:line="269" w:lineRule="auto"/>
      </w:pPr>
      <w:r>
        <w:t>Leakage control: target fields and post-election outcomes must not appear in runtime payloads, mounts, logs, prompts, or retrieval indexes.</w:t>
      </w:r>
    </w:p>
    <w:p>
      <w:pPr>
        <w:pStyle w:val="ListBullet"/>
        <w:spacing w:after="80" w:line="269" w:lineRule="auto"/>
      </w:pPr>
      <w:r>
        <w:t>Evidence control: authenticated artifacts must be checksum-pinned; generated fixtures remain visibly labeled as fixtures.</w:t>
      </w:r>
    </w:p>
    <w:p>
      <w:pPr>
        <w:pStyle w:val="ListBullet"/>
        <w:spacing w:after="80" w:line="269" w:lineRule="auto"/>
      </w:pPr>
      <w:r>
        <w:t>Cost control: provider calls require explicit enablement, bounded requests, bounded tokens, and a declared run ceiling.</w:t>
      </w:r>
    </w:p>
    <w:p>
      <w:pPr>
        <w:pStyle w:val="ListBullet"/>
        <w:spacing w:after="80" w:line="269" w:lineRule="auto"/>
      </w:pPr>
      <w:r>
        <w:t>Privacy control: no respondent names or direct identifiers; microdata remains ignored and local; outputs use pseudonymous IDs and safe aggregates.</w:t>
      </w:r>
    </w:p>
    <w:p>
      <w:pPr>
        <w:pStyle w:val="ListBullet"/>
        <w:spacing w:after="80" w:line="269" w:lineRule="auto"/>
      </w:pPr>
      <w:r>
        <w:t>Treatment control: independent and society arms use matched units, questions, evidence, and model settings.</w:t>
      </w:r>
    </w:p>
    <w:p>
      <w:pPr>
        <w:pStyle w:val="Heading2"/>
        <w:keepNext/>
      </w:pPr>
      <w:r>
        <w:t>Isolation claim boundary</w:t>
      </w:r>
    </w:p>
    <w:p>
      <w:pPr>
        <w:spacing w:after="140" w:line="276" w:lineRule="auto"/>
      </w:pPr>
      <w:r>
        <w:t>A container can deny tools, block network access, restrict files, freeze the search corpus, and prevent the evaluation vault from being mounted. It cannot remove post-2012 facts already encoded in a modern hosted model's weights. The defensible statement is therefore that the model receives only cutoff-safe supplied context and no external tools. The project must not claim that the model itself knows only what was known in 2012.</w:t>
      </w:r>
    </w:p>
    <w:p>
      <w:r>
        <w:br w:type="page"/>
      </w:r>
    </w:p>
    <w:p>
      <w:pPr>
        <w:pStyle w:val="Heading1"/>
        <w:keepNext/>
      </w:pPr>
      <w:r>
        <w:t>5 Platform and repository status</w:t>
      </w:r>
    </w:p>
    <w:p>
      <w:pPr>
        <w:spacing w:after="140" w:line="276" w:lineRule="auto"/>
      </w:pPr>
      <w:r>
        <w:t>The repository is an integrated research workbench for frozen historical evidence, model and swarm forecasting, synthetic populations, election/demographic comparison, scoring, and a local monitoring console. The e2012 environment uses a 30 June 2012 information cutoff, a resolution window through 30 June 2013, and 50 binary economic, legislative, and geopolitical forecast questions.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Component</w:t>
            </w:r>
          </w:p>
        </w:tc>
        <w:tc>
          <w:tcPr>
            <w:tcW w:type="dxa" w:w="216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State</w:t>
            </w:r>
          </w:p>
        </w:tc>
        <w:tc>
          <w:tcPr>
            <w:tcW w:type="dxa" w:w="532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Evidence at this snapshot</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Frozen evidence world</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Cutoff-aware corpus, source classes, hashes, frozen search, and run fingerprints are implemented.</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Forecast engines</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Offline heuristic, direct-provider path, fixed personas, and sequential multi-model swarm paths exist.</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Population laboratory</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 foundation</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Deterministic synthesis, integerization, marginal validation, compression, and convergence tooling exist.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Election comparison</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 federal partial overall</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2012 FEC general results are normalized; state/local completeness and historical crosswalks remain open.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Scoring</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derived Brier index, calibration, C-index, provenance, partial-run comparison, and citation checks exist.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Dashboard</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Local research console, U.S. geography view, run controls, traces, results, and leaderboard are implemented.</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society module</w:t>
            </w:r>
          </w:p>
        </w:tc>
        <w:tc>
          <w:tcPr>
            <w:tcW w:type="dxa" w:w="216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 structural pilot</w:t>
            </w:r>
          </w:p>
        </w:tc>
        <w:tc>
          <w:tcPr>
            <w:tcW w:type="dxa" w:w="532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parsing, split sealing, leak audit, paired treatments, evaluation, and a hardened Docker command have completed a provider-free pilot; the presidential runtime is limited to 363 pre-election-safe questions.</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Live conversational path</w:t>
            </w:r>
          </w:p>
        </w:tc>
        <w:tc>
          <w:tcPr>
            <w:tcW w:type="dxa" w:w="216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Scaffolded not run</w:t>
            </w:r>
          </w:p>
        </w:tc>
        <w:tc>
          <w:tcPr>
            <w:tcW w:type="dxa" w:w="532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Bounded independent and anonymous-round treatments, paid-call preflight, no-tools prompts, dated context validation, and host-side sealing are implemented.</w:t>
            </w:r>
          </w:p>
        </w:tc>
      </w:tr>
    </w:tbl>
    <w:p>
      <w:pPr>
        <w:spacing w:after="0"/>
      </w:pPr>
    </w:p>
    <w:p>
      <w:pPr>
        <w:pStyle w:val="Heading2"/>
        <w:keepNext/>
      </w:pPr>
      <w:r>
        <w:t>Repository condition</w:t>
      </w:r>
    </w:p>
    <w:p>
      <w:pPr>
        <w:pStyle w:val="ListBullet"/>
        <w:spacing w:after="80" w:line="269" w:lineRule="auto"/>
      </w:pPr>
      <w:r>
        <w:t>Active branch: codex/reproducibility-correctness at 42e3608 at the recorded snapshot.</w:t>
      </w:r>
    </w:p>
    <w:p>
      <w:pPr>
        <w:pStyle w:val="ListBullet"/>
        <w:spacing w:after="80" w:line="269" w:lineRule="auto"/>
      </w:pPr>
      <w:r>
        <w:t>The branch is eight commits ahead of main and one local commit ahead of its remote.</w:t>
      </w:r>
    </w:p>
    <w:p>
      <w:pPr>
        <w:pStyle w:val="ListBullet"/>
        <w:spacing w:after="80" w:line="269" w:lineRule="auto"/>
      </w:pPr>
      <w:r>
        <w:t>Relative to main, the committed branch changes 79 files with 4,796 additions and 271 deletions.</w:t>
      </w:r>
    </w:p>
    <w:p>
      <w:pPr>
        <w:pStyle w:val="ListBullet"/>
        <w:spacing w:after="80" w:line="269" w:lineRule="auto"/>
      </w:pPr>
      <w:r>
        <w:t>The latest commit adds a durable experiment record with protocol, status, milestones, decision logs, phase files, and run-review templates.</w:t>
      </w:r>
    </w:p>
    <w:p>
      <w:pPr>
        <w:pStyle w:val="ListBullet"/>
        <w:spacing w:after="80" w:line="269" w:lineRule="auto"/>
      </w:pPr>
      <w:r>
        <w:t>Two pre-existing uncommitted files harden workspace export against nested Git/virtual-environment directories, environment files, credential-bearing remote URLs, and duplicate manifest paths.</w:t>
      </w:r>
    </w:p>
    <w:p>
      <w:pPr>
        <w:pStyle w:val="ListBullet"/>
        <w:spacing w:after="80" w:line="269" w:lineRule="auto"/>
      </w:pPr>
      <w:r>
        <w:t>The active ANES module and research downloads are uncommitted. Survey microdata and generated artifacts are intentionally outside Git.</w:t>
      </w:r>
    </w:p>
    <w:p>
      <w:pPr>
        <w:pStyle w:val="Heading2"/>
        <w:keepNext/>
      </w:pPr>
      <w:r>
        <w:t>Reproducibility improvements already committed</w:t>
      </w:r>
    </w:p>
    <w:p>
      <w:pPr>
        <w:pStyle w:val="ListBullet"/>
        <w:spacing w:after="80" w:line="269" w:lineRule="auto"/>
      </w:pPr>
      <w:r>
        <w:t>Authoritative full-file checksum verification for Census inputs.</w:t>
      </w:r>
    </w:p>
    <w:p>
      <w:pPr>
        <w:pStyle w:val="ListBullet"/>
        <w:spacing w:after="80" w:line="269" w:lineRule="auto"/>
      </w:pPr>
      <w:r>
        <w:t>Per-forecast retrieval budgets so one forecast cannot consume another forecast's tool allowance.</w:t>
      </w:r>
    </w:p>
    <w:p>
      <w:pPr>
        <w:pStyle w:val="ListBullet"/>
        <w:spacing w:after="80" w:line="269" w:lineRule="auto"/>
      </w:pPr>
      <w:r>
        <w:t>Comparable-question scoring for partial runs.</w:t>
      </w:r>
    </w:p>
    <w:p>
      <w:pPr>
        <w:pStyle w:val="ListBullet"/>
        <w:spacing w:after="80" w:line="269" w:lineRule="auto"/>
      </w:pPr>
      <w:r>
        <w:t>Authenticated evidence classes and paired evidence-ablation experiments.</w:t>
      </w:r>
    </w:p>
    <w:p>
      <w:pPr>
        <w:pStyle w:val="ListBullet"/>
        <w:spacing w:after="80" w:line="269" w:lineRule="auto"/>
      </w:pPr>
      <w:r>
        <w:t>Clean-checkout prerequisite reporting and checksum-verified workspace export/import.</w:t>
      </w:r>
    </w:p>
    <w:p>
      <w:pPr>
        <w:pStyle w:val="Heading1"/>
        <w:keepNext/>
      </w:pPr>
      <w:r>
        <w:t>6 Experiment and run register</w:t>
      </w:r>
    </w:p>
    <w:p>
      <w:pPr>
        <w:spacing w:after="140" w:line="276" w:lineRule="auto"/>
      </w:pPr>
      <w:r>
        <w:t>The table below reports the runs that currently provide interpretable status information. Lower Brier scores are better, but scores across these rows are not directly comparable because the question sets, sample sizes, and engines differ.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088"/>
            <w:shd w:fill="17365D"/>
            <w:vAlign w:val="center"/>
            <w:tcMar>
              <w:top w:w="100" w:type="dxa"/>
              <w:start w:w="120" w:type="dxa"/>
              <w:bottom w:w="100" w:type="dxa"/>
              <w:end w:w="120" w:type="dxa"/>
            </w:tcMar>
          </w:tcPr>
          <w:p>
            <w:pPr>
              <w:spacing w:after="0" w:line="259" w:lineRule="auto"/>
              <w:jc w:val="center"/>
            </w:pPr>
            <w:r/>
            <w:r>
              <w:rPr>
                <w:rFonts w:ascii="Aptos" w:hAnsi="Aptos"/>
                <w:b/>
                <w:color w:val="FFFFFF"/>
                <w:sz w:val="18"/>
              </w:rPr>
              <w:t>Run</w:t>
            </w:r>
          </w:p>
        </w:tc>
        <w:tc>
          <w:tcPr>
            <w:tcW w:type="dxa" w:w="23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Design and size</w:t>
            </w:r>
          </w:p>
        </w:tc>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Key output</w:t>
            </w:r>
          </w:p>
        </w:tc>
        <w:tc>
          <w:tcPr>
            <w:tcW w:type="dxa" w:w="309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Interpretation</w:t>
            </w:r>
          </w:p>
        </w:tc>
      </w:tr>
      <w:tr>
        <w:trPr>
          <w:cantSplit/>
        </w:trPr>
        <w:tc>
          <w:tcPr>
            <w:tcW w:type="dxa" w:w="2088"/>
            <w:shd w:fill="FFFFFF"/>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paper-study2-replication-data-audit</w:t>
            </w:r>
          </w:p>
        </w:tc>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Public paper file; 5,914 rows; 4,188 valid two-party comparisons</w:t>
            </w:r>
          </w:p>
        </w:tc>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Romney probability 0.391; observed share 0.404; agreement 0.854; kappa 0.689</w:t>
            </w:r>
          </w:p>
        </w:tc>
        <w:tc>
          <w:tcPr>
            <w:tcW w:type="dxa" w:w="309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Reproduces the published comparator from supplied probabilities and outcomes. Validates data and metric mapping, not a new model replication.</w:t>
            </w:r>
          </w:p>
        </w:tc>
      </w:tr>
      <w:tr>
        <w:trPr>
          <w:cantSplit/>
        </w:trPr>
        <w:tc>
          <w:tcPr>
            <w:tcW w:type="dxa" w:w="2088"/>
            <w:shd w:fill="F5F6F7"/>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phase1-e2012-smoke</w:t>
            </w:r>
          </w:p>
        </w:tc>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Mock heuristic; 50 questions x 3 labels; 150 predictions</w:t>
            </w:r>
          </w:p>
        </w:tc>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0.2276 for each label; base-rate baseline 0.2465; prior-signal baseline 0.1699</w:t>
            </w:r>
          </w:p>
        </w:tc>
        <w:tc>
          <w:tcPr>
            <w:tcW w:type="dxa" w:w="309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End-to-end software validation. The three labels share the same heuristic output and are not independent model results.</w:t>
            </w:r>
          </w:p>
        </w:tc>
      </w:tr>
      <w:tr>
        <w:trPr>
          <w:cantSplit/>
        </w:trPr>
        <w:tc>
          <w:tcPr>
            <w:tcW w:type="dxa" w:w="2088"/>
            <w:shd w:fill="FFFFFF"/>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e2012-mock-3</w:t>
            </w:r>
          </w:p>
        </w:tc>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Mock archive check; 1 question x 3 labels</w:t>
            </w:r>
          </w:p>
        </w:tc>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Brier 0.25</w:t>
            </w:r>
          </w:p>
        </w:tc>
        <w:tc>
          <w:tcPr>
            <w:tcW w:type="dxa" w:w="309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Archive and manifest check only; no behavioral conclusion.</w:t>
            </w:r>
          </w:p>
        </w:tc>
      </w:tr>
      <w:tr>
        <w:trPr>
          <w:cantSplit/>
        </w:trPr>
        <w:tc>
          <w:tcPr>
            <w:tcW w:type="dxa" w:w="2088"/>
            <w:shd w:fill="F5F6F7"/>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e2012-swarm-6</w:t>
            </w:r>
          </w:p>
        </w:tc>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Six-model live swarm; 3 questions; 18 worker calls</w:t>
            </w:r>
          </w:p>
        </w:tc>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Aggregate Brier 0.1058; C-index 1.0 from only 2 comparable pairs</w:t>
            </w:r>
          </w:p>
        </w:tc>
        <w:tc>
          <w:tcPr>
            <w:tcW w:type="dxa" w:w="309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Promising-looking but far too small for inference. Confounding from mixed model families remains.</w:t>
            </w:r>
          </w:p>
        </w:tc>
      </w:tr>
      <w:tr>
        <w:trPr>
          <w:cantSplit/>
        </w:trPr>
        <w:tc>
          <w:tcPr>
            <w:tcW w:type="dxa" w:w="2088"/>
            <w:shd w:fill="FFFFFF"/>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phase2-e2012-swarm-probe</w:t>
            </w:r>
          </w:p>
        </w:tc>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Mixed 12-agent swarm; 1 question</w:t>
            </w:r>
          </w:p>
        </w:tc>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Median 0.675; Brier 0.1056</w:t>
            </w:r>
          </w:p>
        </w:tc>
        <w:tc>
          <w:tcPr>
            <w:tcW w:type="dxa" w:w="309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Operational probe only. One observation cannot estimate calibration or population fidelity.</w:t>
            </w:r>
          </w:p>
        </w:tc>
      </w:tr>
      <w:tr>
        <w:trPr>
          <w:cantSplit/>
        </w:trPr>
        <w:tc>
          <w:tcPr>
            <w:tcW w:type="dxa" w:w="2088"/>
            <w:shd w:fill="F5F6F7"/>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phase2-e2012-society-swarm</w:t>
            </w:r>
          </w:p>
        </w:tc>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Twelve fixed personas; 1 unemployment question</w:t>
            </w:r>
          </w:p>
        </w:tc>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Median 0.75; Brier 0.0625; two GPT-4.1-mini votes were both 0.70</w:t>
            </w:r>
          </w:p>
        </w:tc>
        <w:tc>
          <w:tcPr>
            <w:tcW w:type="dxa" w:w="309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Inconclusive. Ten votes came from five other model families, and the personas were not a representative human sample.</w:t>
            </w:r>
          </w:p>
        </w:tc>
      </w:tr>
      <w:tr>
        <w:trPr>
          <w:cantSplit/>
        </w:trPr>
        <w:tc>
          <w:tcPr>
            <w:tcW w:type="dxa" w:w="2088"/>
            <w:shd w:fill="FFFFFF"/>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evidence-ablation-e2012</w:t>
            </w:r>
          </w:p>
        </w:tc>
        <w:tc>
          <w:tcPr>
            <w:tcW w:type="dxa" w:w="23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Provider-free/mock; 2 paired units x 3 evidence conditions</w:t>
            </w:r>
          </w:p>
        </w:tc>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All conditions mean Brier 0.25; paired differences 0.0</w:t>
            </w:r>
          </w:p>
        </w:tc>
        <w:tc>
          <w:tcPr>
            <w:tcW w:type="dxa" w:w="309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Validates randomized assignment, paired comparison, uncertainty, and manifests; does not show an evidence effect.</w:t>
            </w:r>
          </w:p>
        </w:tc>
      </w:tr>
      <w:tr>
        <w:trPr>
          <w:cantSplit/>
        </w:trPr>
        <w:tc>
          <w:tcPr>
            <w:tcW w:type="dxa" w:w="2088"/>
            <w:shd w:fill="F5F6F7"/>
            <w:vAlign w:val="center"/>
            <w:tcMar>
              <w:top w:w="100" w:type="dxa"/>
              <w:start w:w="120" w:type="dxa"/>
              <w:bottom w:w="100" w:type="dxa"/>
              <w:end w:w="120" w:type="dxa"/>
            </w:tcMar>
          </w:tcPr>
          <w:p>
            <w:pPr>
              <w:spacing w:after="0" w:line="259" w:lineRule="auto"/>
              <w:jc w:val="center"/>
            </w:pPr>
            <w:r/>
            <w:r>
              <w:rPr>
                <w:rFonts w:ascii="Aptos" w:hAnsi="Aptos"/>
                <w:b w:val="0"/>
                <w:color w:val="000000"/>
                <w:sz w:val="17"/>
              </w:rPr>
              <w:t>anes2012-society-structural-pilot</w:t>
            </w:r>
          </w:p>
        </w:tc>
        <w:tc>
          <w:tcPr>
            <w:tcW w:type="dxa" w:w="23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Provider-free heuristic; 5 paired replications; 120 profiles per arm per replication; 1,200 sealed predictions</w:t>
            </w:r>
          </w:p>
        </w:tc>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Independent mean Brier 0.0846; society 0.0944. Agreement 0.891 vs 0.894; kappa 0.765 vs 0.768</w:t>
            </w:r>
          </w:p>
        </w:tc>
        <w:tc>
          <w:tcPr>
            <w:tcW w:type="dxa" w:w="309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Validates question inventory, split, leakage controls, paired treatments, sealing, and evaluation. Explicitly non-scientific; the heuristic is not a language model.</w:t>
            </w:r>
          </w:p>
        </w:tc>
      </w:tr>
    </w:tbl>
    <w:p>
      <w:pPr>
        <w:spacing w:after="0"/>
      </w:pPr>
    </w:p>
    <w:p>
      <w:r>
        <w:br w:type="page"/>
      </w:r>
    </w:p>
    <w:p>
      <w:pPr>
        <w:pStyle w:val="Heading2"/>
        <w:keepNext/>
      </w:pPr>
      <w:r>
        <w:t>What the current results do show</w:t>
      </w:r>
    </w:p>
    <w:p>
      <w:pPr>
        <w:pStyle w:val="ListBullet"/>
        <w:spacing w:after="80" w:line="269" w:lineRule="auto"/>
      </w:pPr>
      <w:r>
        <w:t>The full pipeline can prepare evidence, generate forecasts, retain votes, seal provenance, score outcomes, and render diagnostics.</w:t>
      </w:r>
    </w:p>
    <w:p>
      <w:pPr>
        <w:pStyle w:val="ListBullet"/>
        <w:spacing w:after="80" w:line="269" w:lineRule="auto"/>
      </w:pPr>
      <w:r>
        <w:t>The swarm implementation records meaningful disagreement across model species and returns a reproducible aggregate.</w:t>
      </w:r>
    </w:p>
    <w:p>
      <w:pPr>
        <w:pStyle w:val="ListBullet"/>
        <w:spacing w:after="80" w:line="269" w:lineRule="auto"/>
      </w:pPr>
      <w:r>
        <w:t>The current sample sizes are too small to estimate calibration, subgroup correspondence, interaction effects, or external validity.</w:t>
      </w:r>
    </w:p>
    <w:p>
      <w:pPr>
        <w:pStyle w:val="ListBullet"/>
        <w:spacing w:after="80" w:line="269" w:lineRule="auto"/>
      </w:pPr>
      <w:r>
        <w:t>A lower Brier score on one or three questions is not evidence that the system emulates a human population.</w:t>
      </w:r>
    </w:p>
    <w:p>
      <w:pPr>
        <w:pStyle w:val="Heading2"/>
        <w:keepNext/>
      </w:pPr>
      <w:r>
        <w:t>Why the structural pilot is not a scientific result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Constraint</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Pilot condition</w:t>
            </w:r>
          </w:p>
        </w:tc>
        <w:tc>
          <w:tcPr>
            <w:tcW w:type="dxa" w:w="410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Consequence</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Response engine</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Deterministic provider-free heuristic</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Validates software behavior, not language-model or human behavior</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Weights</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Uniform validation weights</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Cannot support representative population estimates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Sample</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120 profiles per arm in each of five paired replications</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Adequate for structural checks, not a final power design</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Target</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two-party presidential vote only</w:t>
            </w:r>
          </w:p>
        </w:tc>
        <w:tc>
          <w:tcPr>
            <w:tcW w:type="dxa" w:w="410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Does not validate the 765 eligible-question extension</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Isolation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Artifact split and sealing passed; Docker daemon was stopped</w:t>
            </w:r>
          </w:p>
        </w:tc>
        <w:tc>
          <w:tcPr>
            <w:tcW w:type="dxa" w:w="410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Logical boundary was tested, but no real container execution occurred</w:t>
            </w:r>
          </w:p>
        </w:tc>
      </w:tr>
    </w:tbl>
    <w:p>
      <w:pPr>
        <w:spacing w:after="0"/>
      </w:pPr>
    </w:p>
    <w:p>
      <w:pPr>
        <w:pStyle w:val="Heading2"/>
        <w:keepNext/>
      </w:pPr>
      <w:r>
        <w:t>New federal election comparison layer</w:t>
      </w:r>
    </w:p>
    <w:p>
      <w:pPr>
        <w:spacing w:after="140" w:line="276" w:lineRule="auto"/>
      </w:pPr>
      <w:r>
        <w:t>The official 2012 FEC general-election workbook is now normalized into 2,033 certified candidate rows covering 524 presidential, U.S. House, and U.S. Senate contests across all states and the District of Columbia. The layer is evaluation and display data. It is not mounted into the agent runtime and it does not establish state or local contest completeness.</w:t>
      </w:r>
    </w:p>
    <w:p>
      <w:r>
        <w:br w:type="page"/>
      </w:r>
    </w:p>
    <w:p>
      <w:pPr>
        <w:pStyle w:val="Heading1"/>
        <w:keepNext/>
      </w:pPr>
      <w:r>
        <w:t>7 Active work log</w:t>
      </w:r>
    </w:p>
    <w:p>
      <w:pPr>
        <w:spacing w:after="140" w:line="276" w:lineRule="auto"/>
      </w:pPr>
      <w:r>
        <w:t>This section records the sequence of the current work session so later readers can distinguish discovery, design decisions, implementation, and verification.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22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Time EDT</w:t>
            </w:r>
          </w:p>
        </w:tc>
        <w:tc>
          <w:tcPr>
            <w:tcW w:type="dxa" w:w="259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Activity</w:t>
            </w:r>
          </w:p>
        </w:tc>
        <w:tc>
          <w:tcPr>
            <w:tcW w:type="dxa" w:w="576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Observed result or decision</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16:54</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Repository review began</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real Git repository was identified inside the outer workspace; the active branch and uncommitted export-hardening changes were separated from the outer folder.</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16:57</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Existing runs were reinterpreted</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one-question society swarm was confirmed as mixed-model and scientifically inconclusive; only two of twelve voters used GPT-4.1 mini.</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17:02</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Cross-device state was checked</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GitHub contained no newer branch or commit from the other laptop. Git-ignored run outputs also could not have synchronized automatically.</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17:10</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New replication workstream started</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project was reframed as a paper-faithful baseline plus a separate time-locked, interacting-society variation.</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17:14</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ANES documents were captured</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2012 pre-election questionnaire, post-election questionnaire, and user guide/codebook were stored locally with SHA-256 checksums.</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17:18</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scope was fixed</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instrument parser identified 998 named specifications: 486 pre-election and 512 post-election. Eligibility will be transparent rather than treating every specification as model-safe.</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17:20</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bank and split completed</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catalog retained all 998 specifications, marked 765 eligible and 233 excluded, and sealed 5,914 runtime profiles separately from the held-out vote target.</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17:24</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Provider-free structural pilot completed</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Five paired 120-profile replications produced 1,200 sealed predictions. Evaluation opened only after sealing and remained explicitly labeled non-scientific.</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17:24</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federal results normalized</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2012 FEC general-election workbook produced 2,033 certified candidate rows across 524 presidential, House, and Senate contests.</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Final audit</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Bounded live conversation path scaffolded</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default 12-profile, two-round probe is capped at 96 provider requests including retries. Tools are disabled and no paid traffic has been sent.</w:t>
            </w:r>
          </w:p>
        </w:tc>
      </w:tr>
      <w:tr>
        <w:trPr>
          <w:cantSplit/>
        </w:trPr>
        <w:tc>
          <w:tcPr>
            <w:tcW w:type="dxa" w:w="1224"/>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Final audit</w:t>
            </w:r>
          </w:p>
        </w:tc>
        <w:tc>
          <w:tcPr>
            <w:tcW w:type="dxa" w:w="25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Fidelity and compatibility corrections</w:t>
            </w:r>
          </w:p>
        </w:tc>
        <w:tc>
          <w:tcPr>
            <w:tcW w:type="dxa" w:w="576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Study 2 profile text was aligned to the paper's reported variable order, and a Python-version incompatibility was removed from the live swarm runner.</w:t>
            </w:r>
          </w:p>
        </w:tc>
      </w:tr>
      <w:tr>
        <w:trPr>
          <w:cantSplit/>
        </w:trPr>
        <w:tc>
          <w:tcPr>
            <w:tcW w:type="dxa" w:w="1224"/>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Phase complete</w:t>
            </w:r>
          </w:p>
        </w:tc>
        <w:tc>
          <w:tcPr>
            <w:tcW w:type="dxa" w:w="25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Verification and documentation</w:t>
            </w:r>
          </w:p>
        </w:tc>
        <w:tc>
          <w:tcPr>
            <w:tcW w:type="dxa" w:w="576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full 245-test suite and scoped Ruff checks passed. The public replication data remains explicitly separated from the unavailable official weighted ANES respondent file.</w:t>
            </w:r>
          </w:p>
        </w:tc>
      </w:tr>
    </w:tbl>
    <w:p>
      <w:pPr>
        <w:spacing w:after="0"/>
      </w:pPr>
    </w:p>
    <w:p>
      <w:pPr>
        <w:pStyle w:val="Heading2"/>
        <w:keepNext/>
      </w:pPr>
      <w:r>
        <w:t>ANES source inventory at snapshot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345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Artifact</w:t>
            </w:r>
          </w:p>
        </w:tc>
        <w:tc>
          <w:tcPr>
            <w:tcW w:type="dxa" w:w="331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SHA-256</w:t>
            </w:r>
          </w:p>
        </w:tc>
        <w:tc>
          <w:tcPr>
            <w:tcW w:type="dxa" w:w="295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State</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pre-election questionnaire</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8165798f...643a039</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post-election questionnaire</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84883e68...8581120</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2012 user guide and codebook</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f2011b4c...8d808d</w:t>
            </w:r>
          </w:p>
        </w:tc>
        <w:tc>
          <w:tcPr>
            <w:tcW w:type="dxa" w:w="295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Downloaded and checksum recorded</w:t>
            </w:r>
          </w:p>
        </w:tc>
      </w:tr>
      <w:tr>
        <w:trPr>
          <w:cantSplit/>
        </w:trPr>
        <w:tc>
          <w:tcPr>
            <w:tcW w:type="dxa" w:w="34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Public 2012 replication CSV</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b780bf06...b32360</w:t>
            </w:r>
          </w:p>
        </w:tc>
        <w:tc>
          <w:tcPr>
            <w:tcW w:type="dxa" w:w="295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Present; 5,914 rows; no official ANES weight field; validation use only</w:t>
            </w:r>
          </w:p>
        </w:tc>
      </w:tr>
      <w:tr>
        <w:trPr>
          <w:cantSplit/>
        </w:trPr>
        <w:tc>
          <w:tcPr>
            <w:tcW w:type="dxa" w:w="34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weighted ANES file</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available</w:t>
            </w:r>
          </w:p>
        </w:tc>
        <w:tc>
          <w:tcPr>
            <w:tcW w:type="dxa" w:w="295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route remains access-gated on this machine; raw file will remain local and outside Git</w:t>
            </w:r>
          </w:p>
        </w:tc>
      </w:tr>
    </w:tbl>
    <w:p>
      <w:pPr>
        <w:spacing w:after="0"/>
      </w:pPr>
    </w:p>
    <w:p>
      <w:pPr>
        <w:pStyle w:val="Heading2"/>
        <w:keepNext/>
      </w:pPr>
      <w:r>
        <w:t>Meaning of every question</w:t>
      </w:r>
    </w:p>
    <w:p>
      <w:pPr>
        <w:spacing w:after="140" w:line="276" w:lineRule="auto"/>
      </w:pPr>
      <w:r>
        <w:t>For this program, every question means that every named instrument specification is inventoried and given a machine-readable eligibility decision. It does not mean sending administrative checkpoints, restricted identifiers, display-only screens, open-ended text, or unbounded entries to a model. This definition protects participants, reduces meaningless model outputs, and makes exclusions auditable.</w:t>
      </w:r>
    </w:p>
    <w:p>
      <w:pPr>
        <w:pStyle w:val="Heading1"/>
        <w:keepNext/>
      </w:pPr>
      <w:r>
        <w:t>8 Verification and operational readiness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5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Check</w:t>
            </w:r>
          </w:p>
        </w:tc>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Latest result</w:t>
            </w:r>
          </w:p>
        </w:tc>
        <w:tc>
          <w:tcPr>
            <w:tcW w:type="dxa" w:w="4968"/>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Interpretation</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Automated tests</w:t>
            </w:r>
          </w:p>
        </w:tc>
        <w:tc>
          <w:tcPr>
            <w:tcW w:type="dxa" w:w="223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245 passed</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full local test suite passed after the final ANES/FEC and live-path audit; two dependency deprecation warnings remain.</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Static analysis</w:t>
            </w:r>
          </w:p>
        </w:tc>
        <w:tc>
          <w:tcPr>
            <w:tcW w:type="dxa" w:w="2232"/>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All checks passed</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Ruff reported no issues across the active worktree after the current implementation batch.</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executable</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Present</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commands can be constructed and audited.</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Docker daemon</w:t>
            </w:r>
          </w:p>
        </w:tc>
        <w:tc>
          <w:tcPr>
            <w:tcW w:type="dxa" w:w="2232"/>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Stopped</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 real containerized pilot can execute on this laptop until the daemon is started.</w:t>
            </w:r>
          </w:p>
        </w:tc>
      </w:tr>
      <w:tr>
        <w:trPr>
          <w:cantSplit/>
        </w:trPr>
        <w:tc>
          <w:tcPr>
            <w:tcW w:type="dxa" w:w="252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Existing container scope</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Retrieval sidecar only</w:t>
            </w:r>
          </w:p>
        </w:tc>
        <w:tc>
          <w:tcPr>
            <w:tcW w:type="dxa" w:w="4968"/>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current production path does not place the hosted model workers inside the sealed container.</w:t>
            </w:r>
          </w:p>
        </w:tc>
      </w:tr>
      <w:tr>
        <w:trPr>
          <w:cantSplit/>
        </w:trPr>
        <w:tc>
          <w:tcPr>
            <w:tcW w:type="dxa" w:w="252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Hosted model temporal isolation</w:t>
            </w:r>
          </w:p>
        </w:tc>
        <w:tc>
          <w:tcPr>
            <w:tcW w:type="dxa" w:w="2232"/>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possible</w:t>
            </w:r>
          </w:p>
        </w:tc>
        <w:tc>
          <w:tcPr>
            <w:tcW w:type="dxa" w:w="4968"/>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container cannot erase modern facts from model weights; controls must rely on supplied context, tools, matched controls, and honest claims.</w:t>
            </w:r>
          </w:p>
        </w:tc>
      </w:tr>
    </w:tbl>
    <w:p>
      <w:pPr>
        <w:spacing w:after="0"/>
      </w:pPr>
    </w:p>
    <w:p>
      <w:pPr>
        <w:pStyle w:val="Heading2"/>
        <w:keepNext/>
      </w:pPr>
      <w:r>
        <w:t>Warnings from verification</w:t>
      </w:r>
    </w:p>
    <w:p>
      <w:pPr>
        <w:pStyle w:val="ListBullet"/>
        <w:spacing w:after="80" w:line="269" w:lineRule="auto"/>
      </w:pPr>
      <w:r>
        <w:t>Starlette/httpx compatibility emits a deprecation warning from the installed dependency stack.</w:t>
      </w:r>
    </w:p>
    <w:p>
      <w:pPr>
        <w:pStyle w:val="ListBullet"/>
        <w:spacing w:after="80" w:line="269" w:lineRule="auto"/>
      </w:pPr>
      <w:r>
        <w:t>Any test that refreshes generated assets can change modification times even when hashes remain unchanged.</w:t>
      </w:r>
    </w:p>
    <w:p>
      <w:pPr>
        <w:pStyle w:val="ListBullet"/>
        <w:spacing w:after="80" w:line="269" w:lineRule="auto"/>
      </w:pPr>
      <w:r>
        <w:t>The outer workspace is an empty Git repository that sees the approximately 6 GB nested project and the 4.4 GB archive as untracked. Git operations should be run inside SandboxExperiment.</w:t>
      </w:r>
    </w:p>
    <w:p>
      <w:pPr>
        <w:pStyle w:val="Heading1"/>
        <w:keepNext/>
      </w:pPr>
      <w:r>
        <w:t>9 Risks limitations and interpretation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23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Risk</w:t>
            </w:r>
          </w:p>
        </w:tc>
        <w:tc>
          <w:tcPr>
            <w:tcW w:type="dxa" w:w="367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Why it matters</w:t>
            </w:r>
          </w:p>
        </w:tc>
        <w:tc>
          <w:tcPr>
            <w:tcW w:type="dxa" w:w="381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Required mitigation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Model knowledge contamination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Modern models may already know 2012 outcomes from training.</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no-evidence, matched-evidence, and shuffled-evidence controls; avoid claiming temporal ignorance.</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Information leakage</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held-out response or outcome in a profile, prompt, mount, or retrieval result invalidates the experiment.</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Schema-level forbidden-field audits, vault separation, mount inspection, and sealed artifacts before evaluation.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Mixed-model confounding</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swarm median cannot be attributed to GPT-4.1 mini when most voters are other model families.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a single-model replication cohort and analyze multi-model swarms as a separate treatment.</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Insufficient power</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One or three questions can produce extreme-looking scores by chance.</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Predefine sample size, questions, replications, uncertainty intervals, and stopping rules.</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Pseudo-replication</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Many agents calling the same model are not independent human respondents.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Cluster uncertainty at the question/profile/model level and report shared-model dependence.</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Question comparability</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original closed-question study was 2016 and selected twelve variables.</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Label the 2012 full-bank work as an extension and retain an exact baseline.</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Survey representativeness</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Unweighted or improperly filtered ANES data can distort population claims.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Use documented sample weights, universes, missing-code rules, and subgroup diagnostics.</w:t>
            </w:r>
          </w:p>
        </w:tc>
      </w:tr>
      <w:tr>
        <w:trPr>
          <w:cantSplit/>
        </w:trPr>
        <w:tc>
          <w:tcPr>
            <w:tcW w:type="dxa" w:w="223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Geographic completeness</w:t>
            </w:r>
          </w:p>
        </w:tc>
        <w:tc>
          <w:tcPr>
            <w:tcW w:type="dxa" w:w="367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There is no single authoritative national file for every state and local contest.</w:t>
            </w:r>
          </w:p>
        </w:tc>
        <w:tc>
          <w:tcPr>
            <w:tcW w:type="dxa" w:w="38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Publish coverage manifests by year, state, office, stage, and geography; never claim a false nationwide boolean.</w:t>
            </w:r>
          </w:p>
        </w:tc>
      </w:tr>
      <w:tr>
        <w:trPr>
          <w:cantSplit/>
        </w:trPr>
        <w:tc>
          <w:tcPr>
            <w:tcW w:type="dxa" w:w="223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Privacy and licensing</w:t>
            </w:r>
          </w:p>
        </w:tc>
        <w:tc>
          <w:tcPr>
            <w:tcW w:type="dxa" w:w="367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Microdata access may carry registration or redistribution restrictions.</w:t>
            </w:r>
          </w:p>
        </w:tc>
        <w:tc>
          <w:tcPr>
            <w:tcW w:type="dxa" w:w="38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Keep raw data local and ignored, minimize fields, use pseudonymous IDs, and publish only permitted aggregates.</w:t>
            </w:r>
          </w:p>
        </w:tc>
      </w:tr>
    </w:tbl>
    <w:p>
      <w:pPr>
        <w:spacing w:after="0"/>
      </w:pPr>
    </w:p>
    <w:p>
      <w:pPr>
        <w:pStyle w:val="Heading2"/>
        <w:keepNext/>
      </w:pPr>
      <w:r>
        <w:t>Interpretation ladder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201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Level</w:t>
            </w:r>
          </w:p>
        </w:tc>
        <w:tc>
          <w:tcPr>
            <w:tcW w:type="dxa" w:w="439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Allowed statement</w:t>
            </w:r>
          </w:p>
        </w:tc>
        <w:tc>
          <w:tcPr>
            <w:tcW w:type="dxa" w:w="3312"/>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examples</w:t>
            </w:r>
          </w:p>
        </w:tc>
      </w:tr>
      <w:tr>
        <w:trPr>
          <w:cantSplit/>
        </w:trPr>
        <w:tc>
          <w:tcPr>
            <w:tcW w:type="dxa" w:w="20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Infrastructure validated</w:t>
            </w:r>
          </w:p>
        </w:tc>
        <w:tc>
          <w:tcPr>
            <w:tcW w:type="dxa" w:w="43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The software path executes and records expected artifacts.</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Smoke run, ablation pipeline, provenance, scoring, export verification</w:t>
            </w:r>
          </w:p>
        </w:tc>
      </w:tr>
      <w:tr>
        <w:trPr>
          <w:cantSplit/>
        </w:trPr>
        <w:tc>
          <w:tcPr>
            <w:tcW w:type="dxa" w:w="20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Exploratory observation</w:t>
            </w:r>
          </w:p>
        </w:tc>
        <w:tc>
          <w:tcPr>
            <w:tcW w:type="dxa" w:w="43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result occurred in this bounded run and may motivate a hypothesis.</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Mixed swarm median and one-question Brier scores</w:t>
            </w:r>
          </w:p>
        </w:tc>
      </w:tr>
      <w:tr>
        <w:trPr>
          <w:cantSplit/>
        </w:trPr>
        <w:tc>
          <w:tcPr>
            <w:tcW w:type="dxa" w:w="201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Supported finding</w:t>
            </w:r>
          </w:p>
        </w:tc>
        <w:tc>
          <w:tcPr>
            <w:tcW w:type="dxa" w:w="439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preregistered, adequately powered comparison with uncertainty supports a bounded conclusion.</w:t>
            </w:r>
          </w:p>
        </w:tc>
        <w:tc>
          <w:tcPr>
            <w:tcW w:type="dxa" w:w="3312"/>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None yet for human-response fidelity</w:t>
            </w:r>
          </w:p>
        </w:tc>
      </w:tr>
      <w:tr>
        <w:trPr>
          <w:cantSplit/>
        </w:trPr>
        <w:tc>
          <w:tcPr>
            <w:tcW w:type="dxa" w:w="201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General claim</w:t>
            </w:r>
          </w:p>
        </w:tc>
        <w:tc>
          <w:tcPr>
            <w:tcW w:type="dxa" w:w="439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 result transfers across years, questions, groups, and models.</w:t>
            </w:r>
          </w:p>
        </w:tc>
        <w:tc>
          <w:tcPr>
            <w:tcW w:type="dxa" w:w="3312"/>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currently justified</w:t>
            </w:r>
          </w:p>
        </w:tc>
      </w:tr>
    </w:tbl>
    <w:p>
      <w:pPr>
        <w:spacing w:after="0"/>
      </w:pPr>
    </w:p>
    <w:p>
      <w:pPr>
        <w:pStyle w:val="Heading1"/>
        <w:keepNext/>
      </w:pPr>
      <w:r>
        <w:t>10 Next phase plan and decision gates</w:t>
      </w:r>
    </w:p>
    <w:p>
      <w:pPr>
        <w:pStyle w:val="ListNumber"/>
        <w:spacing w:after="100" w:line="269" w:lineRule="auto"/>
      </w:pPr>
      <w:r>
        <w:t>Freeze and review the completed 998-item catalog, including the 765 eligible and 233 excluded specifications and every exclusion reason.</w:t>
      </w:r>
    </w:p>
    <w:p>
      <w:pPr>
        <w:pStyle w:val="ListNumber"/>
        <w:spacing w:after="100" w:line="269" w:lineRule="auto"/>
      </w:pPr>
      <w:r>
        <w:t>Obtain the official weighted ANES 2012 respondent data through its permitted access process, record license terms and checksums, and keep the raw file outside Git.</w:t>
      </w:r>
    </w:p>
    <w:p>
      <w:pPr>
        <w:pStyle w:val="ListNumber"/>
        <w:spacing w:after="100" w:line="269" w:lineRule="auto"/>
      </w:pPr>
      <w:r>
        <w:t>Replace uniform validation weights with the documented ANES weight and verify sample universe, missing-code handling, and subgroup definitions.</w:t>
      </w:r>
    </w:p>
    <w:p>
      <w:pPr>
        <w:pStyle w:val="ListNumber"/>
        <w:spacing w:after="100" w:line="269" w:lineRule="auto"/>
      </w:pPr>
      <w:r>
        <w:t>Start Docker and rerun the provider-free pilot with no network and a read-only root. Record the image digest, mounted paths, command, resource limits, and proof that the evaluation vault was absent.</w:t>
      </w:r>
    </w:p>
    <w:p>
      <w:pPr>
        <w:pStyle w:val="ListNumber"/>
        <w:spacing w:after="100" w:line="269" w:lineRule="auto"/>
      </w:pPr>
      <w:r>
        <w:t>Preregister the exact paper baseline, model, sample size, metrics, uncertainty method, failure policy, and stopping rules.</w:t>
      </w:r>
    </w:p>
    <w:p>
      <w:pPr>
        <w:pStyle w:val="ListNumber"/>
        <w:spacing w:after="100" w:line="269" w:lineRule="auto"/>
      </w:pPr>
      <w:r>
        <w:t>Run a small paid baseline with one declared model, fixed temperature, bounded profiles, and a reviewed cost ceiling. Inspect failures before scaling.</w:t>
      </w:r>
    </w:p>
    <w:p>
      <w:pPr>
        <w:pStyle w:val="ListNumber"/>
        <w:spacing w:after="100" w:line="269" w:lineRule="auto"/>
      </w:pPr>
      <w:r>
        <w:t>Run the matched society treatment using the same profiles, questions, evidence, model, and budget as the independent baseline.</w:t>
      </w:r>
    </w:p>
    <w:p>
      <w:pPr>
        <w:pStyle w:val="ListNumber"/>
        <w:spacing w:after="100" w:line="269" w:lineRule="auto"/>
      </w:pPr>
      <w:r>
        <w:t>Estimate uncertainty across questions, profiles, model calls, and replications; report subgroup performance and failures, not only aggregate scores.</w:t>
      </w:r>
    </w:p>
    <w:p>
      <w:pPr>
        <w:pStyle w:val="ListNumber"/>
        <w:spacing w:after="100" w:line="269" w:lineRule="auto"/>
      </w:pPr>
      <w:r>
        <w:t>Scale only if the pilot passes leakage, reproducibility, reliability, and cost gates. Preserve every pilot even when results are negative.</w:t>
      </w:r>
    </w:p>
    <w:p>
      <w:pPr>
        <w:pStyle w:val="Heading2"/>
        <w:keepNext/>
      </w:pPr>
      <w:r>
        <w:t>Go or no-go criteria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80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Gate</w:t>
            </w:r>
          </w:p>
        </w:tc>
        <w:tc>
          <w:tcPr>
            <w:tcW w:type="dxa" w:w="540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Go condition</w:t>
            </w:r>
          </w:p>
        </w:tc>
        <w:tc>
          <w:tcPr>
            <w:tcW w:type="dxa" w:w="252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Current state</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microdata obtained lawfully; mappings and weights documented; source hashes recorded</w:t>
            </w:r>
          </w:p>
        </w:tc>
        <w:tc>
          <w:tcPr>
            <w:tcW w:type="dxa" w:w="2520"/>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No-go; unweighted replication CSV only</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Leakage</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Forbidden-field audit passes; vault excluded from runtime mounts and payloads</w:t>
            </w:r>
          </w:p>
        </w:tc>
        <w:tc>
          <w:tcPr>
            <w:tcW w:type="dxa" w:w="2520"/>
            <w:shd w:fill="EAF4ED"/>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Passed in the structural pilot</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Execution</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Container pilot runs with no network and read-only root; artifacts seal correctly</w:t>
            </w:r>
          </w:p>
        </w:tc>
        <w:tc>
          <w:tcPr>
            <w:tcW w:type="dxa" w:w="2520"/>
            <w:shd w:fill="FDEBEC"/>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 by stopped Docker daemon</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Reliability</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Provider parsing and retries meet a predefined success threshold</w:t>
            </w:r>
          </w:p>
        </w:tc>
        <w:tc>
          <w:tcPr>
            <w:tcW w:type="dxa" w:w="252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measured for the new protocol</w:t>
            </w:r>
          </w:p>
        </w:tc>
      </w:tr>
      <w:tr>
        <w:trPr>
          <w:cantSplit/>
        </w:trPr>
        <w:tc>
          <w:tcPr>
            <w:tcW w:type="dxa" w:w="18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Scientific design</w:t>
            </w:r>
          </w:p>
        </w:tc>
        <w:tc>
          <w:tcPr>
            <w:tcW w:type="dxa" w:w="540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Baseline, treatment, sample size, metrics, and stopping rules frozen before scale-up</w:t>
            </w:r>
          </w:p>
        </w:tc>
        <w:tc>
          <w:tcPr>
            <w:tcW w:type="dxa" w:w="252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Protocol in progress</w:t>
            </w:r>
          </w:p>
        </w:tc>
      </w:tr>
      <w:tr>
        <w:trPr>
          <w:cantSplit/>
        </w:trPr>
        <w:tc>
          <w:tcPr>
            <w:tcW w:type="dxa" w:w="18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Cost</w:t>
            </w:r>
          </w:p>
        </w:tc>
        <w:tc>
          <w:tcPr>
            <w:tcW w:type="dxa" w:w="540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Worst-case calls, tokens, and dollars reviewed and explicitly authorized</w:t>
            </w:r>
          </w:p>
        </w:tc>
        <w:tc>
          <w:tcPr>
            <w:tcW w:type="dxa" w:w="2520"/>
            <w:shd w:fill="FFF4D6"/>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yet authorized</w:t>
            </w:r>
          </w:p>
        </w:tc>
      </w:tr>
    </w:tbl>
    <w:p>
      <w:pPr>
        <w:spacing w:after="0"/>
      </w:pPr>
    </w:p>
    <w:p>
      <w:pPr>
        <w:pStyle w:val="Heading1"/>
        <w:keepNext/>
      </w:pPr>
      <w:r>
        <w:t>11 Development timeline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65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Date</w:t>
            </w:r>
          </w:p>
        </w:tc>
        <w:tc>
          <w:tcPr>
            <w:tcW w:type="dxa" w:w="338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Milestone</w:t>
            </w:r>
          </w:p>
        </w:tc>
        <w:tc>
          <w:tcPr>
            <w:tcW w:type="dxa" w:w="468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Program impact</w:t>
            </w:r>
          </w:p>
        </w:tc>
      </w:tr>
      <w:tr>
        <w:trPr>
          <w:cantSplit/>
        </w:trPr>
        <w:tc>
          <w:tcPr>
            <w:tcW w:type="dxa" w:w="16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31 Aug 2026</w:t>
            </w:r>
          </w:p>
        </w:tc>
        <w:tc>
          <w:tcPr>
            <w:tcW w:type="dxa" w:w="338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Initial sealed e2012 forecasting benchmark</w:t>
            </w:r>
          </w:p>
        </w:tc>
        <w:tc>
          <w:tcPr>
            <w:tcW w:type="dxa" w:w="46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Established the frozen-world concept, scoring, and local-first structure.</w:t>
            </w:r>
          </w:p>
        </w:tc>
      </w:tr>
      <w:tr>
        <w:trPr>
          <w:cantSplit/>
        </w:trPr>
        <w:tc>
          <w:tcPr>
            <w:tcW w:type="dxa" w:w="16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31 Aug 2026</w:t>
            </w:r>
          </w:p>
        </w:tc>
        <w:tc>
          <w:tcPr>
            <w:tcW w:type="dxa" w:w="338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Sequential OpenRouter swarm implemented</w:t>
            </w:r>
          </w:p>
        </w:tc>
        <w:tc>
          <w:tcPr>
            <w:tcW w:type="dxa" w:w="46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Replaced the placeholder swarm with recorded individual votes and a median aggregate.</w:t>
            </w:r>
          </w:p>
        </w:tc>
      </w:tr>
      <w:tr>
        <w:trPr>
          <w:cantSplit/>
        </w:trPr>
        <w:tc>
          <w:tcPr>
            <w:tcW w:type="dxa" w:w="16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 Sep 2026</w:t>
            </w:r>
          </w:p>
        </w:tc>
        <w:tc>
          <w:tcPr>
            <w:tcW w:type="dxa" w:w="338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Dashboard, charts, and provider-status refinement</w:t>
            </w:r>
          </w:p>
        </w:tc>
        <w:tc>
          <w:tcPr>
            <w:tcW w:type="dxa" w:w="46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Improved monitoring, results inspection, and configuration clarity.</w:t>
            </w:r>
          </w:p>
        </w:tc>
      </w:tr>
      <w:tr>
        <w:trPr>
          <w:cantSplit/>
        </w:trPr>
        <w:tc>
          <w:tcPr>
            <w:tcW w:type="dxa" w:w="16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14 Sep 2026</w:t>
            </w:r>
          </w:p>
        </w:tc>
        <w:tc>
          <w:tcPr>
            <w:tcW w:type="dxa" w:w="338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Era-isolated experiments and monitoring</w:t>
            </w:r>
          </w:p>
        </w:tc>
        <w:tc>
          <w:tcPr>
            <w:tcW w:type="dxa" w:w="46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Expanded the research console and containerized frozen retrieval.</w:t>
            </w:r>
          </w:p>
        </w:tc>
      </w:tr>
      <w:tr>
        <w:trPr>
          <w:cantSplit/>
        </w:trPr>
        <w:tc>
          <w:tcPr>
            <w:tcW w:type="dxa" w:w="16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15 Sep 2026</w:t>
            </w:r>
          </w:p>
        </w:tc>
        <w:tc>
          <w:tcPr>
            <w:tcW w:type="dxa" w:w="338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Platform expansion</w:t>
            </w:r>
          </w:p>
        </w:tc>
        <w:tc>
          <w:tcPr>
            <w:tcW w:type="dxa" w:w="46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Added population, election, geography, and broader research-workbench capabilities.</w:t>
            </w:r>
          </w:p>
        </w:tc>
      </w:tr>
      <w:tr>
        <w:trPr>
          <w:cantSplit/>
        </w:trPr>
        <w:tc>
          <w:tcPr>
            <w:tcW w:type="dxa" w:w="16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15 Sep 2026</w:t>
            </w:r>
          </w:p>
        </w:tc>
        <w:tc>
          <w:tcPr>
            <w:tcW w:type="dxa" w:w="338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Reproducibility and correctness sequence</w:t>
            </w:r>
          </w:p>
        </w:tc>
        <w:tc>
          <w:tcPr>
            <w:tcW w:type="dxa" w:w="46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Added authoritative digests, isolated retrieval budgets, comparable partial scoring, authenticated evidence, ablation, and readiness checks.</w:t>
            </w:r>
          </w:p>
        </w:tc>
      </w:tr>
      <w:tr>
        <w:trPr>
          <w:cantSplit/>
        </w:trPr>
        <w:tc>
          <w:tcPr>
            <w:tcW w:type="dxa" w:w="165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20 Sep 2026</w:t>
            </w:r>
          </w:p>
        </w:tc>
        <w:tc>
          <w:tcPr>
            <w:tcW w:type="dxa" w:w="338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Workspace portability</w:t>
            </w:r>
          </w:p>
        </w:tc>
        <w:tc>
          <w:tcPr>
            <w:tcW w:type="dxa" w:w="46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Added checksum-verified transfer tooling and clean-checkout independence.</w:t>
            </w:r>
          </w:p>
        </w:tc>
      </w:tr>
      <w:tr>
        <w:trPr>
          <w:cantSplit/>
        </w:trPr>
        <w:tc>
          <w:tcPr>
            <w:tcW w:type="dxa" w:w="165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23 Sep 2026</w:t>
            </w:r>
          </w:p>
        </w:tc>
        <w:tc>
          <w:tcPr>
            <w:tcW w:type="dxa" w:w="338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ANES replication and society protocol</w:t>
            </w:r>
          </w:p>
        </w:tc>
        <w:tc>
          <w:tcPr>
            <w:tcW w:type="dxa" w:w="46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Separated baseline from extension, catalogued 998 items, completed a sealed 1,200-prediction structural pilot, and normalized 524 official federal contests.</w:t>
            </w:r>
          </w:p>
        </w:tc>
      </w:tr>
    </w:tbl>
    <w:p>
      <w:pPr>
        <w:spacing w:after="0"/>
      </w:pPr>
    </w:p>
    <w:p>
      <w:r>
        <w:br w:type="page"/>
      </w:r>
    </w:p>
    <w:p>
      <w:pPr>
        <w:pStyle w:val="Heading1"/>
        <w:keepNext/>
      </w:pPr>
      <w:r>
        <w:t>12 Evidence base and references</w:t>
      </w:r>
    </w:p>
    <w:p>
      <w:pPr>
        <w:spacing w:after="140"/>
        <w:ind w:left="216" w:hanging="216"/>
      </w:pPr>
      <w:r>
        <w:rPr>
          <w:b/>
        </w:rPr>
        <w:t xml:space="preserve">[1] </w:t>
      </w:r>
      <w:hyperlink r:id="rId12">
        <w:r>
          <w:rPr>
            <w:color w:val="2F5597"/>
            <w:u w:val="single"/>
          </w:rPr>
          <w:t>Argyle et al. Out of One Many Using Language Models to Simulate Human Samples. arXiv 2209.06899.</w:t>
        </w:r>
      </w:hyperlink>
    </w:p>
    <w:p>
      <w:pPr>
        <w:spacing w:after="140"/>
        <w:ind w:left="216" w:hanging="216"/>
      </w:pPr>
      <w:r>
        <w:rPr>
          <w:b/>
        </w:rPr>
        <w:t xml:space="preserve">[2] </w:t>
      </w:r>
      <w:hyperlink r:id="rId13">
        <w:r>
          <w:rPr>
            <w:color w:val="2F5597"/>
            <w:u w:val="single"/>
          </w:rPr>
          <w:t>American National Election Studies 2012 Time Series Study official page.</w:t>
        </w:r>
      </w:hyperlink>
    </w:p>
    <w:p>
      <w:pPr>
        <w:spacing w:after="140"/>
        <w:ind w:left="216" w:hanging="216"/>
      </w:pPr>
      <w:r>
        <w:rPr>
          <w:b/>
        </w:rPr>
        <w:t xml:space="preserve">[3] </w:t>
      </w:r>
      <w:hyperlink r:id="rId14">
        <w:r>
          <w:rPr>
            <w:color w:val="2F5597"/>
            <w:u w:val="single"/>
          </w:rPr>
          <w:t>PoliSim SandboxExperiment source repository.</w:t>
        </w:r>
      </w:hyperlink>
    </w:p>
    <w:p>
      <w:pPr>
        <w:pStyle w:val="Heading2"/>
        <w:keepNext/>
      </w:pPr>
      <w:r>
        <w:t>Repository evidence used</w:t>
      </w:r>
    </w:p>
    <w:p>
      <w:pPr>
        <w:spacing w:after="140" w:line="276" w:lineRule="auto"/>
      </w:pPr>
      <w:r>
        <w:t>The report also uses the repository README, product boundaries, design system, Track B architecture, data governance rules, election data pipeline, Git history, run manifests, provenance files, prediction logs, aggregate result files, and the active ANES society module. Paths are repository-relative so the report remains portable.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88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Evidence class</w:t>
            </w:r>
          </w:p>
        </w:tc>
        <w:tc>
          <w:tcPr>
            <w:tcW w:type="dxa" w:w="6840"/>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Representative paths</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Program definition</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README.md; PRODUCT.md; docs/USE_CASES_AND_BOUNDARIES.md</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Experimental architecture</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docs/TRACK_B_ARCHITECTURE.md; docs/DATA_GOVERNANCE.md</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Election coverage</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docs/ELECTION_DATA_PIPELINE.md; config/election_sources.yaml</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Run records</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data/runs/*/manifest.json; provenance.json; results.json; predictions.jsonl; swarm_votes.jsonl</w:t>
            </w:r>
          </w:p>
        </w:tc>
      </w:tr>
      <w:tr>
        <w:trPr>
          <w:cantSplit/>
        </w:trPr>
        <w:tc>
          <w:tcPr>
            <w:tcW w:type="dxa" w:w="288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Active replication code</w:t>
            </w:r>
          </w:p>
        </w:tc>
        <w:tc>
          <w:tcPr>
            <w:tcW w:type="dxa" w:w="6840"/>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src/psbx/experiments/anes_society.py</w:t>
            </w:r>
          </w:p>
        </w:tc>
      </w:tr>
      <w:tr>
        <w:trPr>
          <w:cantSplit/>
        </w:trPr>
        <w:tc>
          <w:tcPr>
            <w:tcW w:type="dxa" w:w="288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Official local documents</w:t>
            </w:r>
          </w:p>
        </w:tc>
        <w:tc>
          <w:tcPr>
            <w:tcW w:type="dxa" w:w="6840"/>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data/survey-microdata/anes/2012/source/</w:t>
            </w:r>
          </w:p>
        </w:tc>
      </w:tr>
    </w:tbl>
    <w:p>
      <w:pPr>
        <w:spacing w:after="0"/>
      </w:pPr>
    </w:p>
    <w:p>
      <w:pPr>
        <w:pStyle w:val="Heading1"/>
        <w:keepNext/>
      </w:pPr>
      <w:r>
        <w:t>Appendix Status vocabulary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944"/>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Term</w:t>
            </w:r>
          </w:p>
        </w:tc>
        <w:tc>
          <w:tcPr>
            <w:tcW w:type="dxa" w:w="7776"/>
            <w:shd w:fill="17365D"/>
            <w:vAlign w:val="center"/>
            <w:tcMar>
              <w:top w:w="100" w:type="dxa"/>
              <w:start w:w="120" w:type="dxa"/>
              <w:bottom w:w="100" w:type="dxa"/>
              <w:end w:w="120" w:type="dxa"/>
            </w:tcMar>
          </w:tcPr>
          <w:p>
            <w:pPr>
              <w:spacing w:after="0" w:line="259" w:lineRule="auto"/>
              <w:jc w:val="left"/>
            </w:pPr>
            <w:r/>
            <w:r>
              <w:rPr>
                <w:rFonts w:ascii="Aptos" w:hAnsi="Aptos"/>
                <w:b/>
                <w:color w:val="FFFFFF"/>
                <w:sz w:val="18"/>
              </w:rPr>
              <w:t>Meaning in this report</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Working</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Implemented and exercised in the current repository.</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Partial</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Implemented in part or missing required data/coverage.</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Preliminary</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Observed in a small or non-final experiment and unsuitable for a general claim.</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Blocked</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Cannot proceed on this machine until a named external condition changes.</w:t>
            </w:r>
          </w:p>
        </w:tc>
      </w:tr>
      <w:tr>
        <w:trPr>
          <w:cantSplit/>
        </w:trPr>
        <w:tc>
          <w:tcPr>
            <w:tcW w:type="dxa" w:w="1944"/>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Not ready</w:t>
            </w:r>
          </w:p>
        </w:tc>
        <w:tc>
          <w:tcPr>
            <w:tcW w:type="dxa" w:w="7776"/>
            <w:shd w:fill="FFFFFF"/>
            <w:vAlign w:val="center"/>
            <w:tcMar>
              <w:top w:w="100" w:type="dxa"/>
              <w:start w:w="120" w:type="dxa"/>
              <w:bottom w:w="100" w:type="dxa"/>
              <w:end w:w="120" w:type="dxa"/>
            </w:tcMar>
          </w:tcPr>
          <w:p>
            <w:pPr>
              <w:spacing w:after="0" w:line="259" w:lineRule="auto"/>
              <w:jc w:val="left"/>
            </w:pPr>
            <w:r/>
            <w:r>
              <w:rPr>
                <w:rFonts w:ascii="Aptos" w:hAnsi="Aptos"/>
                <w:b w:val="0"/>
                <w:color w:val="000000"/>
                <w:sz w:val="17"/>
              </w:rPr>
              <w:t>Required scientific or operational gates have not been met.</w:t>
            </w:r>
          </w:p>
        </w:tc>
      </w:tr>
      <w:tr>
        <w:trPr>
          <w:cantSplit/>
        </w:trPr>
        <w:tc>
          <w:tcPr>
            <w:tcW w:type="dxa" w:w="1944"/>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Planned</w:t>
            </w:r>
          </w:p>
        </w:tc>
        <w:tc>
          <w:tcPr>
            <w:tcW w:type="dxa" w:w="7776"/>
            <w:shd w:fill="F5F6F7"/>
            <w:vAlign w:val="center"/>
            <w:tcMar>
              <w:top w:w="100" w:type="dxa"/>
              <w:start w:w="120" w:type="dxa"/>
              <w:bottom w:w="100" w:type="dxa"/>
              <w:end w:w="120" w:type="dxa"/>
            </w:tcMar>
          </w:tcPr>
          <w:p>
            <w:pPr>
              <w:spacing w:after="0" w:line="259" w:lineRule="auto"/>
              <w:jc w:val="left"/>
            </w:pPr>
            <w:r/>
            <w:r>
              <w:rPr>
                <w:rFonts w:ascii="Aptos" w:hAnsi="Aptos"/>
                <w:b w:val="0"/>
                <w:color w:val="000000"/>
                <w:sz w:val="17"/>
              </w:rPr>
              <w:t>Protocol or implementation intent without a completed result.</w:t>
            </w:r>
          </w:p>
        </w:tc>
      </w:tr>
    </w:tbl>
    <w:p>
      <w:pPr>
        <w:spacing w:after="0"/>
      </w:pPr>
    </w:p>
    <w:sectPr w:rsidR="00FC693F" w:rsidRPr="0006063C" w:rsidSect="00034616">
      <w:headerReference w:type="default" r:id="rId9"/>
      <w:footerReference w:type="default" r:id="rId10"/>
      <w:pgSz w:w="12240" w:h="15840"/>
      <w:pgMar w:top="1037" w:right="1037" w:bottom="979" w:left="1037"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6B7280"/>
        <w:sz w:val="16"/>
      </w:rPr>
      <w:t>Working status report | 23 September 2026</w:t>
    </w:r>
    <w:r>
      <w:rPr>
        <w:rFonts w:ascii="Aptos" w:hAnsi="Aptos"/>
        <w:color w:val="6B7280"/>
        <w:sz w:val="16"/>
      </w:rPr>
      <w:tab/>
      <w:tab/>
    </w:r>
    <w:r>
      <w:rPr>
        <w:rFonts w:ascii="Aptos" w:hAnsi="Aptos"/>
        <w:color w:val="6B7280"/>
        <w:sz w:val="16"/>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B7280"/>
        <w:sz w:val="16"/>
      </w:rPr>
      <w:t>POLISIM EXPERIMENTAL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rxiv.org/abs/2209.06899" TargetMode="External"/><Relationship Id="rId13" Type="http://schemas.openxmlformats.org/officeDocument/2006/relationships/hyperlink" Target="https://electionstudies.org/data-center/2012-time-series-study/" TargetMode="External"/><Relationship Id="rId14" Type="http://schemas.openxmlformats.org/officeDocument/2006/relationships/hyperlink" Target="https://github.com/Jhsiehm/SandboxExperi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PoliSim Experimental Program Status Report</dc:title>
  <dc:subject>Replication, time-locked society experiments, and current research readiness</dc:subject>
  <dc:creator>PoliSim research and engineering workstream</dc:creator>
  <cp:keywords>PoliSim, ANES, silicon sampling, multi-agent systems, experiment status</cp:keywords>
  <dc:description>generated by python-docx</dc:description>
  <cp:lastModifiedBy/>
  <cp:revision>1</cp:revision>
  <dcterms:created xsi:type="dcterms:W3CDTF">2013-12-23T23:15:00Z</dcterms:created>
  <dcterms:modified xsi:type="dcterms:W3CDTF">2013-12-23T23:15:00Z</dcterms:modified>
  <cp:category/>
</cp:coreProperties>
</file>