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408D7345"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r w:rsidR="00741BCA">
        <w:rPr>
          <w:rFonts w:ascii="Arial" w:hAnsi="Arial" w:cs="Arial"/>
          <w:color w:val="000000"/>
          <w:sz w:val="22"/>
          <w:szCs w:val="22"/>
        </w:rPr>
        <w:t>SCRS for gene expression.</w:t>
      </w:r>
    </w:p>
    <w:p w14:paraId="4E9E0659" w14:textId="77777777" w:rsidR="00741BCA" w:rsidRDefault="00741BCA" w:rsidP="00F72CA7">
      <w:pPr>
        <w:pStyle w:val="Paragraph"/>
        <w:snapToGrid w:val="0"/>
        <w:ind w:firstLine="0"/>
        <w:rPr>
          <w:rFonts w:ascii="Arial" w:hAnsi="Arial" w:cs="Arial"/>
          <w:b/>
          <w:bCs/>
          <w:color w:val="000000"/>
          <w:sz w:val="22"/>
          <w:szCs w:val="22"/>
        </w:rPr>
      </w:pPr>
    </w:p>
    <w:p w14:paraId="326811EC" w14:textId="20000B51" w:rsidR="00F72CA7" w:rsidRDefault="00F72CA7" w:rsidP="00F72CA7">
      <w:pPr>
        <w:pStyle w:val="Paragraph"/>
        <w:snapToGrid w:val="0"/>
        <w:ind w:firstLine="0"/>
        <w:rPr>
          <w:rFonts w:ascii="Arial" w:hAnsi="Arial" w:cs="Arial"/>
          <w:b/>
          <w:bCs/>
          <w:color w:val="000000"/>
          <w:sz w:val="22"/>
          <w:szCs w:val="22"/>
        </w:rPr>
      </w:pPr>
      <w:r>
        <w:rPr>
          <w:rFonts w:ascii="Arial" w:hAnsi="Arial" w:cs="Arial"/>
          <w:b/>
          <w:bCs/>
          <w:color w:val="000000"/>
          <w:sz w:val="22"/>
          <w:szCs w:val="22"/>
        </w:rPr>
        <w:t>Results</w:t>
      </w:r>
    </w:p>
    <w:p w14:paraId="3CBEEF61" w14:textId="130B2F5B" w:rsidR="000C0095" w:rsidRPr="000C0095" w:rsidRDefault="000C0095" w:rsidP="000C0095">
      <w:pPr>
        <w:pStyle w:val="Paragraph"/>
        <w:snapToGrid w:val="0"/>
        <w:spacing w:line="480" w:lineRule="auto"/>
        <w:ind w:firstLine="0"/>
        <w:rPr>
          <w:rFonts w:ascii="Arial" w:hAnsi="Arial" w:cs="Arial"/>
          <w:i/>
          <w:iCs/>
          <w:color w:val="000000"/>
          <w:sz w:val="22"/>
          <w:szCs w:val="22"/>
        </w:rPr>
      </w:pPr>
      <w:r w:rsidRPr="000C0095">
        <w:rPr>
          <w:rFonts w:ascii="Arial" w:hAnsi="Arial" w:cs="Arial"/>
          <w:i/>
          <w:iCs/>
          <w:color w:val="000000"/>
          <w:sz w:val="22"/>
          <w:szCs w:val="22"/>
        </w:rPr>
        <w:t>Single-cell expression profiling of immune cells in ccRCC.</w:t>
      </w:r>
    </w:p>
    <w:p w14:paraId="7376CAA5" w14:textId="41305574" w:rsidR="000C0095" w:rsidRPr="00452042" w:rsidRDefault="00F72CA7" w:rsidP="00452042">
      <w:pPr>
        <w:spacing w:line="480" w:lineRule="auto"/>
        <w:rPr>
          <w:rFonts w:ascii="Arial" w:hAnsi="Arial" w:cs="Arial"/>
          <w:sz w:val="22"/>
          <w:szCs w:val="22"/>
        </w:rPr>
      </w:pPr>
      <w:r w:rsidRPr="00452042">
        <w:rPr>
          <w:rFonts w:ascii="Arial" w:hAnsi="Arial" w:cs="Arial"/>
          <w:color w:val="000000"/>
          <w:sz w:val="22"/>
          <w:szCs w:val="22"/>
        </w:rPr>
        <w:t>In order to define the immune microenvironment of human ccRCC, we obtained tumor and peripheral blood specimen of three treatment-naïve ccRCC patients and subject flow-sorted lymphoid and myeloid cells to SCRS.</w:t>
      </w:r>
      <w:r w:rsidR="00741BCA" w:rsidRPr="00452042">
        <w:rPr>
          <w:rFonts w:ascii="Arial" w:hAnsi="Arial" w:cs="Arial"/>
          <w:color w:val="000000"/>
          <w:sz w:val="22"/>
          <w:szCs w:val="22"/>
        </w:rPr>
        <w:t xml:space="preserve"> The general workflow for isolation and sequencing is available in Supplemental Figure 1.</w:t>
      </w:r>
      <w:r w:rsidRPr="00452042">
        <w:rPr>
          <w:rFonts w:ascii="Arial" w:hAnsi="Arial" w:cs="Arial"/>
          <w:color w:val="000000"/>
          <w:sz w:val="22"/>
          <w:szCs w:val="22"/>
        </w:rPr>
        <w:t xml:space="preserve"> To these samples, we added immune cells from peripheral blood and normal renal parenchyma </w:t>
      </w:r>
      <w:r w:rsidRPr="00452042">
        <w:rPr>
          <w:rFonts w:ascii="Arial" w:hAnsi="Arial" w:cs="Arial"/>
          <w:color w:val="000000"/>
          <w:sz w:val="22"/>
          <w:szCs w:val="22"/>
        </w:rPr>
        <w:fldChar w:fldCharType="begin" w:fldLock="1"/>
      </w:r>
      <w:r w:rsidR="00CF5BEC" w:rsidRPr="00452042">
        <w:rPr>
          <w:rFonts w:ascii="Arial" w:hAnsi="Arial" w:cs="Arial"/>
          <w:color w:val="000000"/>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Pr="00452042">
        <w:rPr>
          <w:rFonts w:ascii="Arial" w:hAnsi="Arial" w:cs="Arial"/>
          <w:color w:val="000000"/>
          <w:sz w:val="22"/>
          <w:szCs w:val="22"/>
        </w:rPr>
        <w:fldChar w:fldCharType="separate"/>
      </w:r>
      <w:r w:rsidRPr="00452042">
        <w:rPr>
          <w:rFonts w:ascii="Arial" w:hAnsi="Arial" w:cs="Arial"/>
          <w:noProof/>
          <w:color w:val="000000"/>
          <w:sz w:val="22"/>
          <w:szCs w:val="22"/>
        </w:rPr>
        <w:t>(20)</w:t>
      </w:r>
      <w:r w:rsidRPr="00452042">
        <w:rPr>
          <w:rFonts w:ascii="Arial" w:hAnsi="Arial" w:cs="Arial"/>
          <w:color w:val="000000"/>
          <w:sz w:val="22"/>
          <w:szCs w:val="22"/>
        </w:rPr>
        <w:fldChar w:fldCharType="end"/>
      </w:r>
      <w:r w:rsidRPr="00452042">
        <w:rPr>
          <w:rFonts w:ascii="Arial" w:hAnsi="Arial" w:cs="Arial"/>
          <w:color w:val="000000"/>
          <w:sz w:val="22"/>
          <w:szCs w:val="22"/>
        </w:rPr>
        <w:t xml:space="preserve"> to obtain an integrated UMAP projection</w:t>
      </w:r>
      <w:r w:rsidR="00741BCA" w:rsidRPr="00452042">
        <w:rPr>
          <w:rFonts w:ascii="Arial" w:hAnsi="Arial" w:cs="Arial"/>
          <w:color w:val="000000"/>
          <w:sz w:val="22"/>
          <w:szCs w:val="22"/>
        </w:rPr>
        <w:t xml:space="preserve"> of 22 clusters across 37,055 primary immune cells (Figure 1A). Across the three tissues, peripheral blood (n=21,160), tumor (n=12,239) and normal kidney (n=3,556), we a number of clusters with similar gene expression notably in Clusters 0, 1, 3 and 7 (Figure 1B). </w:t>
      </w:r>
      <w:r w:rsidR="00E677C1" w:rsidRPr="00452042">
        <w:rPr>
          <w:rFonts w:ascii="Arial" w:hAnsi="Arial" w:cs="Arial"/>
          <w:color w:val="000000"/>
          <w:sz w:val="22"/>
          <w:szCs w:val="22"/>
        </w:rPr>
        <w:t xml:space="preserve">Despite the integration of </w:t>
      </w:r>
      <w:r w:rsidR="00E677C1" w:rsidRPr="00452042">
        <w:rPr>
          <w:rFonts w:ascii="Arial" w:hAnsi="Arial" w:cs="Arial"/>
          <w:color w:val="000000"/>
          <w:sz w:val="22"/>
          <w:szCs w:val="22"/>
        </w:rPr>
        <w:lastRenderedPageBreak/>
        <w:t>sequencing runs to reduce tissue-type divergence</w:t>
      </w:r>
      <w:r w:rsidR="00741BCA" w:rsidRPr="00452042">
        <w:rPr>
          <w:rFonts w:ascii="Arial" w:hAnsi="Arial" w:cs="Arial"/>
          <w:color w:val="000000"/>
          <w:sz w:val="22"/>
          <w:szCs w:val="22"/>
        </w:rPr>
        <w:t>, each tissue type had</w:t>
      </w:r>
      <w:r w:rsidR="00CF5BEC" w:rsidRPr="00452042">
        <w:rPr>
          <w:rFonts w:ascii="Arial" w:hAnsi="Arial" w:cs="Arial"/>
          <w:color w:val="000000"/>
          <w:sz w:val="22"/>
          <w:szCs w:val="22"/>
        </w:rPr>
        <w:t xml:space="preserve"> enrichment for clusters: peripheral blood formed the majority of Cluster 2, tumor tissues were enriched for Clusters 14, 17, 18, and 19, and normal kidney was enriched for Cluster 11. Using gene expression, we assigned cell lineages to each cluster using a three method approach: 1) examining expressions of canonical markers for T cells (</w:t>
      </w:r>
      <w:r w:rsidR="00CF5BEC" w:rsidRPr="00452042">
        <w:rPr>
          <w:rFonts w:ascii="Arial" w:hAnsi="Arial" w:cs="Arial"/>
          <w:i/>
          <w:iCs/>
          <w:color w:val="000000"/>
          <w:sz w:val="22"/>
          <w:szCs w:val="22"/>
        </w:rPr>
        <w:t>CD3E</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CD8A</w:t>
      </w:r>
      <w:r w:rsidR="00CF5BEC" w:rsidRPr="00452042">
        <w:rPr>
          <w:rFonts w:ascii="Arial" w:hAnsi="Arial" w:cs="Arial"/>
          <w:color w:val="000000"/>
          <w:sz w:val="22"/>
          <w:szCs w:val="22"/>
        </w:rPr>
        <w:t xml:space="preserve">, </w:t>
      </w:r>
      <w:r w:rsidR="00CF5BEC" w:rsidRPr="00452042">
        <w:rPr>
          <w:rFonts w:ascii="Arial" w:hAnsi="Arial" w:cs="Arial"/>
          <w:i/>
          <w:iCs/>
          <w:color w:val="000000"/>
          <w:sz w:val="22"/>
          <w:szCs w:val="22"/>
        </w:rPr>
        <w:t>CD4</w:t>
      </w:r>
      <w:r w:rsidR="00CF5BEC" w:rsidRPr="00452042">
        <w:rPr>
          <w:rFonts w:ascii="Arial" w:hAnsi="Arial" w:cs="Arial"/>
          <w:color w:val="000000"/>
          <w:sz w:val="22"/>
          <w:szCs w:val="22"/>
        </w:rPr>
        <w:t>, and</w:t>
      </w:r>
      <w:r w:rsidR="00E677C1" w:rsidRPr="00452042">
        <w:rPr>
          <w:rFonts w:ascii="Arial" w:hAnsi="Arial" w:cs="Arial"/>
          <w:color w:val="000000"/>
          <w:sz w:val="22"/>
          <w:szCs w:val="22"/>
        </w:rPr>
        <w:t xml:space="preserve"> </w:t>
      </w:r>
      <w:r w:rsidR="00E677C1" w:rsidRPr="00452042">
        <w:rPr>
          <w:rFonts w:ascii="Arial" w:hAnsi="Arial" w:cs="Arial"/>
          <w:i/>
          <w:iCs/>
          <w:color w:val="000000"/>
          <w:sz w:val="22"/>
          <w:szCs w:val="22"/>
        </w:rPr>
        <w:t>IL7R</w:t>
      </w:r>
      <w:r w:rsidR="00E677C1" w:rsidRPr="00452042">
        <w:rPr>
          <w:rFonts w:ascii="Arial" w:hAnsi="Arial" w:cs="Arial"/>
          <w:color w:val="000000"/>
          <w:sz w:val="22"/>
          <w:szCs w:val="22"/>
        </w:rPr>
        <w:t xml:space="preserve"> or CD127</w:t>
      </w:r>
      <w:r w:rsidR="00CF5BEC" w:rsidRPr="00452042">
        <w:rPr>
          <w:rFonts w:ascii="Arial" w:hAnsi="Arial" w:cs="Arial"/>
          <w:color w:val="000000"/>
          <w:sz w:val="22"/>
          <w:szCs w:val="22"/>
        </w:rPr>
        <w:t xml:space="preserve">), B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CD19</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MS4A1</w:t>
      </w:r>
      <w:r w:rsidR="00CF5BEC" w:rsidRPr="00452042">
        <w:rPr>
          <w:rFonts w:ascii="Arial" w:hAnsi="Arial" w:cs="Arial"/>
          <w:color w:val="000000"/>
          <w:sz w:val="22"/>
          <w:szCs w:val="22"/>
        </w:rPr>
        <w:t xml:space="preserve">), </w:t>
      </w:r>
      <w:r w:rsidR="00E677C1" w:rsidRPr="00452042">
        <w:rPr>
          <w:rFonts w:ascii="Arial" w:hAnsi="Arial" w:cs="Arial"/>
          <w:color w:val="000000"/>
          <w:sz w:val="22"/>
          <w:szCs w:val="22"/>
        </w:rPr>
        <w:t>m</w:t>
      </w:r>
      <w:r w:rsidR="00CF5BEC" w:rsidRPr="00452042">
        <w:rPr>
          <w:rFonts w:ascii="Arial" w:hAnsi="Arial" w:cs="Arial"/>
          <w:color w:val="000000"/>
          <w:sz w:val="22"/>
          <w:szCs w:val="22"/>
        </w:rPr>
        <w:t xml:space="preserve">yeloid </w:t>
      </w:r>
      <w:r w:rsidR="00E677C1" w:rsidRPr="00452042">
        <w:rPr>
          <w:rFonts w:ascii="Arial" w:hAnsi="Arial" w:cs="Arial"/>
          <w:color w:val="000000"/>
          <w:sz w:val="22"/>
          <w:szCs w:val="22"/>
        </w:rPr>
        <w:t>c</w:t>
      </w:r>
      <w:r w:rsidR="00CF5BEC" w:rsidRPr="00452042">
        <w:rPr>
          <w:rFonts w:ascii="Arial" w:hAnsi="Arial" w:cs="Arial"/>
          <w:color w:val="000000"/>
          <w:sz w:val="22"/>
          <w:szCs w:val="22"/>
        </w:rPr>
        <w:t>ells (</w:t>
      </w:r>
      <w:r w:rsidR="00CF5BEC" w:rsidRPr="00452042">
        <w:rPr>
          <w:rFonts w:ascii="Arial" w:hAnsi="Arial" w:cs="Arial"/>
          <w:i/>
          <w:iCs/>
          <w:color w:val="000000"/>
          <w:sz w:val="22"/>
          <w:szCs w:val="22"/>
        </w:rPr>
        <w:t>CD14</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FCGR3A</w:t>
      </w:r>
      <w:r w:rsidR="00CF5BEC" w:rsidRPr="00452042">
        <w:rPr>
          <w:rFonts w:ascii="Arial" w:hAnsi="Arial" w:cs="Arial"/>
          <w:color w:val="000000"/>
          <w:sz w:val="22"/>
          <w:szCs w:val="22"/>
        </w:rPr>
        <w:t xml:space="preserve"> or CD16) and </w:t>
      </w:r>
      <w:r w:rsidR="00E677C1" w:rsidRPr="00452042">
        <w:rPr>
          <w:rFonts w:ascii="Arial" w:hAnsi="Arial" w:cs="Arial"/>
          <w:color w:val="000000"/>
          <w:sz w:val="22"/>
          <w:szCs w:val="22"/>
        </w:rPr>
        <w:t>natural killer (NK)</w:t>
      </w:r>
      <w:r w:rsidR="00CF5BEC" w:rsidRPr="00452042">
        <w:rPr>
          <w:rFonts w:ascii="Arial" w:hAnsi="Arial" w:cs="Arial"/>
          <w:color w:val="000000"/>
          <w:sz w:val="22"/>
          <w:szCs w:val="22"/>
        </w:rPr>
        <w:t xml:space="preserve"> cells (</w:t>
      </w:r>
      <w:r w:rsidR="00CF5BEC" w:rsidRPr="00452042">
        <w:rPr>
          <w:rFonts w:ascii="Arial" w:hAnsi="Arial" w:cs="Arial"/>
          <w:i/>
          <w:iCs/>
          <w:color w:val="000000"/>
          <w:sz w:val="22"/>
          <w:szCs w:val="22"/>
        </w:rPr>
        <w:t>KLRD1</w:t>
      </w:r>
      <w:r w:rsidR="00CF5BEC" w:rsidRPr="00452042">
        <w:rPr>
          <w:rFonts w:ascii="Arial" w:hAnsi="Arial" w:cs="Arial"/>
          <w:color w:val="000000"/>
          <w:sz w:val="22"/>
          <w:szCs w:val="22"/>
        </w:rPr>
        <w:t xml:space="preserve"> and </w:t>
      </w:r>
      <w:r w:rsidR="00CF5BEC" w:rsidRPr="00452042">
        <w:rPr>
          <w:rFonts w:ascii="Arial" w:hAnsi="Arial" w:cs="Arial"/>
          <w:i/>
          <w:iCs/>
          <w:color w:val="000000"/>
          <w:sz w:val="22"/>
          <w:szCs w:val="22"/>
        </w:rPr>
        <w:t>NKG7</w:t>
      </w:r>
      <w:r w:rsidR="00CF5BEC" w:rsidRPr="00452042">
        <w:rPr>
          <w:rFonts w:ascii="Arial" w:hAnsi="Arial" w:cs="Arial"/>
          <w:color w:val="000000"/>
          <w:sz w:val="22"/>
          <w:szCs w:val="22"/>
        </w:rPr>
        <w:t xml:space="preserve">) (Figure 1C), 2) correlations with pure-cell gene signatures derived from ENCODE </w:t>
      </w:r>
      <w:r w:rsidR="00CF5BEC" w:rsidRPr="00452042">
        <w:rPr>
          <w:rFonts w:ascii="Arial" w:hAnsi="Arial" w:cs="Arial"/>
          <w:color w:val="000000"/>
          <w:sz w:val="22"/>
          <w:szCs w:val="22"/>
        </w:rPr>
        <w:fldChar w:fldCharType="begin" w:fldLock="1"/>
      </w:r>
      <w:r w:rsidR="0093266F">
        <w:rPr>
          <w:rFonts w:ascii="Arial" w:hAnsi="Arial" w:cs="Arial"/>
          <w:color w:val="000000"/>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sidR="00CF5BEC" w:rsidRPr="00452042">
        <w:rPr>
          <w:rFonts w:ascii="Arial" w:hAnsi="Arial" w:cs="Arial"/>
          <w:color w:val="000000"/>
          <w:sz w:val="22"/>
          <w:szCs w:val="22"/>
        </w:rPr>
        <w:fldChar w:fldCharType="separate"/>
      </w:r>
      <w:r w:rsidR="00CF5BEC" w:rsidRPr="00452042">
        <w:rPr>
          <w:rFonts w:ascii="Arial" w:hAnsi="Arial" w:cs="Arial"/>
          <w:noProof/>
          <w:color w:val="000000"/>
          <w:sz w:val="22"/>
          <w:szCs w:val="22"/>
        </w:rPr>
        <w:t>(28)</w:t>
      </w:r>
      <w:r w:rsidR="00CF5BEC" w:rsidRPr="00452042">
        <w:rPr>
          <w:rFonts w:ascii="Arial" w:hAnsi="Arial" w:cs="Arial"/>
          <w:color w:val="000000"/>
          <w:sz w:val="22"/>
          <w:szCs w:val="22"/>
        </w:rPr>
        <w:fldChar w:fldCharType="end"/>
      </w:r>
      <w:r w:rsidR="00CF5BEC" w:rsidRPr="00452042">
        <w:rPr>
          <w:rFonts w:ascii="Arial" w:hAnsi="Arial" w:cs="Arial"/>
          <w:color w:val="000000"/>
          <w:sz w:val="22"/>
          <w:szCs w:val="22"/>
        </w:rPr>
        <w:t xml:space="preserve"> (Figure </w:t>
      </w:r>
      <w:r w:rsidR="00E677C1" w:rsidRPr="00452042">
        <w:rPr>
          <w:rFonts w:ascii="Arial" w:hAnsi="Arial" w:cs="Arial"/>
          <w:color w:val="000000"/>
          <w:sz w:val="22"/>
          <w:szCs w:val="22"/>
        </w:rPr>
        <w:t>1</w:t>
      </w:r>
      <w:r w:rsidR="00CF5BEC" w:rsidRPr="00452042">
        <w:rPr>
          <w:rFonts w:ascii="Arial" w:hAnsi="Arial" w:cs="Arial"/>
          <w:color w:val="000000"/>
          <w:sz w:val="22"/>
          <w:szCs w:val="22"/>
        </w:rPr>
        <w:t xml:space="preserve">D), and 3) assigning clonotypes based on the TCR sequencing (Supplemental Figure 2). </w:t>
      </w:r>
      <w:r w:rsidR="00AE0107" w:rsidRPr="00452042">
        <w:rPr>
          <w:rFonts w:ascii="Arial" w:hAnsi="Arial" w:cs="Arial"/>
          <w:color w:val="000000"/>
          <w:sz w:val="22"/>
          <w:szCs w:val="22"/>
        </w:rPr>
        <w:t>Based on these approaches we annotated clusters as monocytes (Cluster</w:t>
      </w:r>
      <w:r w:rsidR="000C0095" w:rsidRPr="00452042">
        <w:rPr>
          <w:rFonts w:ascii="Arial" w:hAnsi="Arial" w:cs="Arial"/>
          <w:color w:val="000000"/>
          <w:sz w:val="22"/>
          <w:szCs w:val="22"/>
        </w:rPr>
        <w:t>s</w:t>
      </w:r>
      <w:r w:rsidR="00AE0107" w:rsidRPr="00452042">
        <w:rPr>
          <w:rFonts w:ascii="Arial" w:hAnsi="Arial" w:cs="Arial"/>
          <w:color w:val="000000"/>
          <w:sz w:val="22"/>
          <w:szCs w:val="22"/>
        </w:rPr>
        <w:t xml:space="preserve"> 0, 5, 11, 12, </w:t>
      </w:r>
      <w:r w:rsidR="000C0095" w:rsidRPr="00452042">
        <w:rPr>
          <w:rFonts w:ascii="Arial" w:hAnsi="Arial" w:cs="Arial"/>
          <w:color w:val="000000"/>
          <w:sz w:val="22"/>
          <w:szCs w:val="22"/>
        </w:rPr>
        <w:t xml:space="preserve">and </w:t>
      </w:r>
      <w:r w:rsidR="00AE0107" w:rsidRPr="00452042">
        <w:rPr>
          <w:rFonts w:ascii="Arial" w:hAnsi="Arial" w:cs="Arial"/>
          <w:color w:val="000000"/>
          <w:sz w:val="22"/>
          <w:szCs w:val="22"/>
        </w:rPr>
        <w:t>16)</w:t>
      </w:r>
      <w:r w:rsidR="000C0095" w:rsidRPr="00452042">
        <w:rPr>
          <w:rFonts w:ascii="Arial" w:hAnsi="Arial" w:cs="Arial"/>
          <w:color w:val="000000"/>
          <w:sz w:val="22"/>
          <w:szCs w:val="22"/>
        </w:rPr>
        <w:t>, CD4</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4, 6, 10, 13, 15, and 20), CD8</w:t>
      </w:r>
      <w:r w:rsidR="000C0095" w:rsidRPr="00452042">
        <w:rPr>
          <w:rFonts w:ascii="Arial" w:hAnsi="Arial" w:cs="Arial"/>
          <w:color w:val="000000"/>
          <w:sz w:val="22"/>
          <w:szCs w:val="22"/>
          <w:vertAlign w:val="superscript"/>
        </w:rPr>
        <w:t>+</w:t>
      </w:r>
      <w:r w:rsidR="000C0095" w:rsidRPr="00452042">
        <w:rPr>
          <w:rFonts w:ascii="Arial" w:hAnsi="Arial" w:cs="Arial"/>
          <w:color w:val="000000"/>
          <w:sz w:val="22"/>
          <w:szCs w:val="22"/>
        </w:rPr>
        <w:t xml:space="preserve"> T cells (Clusters 1, 8, 9 and 17), NK cells (Clusters 3 and 7), B cells (Cluster 2), macrophages (</w:t>
      </w:r>
      <w:proofErr w:type="spellStart"/>
      <w:r w:rsidR="000C0095" w:rsidRPr="00452042">
        <w:rPr>
          <w:rFonts w:ascii="Arial" w:hAnsi="Arial" w:cs="Arial"/>
          <w:color w:val="000000"/>
          <w:sz w:val="22"/>
          <w:szCs w:val="22"/>
        </w:rPr>
        <w:t>M</w:t>
      </w:r>
      <w:r w:rsidR="000C0095" w:rsidRPr="00452042">
        <w:rPr>
          <w:rFonts w:ascii="Arial" w:hAnsi="Arial" w:cs="Arial"/>
          <w:sz w:val="22"/>
          <w:szCs w:val="22"/>
          <w:shd w:val="clear" w:color="auto" w:fill="F8F9FA"/>
        </w:rPr>
        <w:t>φ</w:t>
      </w:r>
      <w:proofErr w:type="spellEnd"/>
      <w:r w:rsidR="000C0095" w:rsidRPr="00452042">
        <w:rPr>
          <w:rFonts w:ascii="Arial" w:hAnsi="Arial" w:cs="Arial"/>
          <w:color w:val="000000"/>
          <w:sz w:val="22"/>
          <w:szCs w:val="22"/>
        </w:rPr>
        <w:t>, Cluster 14) and dendritic cells (DC, Clusters 18 and 19) (Figure 1E). Based on these annotations, we also examined the relative proportion of cell types comprising the sequencing runs by tissue type (Figure 3E).</w:t>
      </w:r>
      <w:r w:rsidR="00452042" w:rsidRPr="00452042">
        <w:rPr>
          <w:rFonts w:ascii="Arial" w:hAnsi="Arial" w:cs="Arial"/>
          <w:sz w:val="22"/>
          <w:szCs w:val="22"/>
          <w:shd w:val="clear" w:color="auto" w:fill="F8F9FA"/>
        </w:rPr>
        <w:t xml:space="preserve"> </w:t>
      </w:r>
      <w:r w:rsidR="00452042" w:rsidRPr="00452042">
        <w:rPr>
          <w:rFonts w:ascii="Arial" w:hAnsi="Arial" w:cs="Arial"/>
          <w:sz w:val="22"/>
          <w:szCs w:val="22"/>
        </w:rPr>
        <w:t>We observed a decrease in CD4</w:t>
      </w:r>
      <w:r w:rsidR="00452042" w:rsidRPr="00452042">
        <w:rPr>
          <w:rFonts w:ascii="Arial" w:hAnsi="Arial" w:cs="Arial"/>
          <w:sz w:val="22"/>
          <w:szCs w:val="22"/>
          <w:vertAlign w:val="superscript"/>
        </w:rPr>
        <w:t>+</w:t>
      </w:r>
      <w:r w:rsidR="00452042" w:rsidRPr="00452042">
        <w:rPr>
          <w:rFonts w:ascii="Arial" w:hAnsi="Arial" w:cs="Arial"/>
          <w:sz w:val="22"/>
          <w:szCs w:val="22"/>
        </w:rPr>
        <w:t xml:space="preserve"> T cells and B cells comparing peripheral blood to normal kidney tissue or tumor (Figure 1E).</w:t>
      </w:r>
      <w:r w:rsidR="00452042">
        <w:rPr>
          <w:rFonts w:ascii="Arial" w:hAnsi="Arial" w:cs="Arial"/>
          <w:sz w:val="22"/>
          <w:szCs w:val="22"/>
        </w:rPr>
        <w:t xml:space="preserve"> Conversely and as expected, we also found an </w:t>
      </w:r>
      <w:r w:rsidR="000C0095" w:rsidRPr="00452042">
        <w:rPr>
          <w:rFonts w:ascii="Arial" w:hAnsi="Arial" w:cs="Arial"/>
          <w:sz w:val="22"/>
          <w:szCs w:val="22"/>
        </w:rPr>
        <w:t>increase in CD8</w:t>
      </w:r>
      <w:r w:rsidR="000C0095" w:rsidRPr="00452042">
        <w:rPr>
          <w:rFonts w:ascii="Arial" w:hAnsi="Arial" w:cs="Arial"/>
          <w:sz w:val="22"/>
          <w:szCs w:val="22"/>
          <w:vertAlign w:val="superscript"/>
        </w:rPr>
        <w:t>+</w:t>
      </w:r>
      <w:r w:rsidR="000C0095" w:rsidRPr="00452042">
        <w:rPr>
          <w:rFonts w:ascii="Arial" w:hAnsi="Arial" w:cs="Arial"/>
          <w:sz w:val="22"/>
          <w:szCs w:val="22"/>
        </w:rPr>
        <w:t xml:space="preserve"> T cells and </w:t>
      </w:r>
      <w:proofErr w:type="spellStart"/>
      <w:r w:rsidR="000C0095" w:rsidRPr="00452042">
        <w:rPr>
          <w:rFonts w:ascii="Arial" w:hAnsi="Arial" w:cs="Arial"/>
          <w:sz w:val="22"/>
          <w:szCs w:val="22"/>
        </w:rPr>
        <w:t>Mφ</w:t>
      </w:r>
      <w:proofErr w:type="spellEnd"/>
      <w:r w:rsidR="000C0095" w:rsidRPr="00452042">
        <w:rPr>
          <w:rFonts w:ascii="Arial" w:hAnsi="Arial" w:cs="Arial"/>
          <w:sz w:val="22"/>
          <w:szCs w:val="22"/>
        </w:rPr>
        <w:t xml:space="preserve"> in </w:t>
      </w:r>
      <w:r w:rsidR="00452042">
        <w:rPr>
          <w:rFonts w:ascii="Arial" w:hAnsi="Arial" w:cs="Arial"/>
          <w:sz w:val="22"/>
          <w:szCs w:val="22"/>
        </w:rPr>
        <w:t xml:space="preserve">ccRCC versus peripheral blood (Figure 1E). </w:t>
      </w:r>
      <w:r w:rsidR="00DA5C3C" w:rsidRPr="00452042">
        <w:rPr>
          <w:rFonts w:ascii="Arial" w:hAnsi="Arial" w:cs="Arial"/>
          <w:sz w:val="22"/>
          <w:szCs w:val="22"/>
        </w:rPr>
        <w:t xml:space="preserve"> </w:t>
      </w:r>
    </w:p>
    <w:p w14:paraId="4C866C75" w14:textId="1A9C6C26" w:rsidR="00DA5C3C" w:rsidRDefault="00DA5C3C" w:rsidP="00452042">
      <w:pPr>
        <w:spacing w:line="480" w:lineRule="auto"/>
        <w:rPr>
          <w:rFonts w:ascii="Arial" w:hAnsi="Arial" w:cs="Arial"/>
          <w:sz w:val="22"/>
          <w:szCs w:val="22"/>
        </w:rPr>
      </w:pPr>
    </w:p>
    <w:p w14:paraId="60F58A1B" w14:textId="77777777" w:rsidR="0093266F" w:rsidRDefault="0093266F" w:rsidP="00F72CA7">
      <w:pPr>
        <w:pStyle w:val="Paragraph"/>
        <w:snapToGrid w:val="0"/>
        <w:spacing w:line="480" w:lineRule="auto"/>
        <w:ind w:firstLine="0"/>
        <w:rPr>
          <w:rFonts w:ascii="Arial" w:hAnsi="Arial" w:cs="Arial"/>
          <w:i/>
          <w:iCs/>
          <w:sz w:val="22"/>
          <w:szCs w:val="22"/>
        </w:rPr>
      </w:pPr>
      <w:r w:rsidRPr="0093266F">
        <w:rPr>
          <w:rFonts w:ascii="Arial" w:hAnsi="Arial" w:cs="Arial"/>
          <w:i/>
          <w:iCs/>
          <w:sz w:val="22"/>
          <w:szCs w:val="22"/>
        </w:rPr>
        <w:t>CD8</w:t>
      </w:r>
      <w:r w:rsidRPr="0093266F">
        <w:rPr>
          <w:rFonts w:ascii="Arial" w:hAnsi="Arial" w:cs="Arial"/>
          <w:i/>
          <w:iCs/>
          <w:sz w:val="22"/>
          <w:szCs w:val="22"/>
          <w:vertAlign w:val="superscript"/>
        </w:rPr>
        <w:t>+</w:t>
      </w:r>
      <w:r w:rsidRPr="0093266F">
        <w:rPr>
          <w:rFonts w:ascii="Arial" w:hAnsi="Arial" w:cs="Arial"/>
          <w:i/>
          <w:iCs/>
          <w:sz w:val="22"/>
          <w:szCs w:val="22"/>
        </w:rPr>
        <w:t xml:space="preserve"> T cells in ccRCC tumors exhibit a transcriptional continuum with distinct populations</w:t>
      </w:r>
    </w:p>
    <w:p w14:paraId="60DAD892" w14:textId="44454ABA" w:rsidR="00F35AF3" w:rsidRDefault="0093266F" w:rsidP="00F72CA7">
      <w:pPr>
        <w:pStyle w:val="Paragraph"/>
        <w:snapToGrid w:val="0"/>
        <w:spacing w:line="480" w:lineRule="auto"/>
        <w:ind w:firstLine="0"/>
        <w:rPr>
          <w:rFonts w:ascii="Arial" w:hAnsi="Arial" w:cs="Arial"/>
          <w:sz w:val="22"/>
          <w:szCs w:val="22"/>
        </w:rPr>
      </w:pPr>
      <w:r>
        <w:rPr>
          <w:rFonts w:ascii="Arial" w:hAnsi="Arial" w:cs="Arial"/>
          <w:sz w:val="22"/>
          <w:szCs w:val="22"/>
        </w:rPr>
        <w:t>The presence of CD8</w:t>
      </w:r>
      <w:r w:rsidRPr="0093266F">
        <w:rPr>
          <w:rFonts w:ascii="Arial" w:hAnsi="Arial" w:cs="Arial"/>
          <w:sz w:val="22"/>
          <w:szCs w:val="22"/>
          <w:vertAlign w:val="superscript"/>
        </w:rPr>
        <w:t>+</w:t>
      </w:r>
      <w:r>
        <w:rPr>
          <w:rFonts w:ascii="Arial" w:hAnsi="Arial" w:cs="Arial"/>
          <w:sz w:val="22"/>
          <w:szCs w:val="22"/>
        </w:rPr>
        <w:t xml:space="preserve"> T cells in the tumor microenvironment is recognized as key effectors in the anti-tumor immune response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{"citationItems":[{"id":"ITEM-1","itemData":{"DOI":"10.1080/2162402X.2014.998538","ISSN":"2162402X","abstract":"Whereas preclinical investigations and clinical studies have established that CD8+ T cells can profoundly affect cancer progression, the underlying mechanisms are still elusive. Challenging the prevalent view that the beneficial effect of CD8+ T cells in cancer is solely attributable to their cytotoxic activity, several reports have indicated that the ability of CD8+T cells to promote tumor regression is dependent on their cytokine secretion profile and their ability to self-renew. Evidence has also shown that the tumor microenvironment can disarm CD8+ T cell immunity, leading to the emergence of dysfunctional CD8+ T cells. The existence of different types of CD8+ T cells in cancer calls for a more precise definition of the CD8+ T cell immune phenotypes in cancer and the abandonment of the generic terms “pro-tumor” and “antitumor.” Based on recent studies investigating the functions of CD8+ T cells in cancer, we here propose some guidelines to precisely define the functional states of CD8+T cells in cancer.","author":[{"dropping-particle":"","family":"Apetoh","given":"Lionel","non-dropping-particle":"","parse-names":false,"suffix":""},{"dropping-particle":"","family":"Smyth","given":"Mark J.","non-dropping-particle":"","parse-names":false,"suffix":""},{"dropping-particle":"","family":"Drake","given":"Charles G.","non-dropping-particle":"","parse-names":false,"suffix":""},{"dropping-particle":"","family":"Abastado","given":"Jean Pierre","non-dropping-particle":"","parse-names":false,"suffix":""},{"dropping-particle":"","family":"Apte","given":"Ron N.","non-dropping-particle":"","parse-names":false,"suffix":""},{"dropping-particle":"","family":"Ayyoub","given":"Maha","non-dropping-particle":"","parse-names":false,"suffix":""},{"dropping-particle":"","family":"Blay","given":"Jean Yves","non-dropping-particle":"","parse-names":false,"suffix":""},{"dropping-particle":"","family":"Bonneville","given":"Marc","non-dropping-particle":"","parse-names":false,"suffix":""},{"dropping-particle":"","family":"Butterfield","given":"Lisa H.","non-dropping-particle":"","parse-names":false,"suffix":""},{"dropping-particle":"","family":"Caignard","given":"Anne","non-dropping-particle":"","parse-names":false,"suffix":""},{"dropping-particle":"","family":"Castelli","given":"Chiara","non-dropping-particle":"","parse-names":false,"suffix":""},{"dropping-particle":"","family":"Cavallo","given":"Federica","non-dropping-particle":"","parse-names":false,"suffix":""},{"dropping-particle":"","family":"Celis","given":"Esteban","non-dropping-particle":"","parse-names":false,"suffix":""},{"dropping-particle":"","family":"Chen","given":"Lieping","non-dropping-particle":"","parse-names":false,"suffix":""},{"dropping-particle":"","family":"Colombo","given":"Mario P.","non-dropping-particle":"","parse-names":false,"suffix":""},{"dropping-particle":"","family":"Comin-Anduix","given":"Begoña","non-dropping-particle":"","parse-names":false,"suffix":""},{"dropping-particle":"","family":"Coukos","given":"Georges","non-dropping-particle":"","parse-names":false,"suffix":""},{"dropping-particle":"V.","family":"Dhodapkar","given":"Madhav","non-dropping-particle":"","parse-names":false,"suffix":""},{"dropping-particle":"","family":"Dranoff","given":"Glenn","non-dropping-particle":"","parse-names":false,"suffix":""},{"dropping-particle":"","family":"Frazer","given":"Ian H.","non-dropping-particle":"","parse-names":false,"suffix":""},{"dropping-particle":"","family":"Fridman","given":"Wolf Hervé","non-dropping-particle":"","parse-names":false,"suffix":""},{"dropping-particle":"","family":"Gabrilovich","given":"Dmitry I.","non-dropping-particle":"","parse-names":false,"suffix":""},{"dropping-particle":"","family":"Gilboa","given":"Eli","non-dropping-particle":"","parse-names":false,"suffix":""},{"dropping-particle":"","family":"Gnjatic","given":"Sacha","non-dropping-particle":"","parse-names":false,"suffix":""},{"dropping-particle":"","family":"Jäger","given":"Dirk","non-dropping-particle":"","parse-names":false,"suffix":""},{"dropping-particle":"","family":"Kalinski","given":"Pawel","non-dropping-particle":"","parse-names":false,"suffix":""},{"dropping-particle":"","family":"Kaufman","given":"Howard L.","non-dropping-particle":"","parse-names":false,"suffix":""},{"dropping-particle":"","family":"Kiessling","given":"Rolf","non-dropping-particle":"","parse-names":false,"suffix":""},{"dropping-particle":"","family":"Kirkwood","given":"John","non-dropping-particle":"","parse-names":false,"suffix":""},{"dropping-particle":"","family":"Knuth","given":"Alexander","non-dropping-particle":"","parse-names":false,"suffix":""},{"dropping-particle":"","family":"Liblau","given":"Roland","non-dropping-particle":"","parse-names":false,"suffix":""},{"dropping-particle":"","family":"Lotze","given":"Michael T.","non-dropping-particle":"","parse-names":false,"suffix":""},{"dropping-particle":"","family":"Lugli","given":"Enrico","non-dropping-particle":"","parse-names":false,"suffix":""},{"dropping-particle":"","family":"Marincola","given":"Francesco","non-dropping-particle":"","parse-names":false,"suffix":""},{"dropping-particle":"","family":"Melero","given":"Ignacio","non-dropping-particle":"","parse-names":false,"suffix":""},{"dropping-particle":"","family":"Melief","given":"Cornelis J.","non-dropping-particle":"","parse-names":false,"suffix":""},{"dropping-particle":"","family":"Mempel","given":"Thorsten R.","non-dropping-particle":"","parse-names":false,"suffix":""},{"dropping-particle":"","family":"Mittendorf","given":"Elizabeth A.","non-dropping-particle":"","parse-names":false,"suffix":""},{"dropping-particle":"","family":"Odun","given":"Kunle","non-dropping-particle":"","parse-names":false,"suffix":""},{"dropping-particle":"","family":"Overwijk","given":"Willem W.","non-dropping-particle":"","parse-names":false,"suffix":""},{"dropping-particle":"","family":"Palucka","given":"Anna Karolina","non-dropping-particle":"","parse-names":false,"suffix":""},{"dropping-particle":"","family":"Parmiani","given":"Giorgio","non-dropping-particle":"","parse-names":false,"suffix":""},{"dropping-particle":"","family":"Ribas","given":"Antoni","non-dropping-particle":"","parse-names":false,"suffix":""},{"dropping-particle":"","family":"Romero","given":"Pedro","non-dropping-particle":"","parse-names":false,"suffix":""},{"dropping-particle":"","family":"Schreiber","given":"Robert D.","non-dropping-particle":"","parse-names":false,"suffix":""},{"dropping-particle":"","family":"Schuler","given":"Gerold","non-dropping-particle":"","parse-names":false,"suffix":""},{"dropping-particle":"","family":"Srivastava","given":"Pramod K.","non-dropping-particle":"","parse-names":false,"suffix":""},{"dropping-particle":"","family":"Tartour","given":"Eric","non-dropping-particle":"","parse-names":false,"suffix":""},{"dropping-particle":"","family":"Valmori","given":"Danila","non-dropping-particle":"","parse-names":false,"suffix":""},{"dropping-particle":"","family":"Burg","given":"Sjoerd H.","non-dropping-particle":"van der","parse-names":false,"suffix":""},{"dropping-particle":"","family":"Bruggen","given":"Pierre","non-dropping-particle":"van der","parse-names":false,"suffix":""},{"dropping-particle":"","family":"Eynde","given":"Benoît J.","non-dropping-particle":"van den","parse-names":false,"suffix":""},{"dropping-particle":"","family":"Wang","given":"Ena","non-dropping-particle":"","parse-names":false,"suffix":""},{"dropping-particle":"","family":"Zou","given":"Weiping","non-dropping-particle":"","parse-names":false,"suffix":""},{"dropping-particle":"","family":"Whiteside","given":"Theresa L.","non-dropping-particle":"","parse-names":false,"suffix":""},{"dropping-particle":"","family":"Speiser","given":"Daniel E.","non-dropping-particle":"","parse-names":false,"suffix":""},{"dropping-particle":"","family":"Pardoll","given":"Drew M.","non-dropping-particle":"","parse-names":false,"suffix":""},{"dropping-particle":"","family":"Restifo","given":"Nicholas P.","non-dropping-particle":"","parse-names":false,"suffix":""},{"dropping-particle":"","family":"Anderson","given":"Ana C.","non-dropping-particle":"","parse-names":false,"suffix":""}],"container-title":"OncoImmunology","id":"ITEM-1","issued":{"date-parts":[["2015"]]},"title":"Consensus nomenclature for CD8+ T cell phenotypes in cancer","type":"article-journal"},"uris":["http://www.mendeley.com/documents/?uuid=b433b0b5-f9b8-4839-9209-bf30f92e3e06"]}],"mendeley":{"formattedCitation":"(29)","plainTextFormattedCitation":"(29)","previouslyFormattedCitation":"(29)"},"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(29)</w:t>
      </w:r>
      <w:r>
        <w:rPr>
          <w:rFonts w:ascii="Arial" w:hAnsi="Arial" w:cs="Arial"/>
          <w:sz w:val="22"/>
          <w:szCs w:val="22"/>
        </w:rPr>
        <w:fldChar w:fldCharType="end"/>
      </w:r>
      <w:r>
        <w:rPr>
          <w:rFonts w:ascii="Arial" w:hAnsi="Arial" w:cs="Arial"/>
          <w:sz w:val="22"/>
          <w:szCs w:val="22"/>
        </w:rPr>
        <w:t xml:space="preserve"> and have been associated in with response to immunotherapy </w:t>
      </w:r>
      <w:r>
        <w:rPr>
          <w:rFonts w:ascii="Arial" w:hAnsi="Arial" w:cs="Arial"/>
          <w:sz w:val="22"/>
          <w:szCs w:val="22"/>
        </w:rPr>
        <w:fldChar w:fldCharType="begin" w:fldLock="1"/>
      </w:r>
      <w:r w:rsidR="00F35AF3">
        <w:rPr>
          <w:rFonts w:ascii="Arial" w:hAnsi="Arial" w:cs="Arial"/>
          <w:sz w:val="22"/>
          <w:szCs w:val="22"/>
        </w:rPr>
        <w:instrText>ADDIN CSL_CITATION {"citationItems":[{"id":"ITEM-1","itemData":{"DOI":"10.1016/j.jmb.2018.05.030","ISSN":"10898638","abstract":"Immune checkpoints are a diverse set of inhibitory signals to the immune system that play a functional role in adaptive immune response and self-tolerance. Dysregulation of these pathways is a vital mechanism in the avoidance of immune destruction by tumor cells. Immune checkpoint blockade (ICB) refers to targeted strategies to disrupt the tumor co-opted immune suppression to enhance anti-tumor immunity. Cytotoxic T-lymphocyte-associated protein 4 (CTLA-4) and programmed cell death 1 (PD-1) are two immune checkpoints that have the widest range of antibody-based therapies. These therapies have gone from promising approaches to Food and Drug Administration-approved first- and second-line agents for a number of immunogenic cancers. The burgeoning investigations of ICB efficacy in blood and solid cancers have underscored the importance of identifying the predictors of response and resistance to ICB. Identification of response correlates is made complicated by the observations of mixed reactions, or different responses in multiple lesions from the same patient, and delayed responses that can occur over a year after the induction therapy. Factors that can influence response and resistance in ICB can illuminate underlying molecular mechanisms of immune activation and suppression. These same response predictors can guide the identification of patients who would benefit from ICB, reduce off-target immune-relate adverse events, and facilitate the use of combinatorial therapies to increase efficacy. Here we review the underlying principles of immune checkpoint therapy and results of single-agent ICB clinical trials, and summarize the predictors of response and resistance.","author":[{"dropping-particle":"","family":"Borcherding","given":"Nicholas","non-dropping-particle":"","parse-names":false,"suffix":""},{"dropping-particle":"","family":"Kolb","given":"Ryan","non-dropping-particle":"","parse-names":false,"suffix":""},{"dropping-particle":"","family":"Gullicksrud","given":"Jodi","non-dropping-particle":"","parse-names":false,"suffix":""},{"dropping-particle":"","family":"Vikas","given":"Praveen","non-dropping-particle":"","parse-names":false,"suffix":""},{"dropping-particle":"","family":"Zhu","given":"Yuwen","non-dropping-particle":"","parse-names":false,"suffix":""},{"dropping-particle":"","family":"Zhang","given":"Weizhou","non-dropping-particle":"","parse-names":false,"suffix":""}],"container-title":"Journal of Molecular Biology","id":"ITEM-1","issued":{"date-parts":[["2018"]]},"title":"Keeping Tumors in Check: A Mechanistic Review of Clinical Response and Resistance to Immune Checkpoint Blockade in Cancer","type":"article-newspaper"},"uris":["http://www.mendeley.com/documents/?uuid=7b6eca1a-a639-41a0-9083-e940634f0114"]}],"mendeley":{"formattedCitation":"(30)","plainTextFormattedCitation":"(30)","previouslyFormattedCitation":"(30)"},"properties":{"noteIndex":0},"schema":"https://github.com/citation-style-language/schema/raw/master/csl-citation.json"}</w:instrText>
      </w:r>
      <w:r>
        <w:rPr>
          <w:rFonts w:ascii="Arial" w:hAnsi="Arial" w:cs="Arial"/>
          <w:sz w:val="22"/>
          <w:szCs w:val="22"/>
        </w:rPr>
        <w:fldChar w:fldCharType="separate"/>
      </w:r>
      <w:r w:rsidRPr="0093266F">
        <w:rPr>
          <w:rFonts w:ascii="Arial" w:hAnsi="Arial" w:cs="Arial"/>
          <w:noProof/>
          <w:sz w:val="22"/>
          <w:szCs w:val="22"/>
        </w:rPr>
        <w:t>(30)</w:t>
      </w:r>
      <w:r>
        <w:rPr>
          <w:rFonts w:ascii="Arial" w:hAnsi="Arial" w:cs="Arial"/>
          <w:sz w:val="22"/>
          <w:szCs w:val="22"/>
        </w:rPr>
        <w:fldChar w:fldCharType="end"/>
      </w:r>
      <w:r>
        <w:rPr>
          <w:rFonts w:ascii="Arial" w:hAnsi="Arial" w:cs="Arial"/>
          <w:sz w:val="22"/>
          <w:szCs w:val="22"/>
        </w:rPr>
        <w:t>.</w:t>
      </w:r>
      <w:r w:rsidR="0070540D">
        <w:rPr>
          <w:rFonts w:ascii="Arial" w:hAnsi="Arial" w:cs="Arial"/>
          <w:sz w:val="22"/>
          <w:szCs w:val="22"/>
        </w:rPr>
        <w:t xml:space="preserve"> Sub</w:t>
      </w:r>
      <w:r w:rsidR="009D0802">
        <w:rPr>
          <w:rFonts w:ascii="Arial" w:hAnsi="Arial" w:cs="Arial"/>
          <w:sz w:val="22"/>
          <w:szCs w:val="22"/>
        </w:rPr>
        <w:t>-</w:t>
      </w:r>
      <w:r w:rsidR="0070540D">
        <w:rPr>
          <w:rFonts w:ascii="Arial" w:hAnsi="Arial" w:cs="Arial"/>
          <w:sz w:val="22"/>
          <w:szCs w:val="22"/>
        </w:rPr>
        <w:t>clustering of CD8</w:t>
      </w:r>
      <w:r w:rsidR="0070540D" w:rsidRPr="0070540D">
        <w:rPr>
          <w:rFonts w:ascii="Arial" w:hAnsi="Arial" w:cs="Arial"/>
          <w:sz w:val="22"/>
          <w:szCs w:val="22"/>
          <w:vertAlign w:val="superscript"/>
        </w:rPr>
        <w:t>+</w:t>
      </w:r>
      <w:r w:rsidR="0070540D">
        <w:rPr>
          <w:rFonts w:ascii="Arial" w:hAnsi="Arial" w:cs="Arial"/>
          <w:sz w:val="22"/>
          <w:szCs w:val="22"/>
        </w:rPr>
        <w:t xml:space="preserve"> T cells revealed 8 distinct </w:t>
      </w:r>
      <w:r w:rsidR="009B229C">
        <w:rPr>
          <w:rFonts w:ascii="Arial" w:hAnsi="Arial" w:cs="Arial"/>
          <w:sz w:val="22"/>
          <w:szCs w:val="22"/>
        </w:rPr>
        <w:t>clusters</w:t>
      </w:r>
      <w:r w:rsidR="0070540D">
        <w:rPr>
          <w:rFonts w:ascii="Arial" w:hAnsi="Arial" w:cs="Arial"/>
          <w:sz w:val="22"/>
          <w:szCs w:val="22"/>
        </w:rPr>
        <w:t xml:space="preserve"> (Figure 2A) with relative tissue</w:t>
      </w:r>
      <w:r w:rsidR="00074BA2">
        <w:rPr>
          <w:rFonts w:ascii="Arial" w:hAnsi="Arial" w:cs="Arial"/>
          <w:sz w:val="22"/>
          <w:szCs w:val="22"/>
        </w:rPr>
        <w:t>-specific</w:t>
      </w:r>
      <w:r w:rsidR="0070540D">
        <w:rPr>
          <w:rFonts w:ascii="Arial" w:hAnsi="Arial" w:cs="Arial"/>
          <w:sz w:val="22"/>
          <w:szCs w:val="22"/>
        </w:rPr>
        <w:t xml:space="preserve"> distribution (Figure 2B).</w:t>
      </w:r>
      <w:r w:rsidR="00A121E2">
        <w:rPr>
          <w:rFonts w:ascii="Arial" w:hAnsi="Arial" w:cs="Arial"/>
          <w:sz w:val="22"/>
          <w:szCs w:val="22"/>
        </w:rPr>
        <w:t xml:space="preserve"> To understand the distribution of these new </w:t>
      </w:r>
      <w:r w:rsidR="009B229C">
        <w:rPr>
          <w:rFonts w:ascii="Arial" w:hAnsi="Arial" w:cs="Arial"/>
          <w:sz w:val="22"/>
          <w:szCs w:val="22"/>
        </w:rPr>
        <w:t>CD8</w:t>
      </w:r>
      <w:r w:rsidR="009B229C" w:rsidRPr="009B229C">
        <w:rPr>
          <w:rFonts w:ascii="Arial" w:hAnsi="Arial" w:cs="Arial"/>
          <w:sz w:val="22"/>
          <w:szCs w:val="22"/>
          <w:vertAlign w:val="superscript"/>
        </w:rPr>
        <w:t>+</w:t>
      </w:r>
      <w:r w:rsidR="009B229C">
        <w:rPr>
          <w:rFonts w:ascii="Arial" w:hAnsi="Arial" w:cs="Arial"/>
          <w:sz w:val="22"/>
          <w:szCs w:val="22"/>
        </w:rPr>
        <w:t xml:space="preserve"> clusters </w:t>
      </w:r>
      <w:r w:rsidR="00A121E2">
        <w:rPr>
          <w:rFonts w:ascii="Arial" w:hAnsi="Arial" w:cs="Arial"/>
          <w:sz w:val="22"/>
          <w:szCs w:val="22"/>
        </w:rPr>
        <w:t>along the UMAP, we first examined the relative percent of single-cells represented in each cluster by tissue type.</w:t>
      </w:r>
      <w:r w:rsidR="0070540D">
        <w:rPr>
          <w:rFonts w:ascii="Arial" w:hAnsi="Arial" w:cs="Arial"/>
          <w:sz w:val="22"/>
          <w:szCs w:val="22"/>
        </w:rPr>
        <w:t xml:space="preserve"> Tissue-infiltrating CD8</w:t>
      </w:r>
      <w:r w:rsidR="0070540D" w:rsidRPr="0070540D">
        <w:rPr>
          <w:rFonts w:ascii="Arial" w:hAnsi="Arial" w:cs="Arial"/>
          <w:sz w:val="22"/>
          <w:szCs w:val="22"/>
          <w:vertAlign w:val="superscript"/>
        </w:rPr>
        <w:t>+</w:t>
      </w:r>
      <w:r w:rsidR="0070540D">
        <w:rPr>
          <w:rFonts w:ascii="Arial" w:hAnsi="Arial" w:cs="Arial"/>
          <w:sz w:val="22"/>
          <w:szCs w:val="22"/>
        </w:rPr>
        <w:t xml:space="preserve"> T cells (both tumor and normal kidney) comprised the majority of </w:t>
      </w:r>
      <w:r w:rsidR="009B229C">
        <w:rPr>
          <w:rFonts w:ascii="Arial" w:hAnsi="Arial" w:cs="Arial"/>
          <w:sz w:val="22"/>
          <w:szCs w:val="22"/>
        </w:rPr>
        <w:t>CD8_</w:t>
      </w:r>
      <w:r w:rsidR="0070540D">
        <w:rPr>
          <w:rFonts w:ascii="Arial" w:hAnsi="Arial" w:cs="Arial"/>
          <w:sz w:val="22"/>
          <w:szCs w:val="22"/>
        </w:rPr>
        <w:t xml:space="preserve">0, </w:t>
      </w:r>
      <w:r w:rsidR="009B229C">
        <w:rPr>
          <w:rFonts w:ascii="Arial" w:hAnsi="Arial" w:cs="Arial"/>
          <w:sz w:val="22"/>
          <w:szCs w:val="22"/>
        </w:rPr>
        <w:t>CD8_</w:t>
      </w:r>
      <w:r w:rsidR="0070540D">
        <w:rPr>
          <w:rFonts w:ascii="Arial" w:hAnsi="Arial" w:cs="Arial"/>
          <w:sz w:val="22"/>
          <w:szCs w:val="22"/>
        </w:rPr>
        <w:t xml:space="preserve">1, </w:t>
      </w:r>
      <w:r w:rsidR="009B229C">
        <w:rPr>
          <w:rFonts w:ascii="Arial" w:hAnsi="Arial" w:cs="Arial"/>
          <w:sz w:val="22"/>
          <w:szCs w:val="22"/>
        </w:rPr>
        <w:t>CD8_</w:t>
      </w:r>
      <w:r w:rsidR="0070540D">
        <w:rPr>
          <w:rFonts w:ascii="Arial" w:hAnsi="Arial" w:cs="Arial"/>
          <w:sz w:val="22"/>
          <w:szCs w:val="22"/>
        </w:rPr>
        <w:t xml:space="preserve">3, </w:t>
      </w:r>
      <w:r w:rsidR="009B229C">
        <w:rPr>
          <w:rFonts w:ascii="Arial" w:hAnsi="Arial" w:cs="Arial"/>
          <w:sz w:val="22"/>
          <w:szCs w:val="22"/>
        </w:rPr>
        <w:t>CD8_</w:t>
      </w:r>
      <w:r w:rsidR="0070540D">
        <w:rPr>
          <w:rFonts w:ascii="Arial" w:hAnsi="Arial" w:cs="Arial"/>
          <w:sz w:val="22"/>
          <w:szCs w:val="22"/>
        </w:rPr>
        <w:t xml:space="preserve">5, </w:t>
      </w:r>
      <w:r w:rsidR="009B229C">
        <w:rPr>
          <w:rFonts w:ascii="Arial" w:hAnsi="Arial" w:cs="Arial"/>
          <w:sz w:val="22"/>
          <w:szCs w:val="22"/>
        </w:rPr>
        <w:t>CD8_</w:t>
      </w:r>
      <w:r w:rsidR="0070540D">
        <w:rPr>
          <w:rFonts w:ascii="Arial" w:hAnsi="Arial" w:cs="Arial"/>
          <w:sz w:val="22"/>
          <w:szCs w:val="22"/>
        </w:rPr>
        <w:t xml:space="preserve">6 and </w:t>
      </w:r>
      <w:r w:rsidR="009B229C">
        <w:rPr>
          <w:rFonts w:ascii="Arial" w:hAnsi="Arial" w:cs="Arial"/>
          <w:sz w:val="22"/>
          <w:szCs w:val="22"/>
        </w:rPr>
        <w:t>CD8_</w:t>
      </w:r>
      <w:r w:rsidR="0070540D">
        <w:rPr>
          <w:rFonts w:ascii="Arial" w:hAnsi="Arial" w:cs="Arial"/>
          <w:sz w:val="22"/>
          <w:szCs w:val="22"/>
        </w:rPr>
        <w:t xml:space="preserve">7. </w:t>
      </w:r>
      <w:r w:rsidR="0070540D">
        <w:rPr>
          <w:rFonts w:ascii="Arial" w:hAnsi="Arial" w:cs="Arial"/>
          <w:sz w:val="22"/>
          <w:szCs w:val="22"/>
        </w:rPr>
        <w:lastRenderedPageBreak/>
        <w:t xml:space="preserve">Only </w:t>
      </w:r>
      <w:r w:rsidR="009B229C">
        <w:rPr>
          <w:rFonts w:ascii="Arial" w:hAnsi="Arial" w:cs="Arial"/>
          <w:sz w:val="22"/>
          <w:szCs w:val="22"/>
        </w:rPr>
        <w:t>Clusters CD8_</w:t>
      </w:r>
      <w:r w:rsidR="0070540D">
        <w:rPr>
          <w:rFonts w:ascii="Arial" w:hAnsi="Arial" w:cs="Arial"/>
          <w:sz w:val="22"/>
          <w:szCs w:val="22"/>
        </w:rPr>
        <w:t xml:space="preserve">2 and </w:t>
      </w:r>
      <w:r w:rsidR="009B229C">
        <w:rPr>
          <w:rFonts w:ascii="Arial" w:hAnsi="Arial" w:cs="Arial"/>
          <w:sz w:val="22"/>
          <w:szCs w:val="22"/>
        </w:rPr>
        <w:t>CD8_</w:t>
      </w:r>
      <w:r w:rsidR="0070540D">
        <w:rPr>
          <w:rFonts w:ascii="Arial" w:hAnsi="Arial" w:cs="Arial"/>
          <w:sz w:val="22"/>
          <w:szCs w:val="22"/>
        </w:rPr>
        <w:t>4 had increased relative levels of peripheral blood cells (Figure 2B).</w:t>
      </w:r>
      <w:r w:rsidR="00A121E2">
        <w:rPr>
          <w:rFonts w:ascii="Arial" w:hAnsi="Arial" w:cs="Arial"/>
          <w:sz w:val="22"/>
          <w:szCs w:val="22"/>
        </w:rPr>
        <w:t xml:space="preserve"> Going from right to left across the x-axis of the UMAP there is a change in tissue-specific contribution starting from peripheral blood (right) to kidney (middle) to increasing levels of ccRCC tumor CD8</w:t>
      </w:r>
      <w:r w:rsidR="00A121E2" w:rsidRPr="009B229C">
        <w:rPr>
          <w:rFonts w:ascii="Arial" w:hAnsi="Arial" w:cs="Arial"/>
          <w:sz w:val="22"/>
          <w:szCs w:val="22"/>
          <w:vertAlign w:val="superscript"/>
        </w:rPr>
        <w:t>+</w:t>
      </w:r>
      <w:r w:rsidR="00A121E2">
        <w:rPr>
          <w:rFonts w:ascii="Arial" w:hAnsi="Arial" w:cs="Arial"/>
          <w:sz w:val="22"/>
          <w:szCs w:val="22"/>
        </w:rPr>
        <w:t xml:space="preserve"> T cells (left)</w:t>
      </w:r>
      <w:r w:rsidR="00074BA2">
        <w:rPr>
          <w:rFonts w:ascii="Arial" w:hAnsi="Arial" w:cs="Arial"/>
          <w:sz w:val="22"/>
          <w:szCs w:val="22"/>
        </w:rPr>
        <w:t xml:space="preserve"> and may represent the process of tissue infiltration itself</w:t>
      </w:r>
      <w:r w:rsidR="00A121E2">
        <w:rPr>
          <w:rFonts w:ascii="Arial" w:hAnsi="Arial" w:cs="Arial"/>
          <w:sz w:val="22"/>
          <w:szCs w:val="22"/>
        </w:rPr>
        <w:t xml:space="preserve">. Within SCRS literature, these is a concern for </w:t>
      </w:r>
      <w:r w:rsidR="00F35AF3">
        <w:rPr>
          <w:rFonts w:ascii="Arial" w:hAnsi="Arial" w:cs="Arial"/>
          <w:sz w:val="22"/>
          <w:szCs w:val="22"/>
        </w:rPr>
        <w:t xml:space="preserve">variations in cell cycle leading to increased heterogeneity or obscure subpopulations </w:t>
      </w:r>
      <w:r w:rsidR="00F35AF3">
        <w:rPr>
          <w:rFonts w:ascii="Arial" w:hAnsi="Arial" w:cs="Arial"/>
          <w:sz w:val="22"/>
          <w:szCs w:val="22"/>
        </w:rPr>
        <w:fldChar w:fldCharType="begin" w:fldLock="1"/>
      </w:r>
      <w:r w:rsidR="00974483">
        <w:rPr>
          <w:rFonts w:ascii="Arial" w:hAnsi="Arial" w:cs="Arial"/>
          <w:sz w:val="22"/>
          <w:szCs w:val="22"/>
        </w:rPr>
        <w:instrText>ADDIN CSL_CITATION {"citationItems":[{"id":"ITEM-1","itemData":{"DOI":"10.15252/msb.20188746","ISSN":"1744-4292","PMID":"31217225","abstract":"Single-cell RNA-seq has enabled gene expression to be studied at an unprecedented resolution. The promise of this technology is attracting a growing user base for single-cell analysis methods. As more analysis tools are becoming available, it is becoming increasingly difficult to navigate this landscape and produce an up-to-date workflow to analyse one's data. Here, we detail the steps of a typical single-cell RNA-seq analysis, including pre-processing (quality control, normalization, data correction, feature selection, and dimensionality reduction) and cell- and gene-level downstream analysis. We formulate current best-practice recommendations for these steps based on independent comparison studies. We have integrated these best-practice recommendations into a workflow, which we apply to a public dataset to further illustrate how these steps work in practice. Our documented case study can be found at https://www.github.com/theislab/single-cell-tutorial This review will serve as a workflow tutorial for new entrants into the field, and help established users update their analysis pipelines.","author":[{"dropping-particle":"","family":"Luecken","given":"Malte D","non-dropping-particle":"","parse-names":false,"suffix":""},{"dropping-particle":"","family":"Theis","given":"Fabian J","non-dropping-particle":"","parse-names":false,"suffix":""}],"container-title":"Molecular Systems Biology","id":"ITEM-1","issued":{"date-parts":[["2019"]]},"title":"Current best practices in single</w:instrText>
      </w:r>
      <w:r w:rsidR="00974483">
        <w:rPr>
          <w:rFonts w:ascii="Cambria Math" w:hAnsi="Cambria Math" w:cs="Cambria Math"/>
          <w:sz w:val="22"/>
          <w:szCs w:val="22"/>
        </w:rPr>
        <w:instrText>‐</w:instrText>
      </w:r>
      <w:r w:rsidR="00974483">
        <w:rPr>
          <w:rFonts w:ascii="Arial" w:hAnsi="Arial" w:cs="Arial"/>
          <w:sz w:val="22"/>
          <w:szCs w:val="22"/>
        </w:rPr>
        <w:instrText>cell RNA</w:instrText>
      </w:r>
      <w:r w:rsidR="00974483">
        <w:rPr>
          <w:rFonts w:ascii="Cambria Math" w:hAnsi="Cambria Math" w:cs="Cambria Math"/>
          <w:sz w:val="22"/>
          <w:szCs w:val="22"/>
        </w:rPr>
        <w:instrText>‐</w:instrText>
      </w:r>
      <w:r w:rsidR="00974483">
        <w:rPr>
          <w:rFonts w:ascii="Arial" w:hAnsi="Arial" w:cs="Arial"/>
          <w:sz w:val="22"/>
          <w:szCs w:val="22"/>
        </w:rPr>
        <w:instrText>seq analysis: a tutorial","type":"article-journal"},"uris":["http://www.mendeley.com/documents/?uuid=61609cd7-7498-484a-938f-07786a85a4aa"]}],"mendeley":{"formattedCitation":"(31)","plainTextFormattedCitation":"(31)","previouslyFormattedCitation":"(31)"},"properties":{"noteIndex":0},"schema":"https://github.com/citation-style-language/schema/raw/master/csl-citation.json"}</w:instrText>
      </w:r>
      <w:r w:rsidR="00F35AF3">
        <w:rPr>
          <w:rFonts w:ascii="Arial" w:hAnsi="Arial" w:cs="Arial"/>
          <w:sz w:val="22"/>
          <w:szCs w:val="22"/>
        </w:rPr>
        <w:fldChar w:fldCharType="separate"/>
      </w:r>
      <w:r w:rsidR="00F35AF3" w:rsidRPr="00F35AF3">
        <w:rPr>
          <w:rFonts w:ascii="Arial" w:hAnsi="Arial" w:cs="Arial"/>
          <w:noProof/>
          <w:sz w:val="22"/>
          <w:szCs w:val="22"/>
        </w:rPr>
        <w:t>(31)</w:t>
      </w:r>
      <w:r w:rsidR="00F35AF3">
        <w:rPr>
          <w:rFonts w:ascii="Arial" w:hAnsi="Arial" w:cs="Arial"/>
          <w:sz w:val="22"/>
          <w:szCs w:val="22"/>
        </w:rPr>
        <w:fldChar w:fldCharType="end"/>
      </w:r>
      <w:r w:rsidR="00F35AF3">
        <w:rPr>
          <w:rFonts w:ascii="Arial" w:hAnsi="Arial" w:cs="Arial"/>
          <w:sz w:val="22"/>
          <w:szCs w:val="22"/>
        </w:rPr>
        <w:t>, however proliferation of CD8</w:t>
      </w:r>
      <w:r w:rsidR="00F35AF3" w:rsidRPr="00074BA2">
        <w:rPr>
          <w:rFonts w:ascii="Arial" w:hAnsi="Arial" w:cs="Arial"/>
          <w:sz w:val="22"/>
          <w:szCs w:val="22"/>
          <w:vertAlign w:val="superscript"/>
        </w:rPr>
        <w:t>+</w:t>
      </w:r>
      <w:r w:rsidR="00F35AF3">
        <w:rPr>
          <w:rFonts w:ascii="Arial" w:hAnsi="Arial" w:cs="Arial"/>
          <w:sz w:val="22"/>
          <w:szCs w:val="22"/>
        </w:rPr>
        <w:t xml:space="preserve"> T cells is an important surrogate markers of anti-tumor immune response (</w:t>
      </w:r>
      <w:r w:rsidR="00F35AF3" w:rsidRPr="00F35AF3">
        <w:rPr>
          <w:rFonts w:ascii="Arial" w:hAnsi="Arial" w:cs="Arial"/>
          <w:sz w:val="22"/>
          <w:szCs w:val="22"/>
          <w:highlight w:val="yellow"/>
        </w:rPr>
        <w:t>cite</w:t>
      </w:r>
      <w:r w:rsidR="00F35AF3">
        <w:rPr>
          <w:rFonts w:ascii="Arial" w:hAnsi="Arial" w:cs="Arial"/>
          <w:sz w:val="22"/>
          <w:szCs w:val="22"/>
        </w:rPr>
        <w:t>). We next examined the</w:t>
      </w:r>
      <w:r w:rsidR="0070540D">
        <w:rPr>
          <w:rFonts w:ascii="Arial" w:hAnsi="Arial" w:cs="Arial"/>
          <w:sz w:val="22"/>
          <w:szCs w:val="22"/>
        </w:rPr>
        <w:t xml:space="preserve"> </w:t>
      </w:r>
      <w:r w:rsidR="00F35AF3">
        <w:rPr>
          <w:rFonts w:ascii="Arial" w:hAnsi="Arial" w:cs="Arial"/>
          <w:sz w:val="22"/>
          <w:szCs w:val="22"/>
        </w:rPr>
        <w:t xml:space="preserve">variation in </w:t>
      </w:r>
      <w:r w:rsidR="0070540D">
        <w:rPr>
          <w:rFonts w:ascii="Arial" w:hAnsi="Arial" w:cs="Arial"/>
          <w:sz w:val="22"/>
          <w:szCs w:val="22"/>
        </w:rPr>
        <w:t>proliferative gene signatures,</w:t>
      </w:r>
      <w:r w:rsidR="00F35AF3">
        <w:rPr>
          <w:rFonts w:ascii="Arial" w:hAnsi="Arial" w:cs="Arial"/>
          <w:sz w:val="22"/>
          <w:szCs w:val="22"/>
        </w:rPr>
        <w:t xml:space="preserve"> finding</w:t>
      </w:r>
      <w:r w:rsidR="0070540D">
        <w:rPr>
          <w:rFonts w:ascii="Arial" w:hAnsi="Arial" w:cs="Arial"/>
          <w:sz w:val="22"/>
          <w:szCs w:val="22"/>
        </w:rPr>
        <w:t xml:space="preserve"> </w:t>
      </w:r>
      <w:r w:rsidR="00F35AF3">
        <w:rPr>
          <w:rFonts w:ascii="Arial" w:hAnsi="Arial" w:cs="Arial"/>
          <w:sz w:val="22"/>
          <w:szCs w:val="22"/>
        </w:rPr>
        <w:t>a similar distribution</w:t>
      </w:r>
      <w:r w:rsidR="00074BA2">
        <w:rPr>
          <w:rFonts w:ascii="Arial" w:hAnsi="Arial" w:cs="Arial"/>
          <w:sz w:val="22"/>
          <w:szCs w:val="22"/>
        </w:rPr>
        <w:t xml:space="preserve"> to the tissue-type</w:t>
      </w:r>
      <w:r w:rsidR="00F35AF3">
        <w:rPr>
          <w:rFonts w:ascii="Arial" w:hAnsi="Arial" w:cs="Arial"/>
          <w:sz w:val="22"/>
          <w:szCs w:val="22"/>
        </w:rPr>
        <w:t xml:space="preserve"> </w:t>
      </w:r>
      <w:r w:rsidR="00074BA2">
        <w:rPr>
          <w:rFonts w:ascii="Arial" w:hAnsi="Arial" w:cs="Arial"/>
          <w:sz w:val="22"/>
          <w:szCs w:val="22"/>
        </w:rPr>
        <w:t xml:space="preserve">with </w:t>
      </w:r>
      <w:r w:rsidR="00F35AF3">
        <w:rPr>
          <w:rFonts w:ascii="Arial" w:hAnsi="Arial" w:cs="Arial"/>
          <w:sz w:val="22"/>
          <w:szCs w:val="22"/>
        </w:rPr>
        <w:t>increas</w:t>
      </w:r>
      <w:r w:rsidR="00074BA2">
        <w:rPr>
          <w:rFonts w:ascii="Arial" w:hAnsi="Arial" w:cs="Arial"/>
          <w:sz w:val="22"/>
          <w:szCs w:val="22"/>
        </w:rPr>
        <w:t>ing</w:t>
      </w:r>
      <w:r w:rsidR="00F35AF3">
        <w:rPr>
          <w:rFonts w:ascii="Arial" w:hAnsi="Arial" w:cs="Arial"/>
          <w:sz w:val="22"/>
          <w:szCs w:val="22"/>
        </w:rPr>
        <w:t xml:space="preserve"> cells in </w:t>
      </w:r>
      <w:r w:rsidR="0070540D">
        <w:rPr>
          <w:rFonts w:ascii="Arial" w:hAnsi="Arial" w:cs="Arial"/>
          <w:sz w:val="22"/>
          <w:szCs w:val="22"/>
        </w:rPr>
        <w:t>S or G2M phases</w:t>
      </w:r>
      <w:r w:rsidR="00F35AF3">
        <w:rPr>
          <w:rFonts w:ascii="Arial" w:hAnsi="Arial" w:cs="Arial"/>
          <w:sz w:val="22"/>
          <w:szCs w:val="22"/>
        </w:rPr>
        <w:t xml:space="preserve"> from right to left, peaking with </w:t>
      </w:r>
      <w:r w:rsidR="009B229C">
        <w:rPr>
          <w:rFonts w:ascii="Arial" w:hAnsi="Arial" w:cs="Arial"/>
          <w:sz w:val="22"/>
          <w:szCs w:val="22"/>
        </w:rPr>
        <w:t>Cluster CD8_</w:t>
      </w:r>
      <w:r w:rsidR="00F35AF3">
        <w:rPr>
          <w:rFonts w:ascii="Arial" w:hAnsi="Arial" w:cs="Arial"/>
          <w:sz w:val="22"/>
          <w:szCs w:val="22"/>
        </w:rPr>
        <w:t>6</w:t>
      </w:r>
      <w:r w:rsidR="0070540D">
        <w:rPr>
          <w:rFonts w:ascii="Arial" w:hAnsi="Arial" w:cs="Arial"/>
          <w:sz w:val="22"/>
          <w:szCs w:val="22"/>
        </w:rPr>
        <w:t xml:space="preserve"> (Figure 3C). </w:t>
      </w:r>
    </w:p>
    <w:p w14:paraId="6676D398" w14:textId="77777777" w:rsidR="00F35AF3" w:rsidRDefault="00F35AF3" w:rsidP="00F72CA7">
      <w:pPr>
        <w:pStyle w:val="Paragraph"/>
        <w:snapToGrid w:val="0"/>
        <w:spacing w:line="480" w:lineRule="auto"/>
        <w:ind w:firstLine="0"/>
        <w:rPr>
          <w:rFonts w:ascii="Arial" w:hAnsi="Arial" w:cs="Arial"/>
          <w:sz w:val="22"/>
          <w:szCs w:val="22"/>
        </w:rPr>
      </w:pPr>
    </w:p>
    <w:p w14:paraId="7250BFC0" w14:textId="683A1CD6" w:rsidR="00F72CA7" w:rsidRPr="00853C93" w:rsidRDefault="00F35AF3" w:rsidP="00F72CA7">
      <w:pPr>
        <w:pStyle w:val="Paragraph"/>
        <w:snapToGrid w:val="0"/>
        <w:spacing w:line="480" w:lineRule="auto"/>
        <w:ind w:firstLine="0"/>
        <w:rPr>
          <w:rFonts w:ascii="Arial" w:hAnsi="Arial" w:cs="Arial"/>
          <w:sz w:val="22"/>
          <w:szCs w:val="22"/>
        </w:rPr>
      </w:pPr>
      <w:r>
        <w:rPr>
          <w:rFonts w:ascii="Arial" w:hAnsi="Arial" w:cs="Arial"/>
          <w:sz w:val="22"/>
          <w:szCs w:val="22"/>
        </w:rPr>
        <w:t>In order to better characterize the CD8</w:t>
      </w:r>
      <w:r w:rsidRPr="009B229C">
        <w:rPr>
          <w:rFonts w:ascii="Arial" w:hAnsi="Arial" w:cs="Arial"/>
          <w:sz w:val="22"/>
          <w:szCs w:val="22"/>
          <w:vertAlign w:val="superscript"/>
        </w:rPr>
        <w:t>+</w:t>
      </w:r>
      <w:r>
        <w:rPr>
          <w:rFonts w:ascii="Arial" w:hAnsi="Arial" w:cs="Arial"/>
          <w:sz w:val="22"/>
          <w:szCs w:val="22"/>
        </w:rPr>
        <w:t xml:space="preserve"> </w:t>
      </w:r>
      <w:r w:rsidR="009B229C">
        <w:rPr>
          <w:rFonts w:ascii="Arial" w:hAnsi="Arial" w:cs="Arial"/>
          <w:sz w:val="22"/>
          <w:szCs w:val="22"/>
        </w:rPr>
        <w:t>clusters</w:t>
      </w:r>
      <w:r>
        <w:rPr>
          <w:rFonts w:ascii="Arial" w:hAnsi="Arial" w:cs="Arial"/>
          <w:sz w:val="22"/>
          <w:szCs w:val="22"/>
        </w:rPr>
        <w:t>, we next used canonical and differential T cells markers to examine gene expression differences along the UMAP (Figure 2D)</w:t>
      </w:r>
      <w:r w:rsidR="009B229C">
        <w:rPr>
          <w:rFonts w:ascii="Arial" w:hAnsi="Arial" w:cs="Arial"/>
          <w:sz w:val="22"/>
          <w:szCs w:val="22"/>
        </w:rPr>
        <w:t xml:space="preserve"> with several patterns</w:t>
      </w:r>
      <w:r>
        <w:rPr>
          <w:rFonts w:ascii="Arial" w:hAnsi="Arial" w:cs="Arial"/>
          <w:sz w:val="22"/>
          <w:szCs w:val="22"/>
        </w:rPr>
        <w:t>.</w:t>
      </w:r>
      <w:r w:rsidR="009B229C">
        <w:rPr>
          <w:rFonts w:ascii="Arial" w:hAnsi="Arial" w:cs="Arial"/>
          <w:sz w:val="22"/>
          <w:szCs w:val="22"/>
        </w:rPr>
        <w:t xml:space="preserve"> The first pattern was the discovery of a naïve </w:t>
      </w:r>
      <w:r w:rsidR="009B229C" w:rsidRPr="009B229C">
        <w:rPr>
          <w:rFonts w:ascii="Arial" w:hAnsi="Arial" w:cs="Arial"/>
          <w:i/>
          <w:iCs/>
          <w:sz w:val="22"/>
          <w:szCs w:val="22"/>
        </w:rPr>
        <w:t>CCR7</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SELL</w:t>
      </w:r>
      <w:r w:rsidR="009B229C" w:rsidRPr="009B229C">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TCF7</w:t>
      </w:r>
      <w:r w:rsidR="009B229C" w:rsidRPr="009B229C">
        <w:rPr>
          <w:rFonts w:ascii="Arial" w:hAnsi="Arial" w:cs="Arial"/>
          <w:sz w:val="22"/>
          <w:szCs w:val="22"/>
          <w:vertAlign w:val="superscript"/>
        </w:rPr>
        <w:t>+</w:t>
      </w:r>
      <w:r w:rsidR="009B229C">
        <w:rPr>
          <w:rFonts w:ascii="Arial" w:hAnsi="Arial" w:cs="Arial"/>
          <w:sz w:val="22"/>
          <w:szCs w:val="22"/>
        </w:rPr>
        <w:t xml:space="preserve"> being seen in CD8_4 (Figure 2D). Looking for effector CD8</w:t>
      </w:r>
      <w:r w:rsidR="009B229C" w:rsidRPr="009B229C">
        <w:rPr>
          <w:rFonts w:ascii="Arial" w:hAnsi="Arial" w:cs="Arial"/>
          <w:sz w:val="22"/>
          <w:szCs w:val="22"/>
          <w:vertAlign w:val="superscript"/>
        </w:rPr>
        <w:t>+</w:t>
      </w:r>
      <w:r w:rsidR="009B229C">
        <w:rPr>
          <w:rFonts w:ascii="Arial" w:hAnsi="Arial" w:cs="Arial"/>
          <w:sz w:val="22"/>
          <w:szCs w:val="22"/>
        </w:rPr>
        <w:t xml:space="preserve"> T cells, we next observed two populations of </w:t>
      </w:r>
      <w:r w:rsidR="009B229C" w:rsidRPr="009B229C">
        <w:rPr>
          <w:rFonts w:ascii="Arial" w:hAnsi="Arial" w:cs="Arial"/>
          <w:i/>
          <w:iCs/>
          <w:sz w:val="22"/>
          <w:szCs w:val="22"/>
        </w:rPr>
        <w:t>IFNG</w:t>
      </w:r>
      <w:r w:rsidR="009B229C" w:rsidRPr="00074BA2">
        <w:rPr>
          <w:rFonts w:ascii="Arial" w:hAnsi="Arial" w:cs="Arial"/>
          <w:sz w:val="22"/>
          <w:szCs w:val="22"/>
          <w:vertAlign w:val="superscript"/>
        </w:rPr>
        <w:t>+</w:t>
      </w:r>
      <w:r w:rsidR="009B229C">
        <w:rPr>
          <w:rFonts w:ascii="Arial" w:hAnsi="Arial" w:cs="Arial"/>
          <w:sz w:val="22"/>
          <w:szCs w:val="22"/>
        </w:rPr>
        <w:t xml:space="preserve"> </w:t>
      </w:r>
      <w:r w:rsidR="009B229C" w:rsidRPr="009B229C">
        <w:rPr>
          <w:rFonts w:ascii="Arial" w:hAnsi="Arial" w:cs="Arial"/>
          <w:i/>
          <w:iCs/>
          <w:sz w:val="22"/>
          <w:szCs w:val="22"/>
        </w:rPr>
        <w:t>PRF1</w:t>
      </w:r>
      <w:r w:rsidR="009B229C" w:rsidRPr="00074BA2">
        <w:rPr>
          <w:rFonts w:ascii="Arial" w:hAnsi="Arial" w:cs="Arial"/>
          <w:sz w:val="22"/>
          <w:szCs w:val="22"/>
          <w:vertAlign w:val="superscript"/>
        </w:rPr>
        <w:t>+</w:t>
      </w:r>
      <w:r w:rsidR="009B229C">
        <w:rPr>
          <w:rFonts w:ascii="Arial" w:hAnsi="Arial" w:cs="Arial"/>
          <w:sz w:val="22"/>
          <w:szCs w:val="22"/>
        </w:rPr>
        <w:t xml:space="preserve"> T cells, principally in CD8_1 and CD8_0 (Figure 2D). The latter also expressed negative immune checkpoint, such as </w:t>
      </w:r>
      <w:r w:rsidR="009B229C" w:rsidRPr="009B229C">
        <w:rPr>
          <w:rFonts w:ascii="Arial" w:hAnsi="Arial" w:cs="Arial"/>
          <w:i/>
          <w:iCs/>
          <w:sz w:val="22"/>
          <w:szCs w:val="22"/>
        </w:rPr>
        <w:t>CTLA4</w:t>
      </w:r>
      <w:r w:rsidR="009B229C">
        <w:rPr>
          <w:rFonts w:ascii="Arial" w:hAnsi="Arial" w:cs="Arial"/>
          <w:sz w:val="22"/>
          <w:szCs w:val="22"/>
        </w:rPr>
        <w:t xml:space="preserve">, </w:t>
      </w:r>
      <w:r w:rsidR="009B229C" w:rsidRPr="009B229C">
        <w:rPr>
          <w:rFonts w:ascii="Arial" w:hAnsi="Arial" w:cs="Arial"/>
          <w:i/>
          <w:iCs/>
          <w:sz w:val="22"/>
          <w:szCs w:val="22"/>
        </w:rPr>
        <w:t>HAVCR2</w:t>
      </w:r>
      <w:r w:rsidR="009B229C">
        <w:rPr>
          <w:rFonts w:ascii="Arial" w:hAnsi="Arial" w:cs="Arial"/>
          <w:sz w:val="22"/>
          <w:szCs w:val="22"/>
        </w:rPr>
        <w:t xml:space="preserve">, </w:t>
      </w:r>
      <w:r w:rsidR="009B229C" w:rsidRPr="009B229C">
        <w:rPr>
          <w:rFonts w:ascii="Arial" w:hAnsi="Arial" w:cs="Arial"/>
          <w:i/>
          <w:iCs/>
          <w:sz w:val="22"/>
          <w:szCs w:val="22"/>
        </w:rPr>
        <w:t>PDCD1</w:t>
      </w:r>
      <w:r w:rsidR="009B229C">
        <w:rPr>
          <w:rFonts w:ascii="Arial" w:hAnsi="Arial" w:cs="Arial"/>
          <w:sz w:val="22"/>
          <w:szCs w:val="22"/>
        </w:rPr>
        <w:t xml:space="preserve">, and </w:t>
      </w:r>
      <w:r w:rsidR="009B229C" w:rsidRPr="009B229C">
        <w:rPr>
          <w:rFonts w:ascii="Arial" w:hAnsi="Arial" w:cs="Arial"/>
          <w:i/>
          <w:iCs/>
          <w:sz w:val="22"/>
          <w:szCs w:val="22"/>
        </w:rPr>
        <w:t>TIGIT</w:t>
      </w:r>
      <w:r w:rsidR="009B229C">
        <w:rPr>
          <w:rFonts w:ascii="Arial" w:hAnsi="Arial" w:cs="Arial"/>
          <w:sz w:val="22"/>
          <w:szCs w:val="22"/>
        </w:rPr>
        <w:t xml:space="preserve"> (Figure 2D). These negative immune checkpoints were expressed at more moderate levels in both CD8_5 and CD8_6, however, CD8_6 exclusively expressed a number of proliferation markers, such as </w:t>
      </w:r>
      <w:r w:rsidR="009B229C" w:rsidRPr="009B229C">
        <w:rPr>
          <w:rFonts w:ascii="Arial" w:hAnsi="Arial" w:cs="Arial"/>
          <w:i/>
          <w:iCs/>
          <w:sz w:val="22"/>
          <w:szCs w:val="22"/>
        </w:rPr>
        <w:t>CDK1</w:t>
      </w:r>
      <w:r w:rsidR="009B229C">
        <w:rPr>
          <w:rFonts w:ascii="Arial" w:hAnsi="Arial" w:cs="Arial"/>
          <w:sz w:val="22"/>
          <w:szCs w:val="22"/>
        </w:rPr>
        <w:t xml:space="preserve">, </w:t>
      </w:r>
      <w:r w:rsidR="009B229C" w:rsidRPr="009B229C">
        <w:rPr>
          <w:rFonts w:ascii="Arial" w:hAnsi="Arial" w:cs="Arial"/>
          <w:i/>
          <w:iCs/>
          <w:sz w:val="22"/>
          <w:szCs w:val="22"/>
        </w:rPr>
        <w:t>MKI67</w:t>
      </w:r>
      <w:r w:rsidR="009B229C">
        <w:rPr>
          <w:rFonts w:ascii="Arial" w:hAnsi="Arial" w:cs="Arial"/>
          <w:sz w:val="22"/>
          <w:szCs w:val="22"/>
        </w:rPr>
        <w:t xml:space="preserve">, </w:t>
      </w:r>
      <w:r w:rsidR="009B229C" w:rsidRPr="009B229C">
        <w:rPr>
          <w:rFonts w:ascii="Arial" w:hAnsi="Arial" w:cs="Arial"/>
          <w:i/>
          <w:iCs/>
          <w:sz w:val="22"/>
          <w:szCs w:val="22"/>
        </w:rPr>
        <w:t>STMN1</w:t>
      </w:r>
      <w:r w:rsidR="009B229C">
        <w:rPr>
          <w:rFonts w:ascii="Arial" w:hAnsi="Arial" w:cs="Arial"/>
          <w:sz w:val="22"/>
          <w:szCs w:val="22"/>
        </w:rPr>
        <w:t xml:space="preserve">, and </w:t>
      </w:r>
      <w:r w:rsidR="009B229C" w:rsidRPr="009B229C">
        <w:rPr>
          <w:rFonts w:ascii="Arial" w:hAnsi="Arial" w:cs="Arial"/>
          <w:i/>
          <w:iCs/>
          <w:sz w:val="22"/>
          <w:szCs w:val="22"/>
        </w:rPr>
        <w:t xml:space="preserve">TOP2A </w:t>
      </w:r>
      <w:r w:rsidR="009B229C">
        <w:rPr>
          <w:rFonts w:ascii="Arial" w:hAnsi="Arial" w:cs="Arial"/>
          <w:sz w:val="22"/>
          <w:szCs w:val="22"/>
        </w:rPr>
        <w:t>(Figure 2D).</w:t>
      </w:r>
      <w:r w:rsidR="00974483">
        <w:rPr>
          <w:rFonts w:ascii="Arial" w:hAnsi="Arial" w:cs="Arial"/>
          <w:sz w:val="22"/>
          <w:szCs w:val="22"/>
        </w:rPr>
        <w:t xml:space="preserve"> In order to examine gene expression patterns above single or selected genes, we used slingshot </w:t>
      </w:r>
      <w:r w:rsidR="00974483">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974483">
        <w:rPr>
          <w:rFonts w:ascii="Arial" w:hAnsi="Arial" w:cs="Arial"/>
          <w:sz w:val="22"/>
          <w:szCs w:val="22"/>
        </w:rPr>
        <w:fldChar w:fldCharType="separate"/>
      </w:r>
      <w:r w:rsidR="00974483" w:rsidRPr="00974483">
        <w:rPr>
          <w:rFonts w:ascii="Arial" w:hAnsi="Arial" w:cs="Arial"/>
          <w:noProof/>
          <w:sz w:val="22"/>
          <w:szCs w:val="22"/>
        </w:rPr>
        <w:t>(32)</w:t>
      </w:r>
      <w:r w:rsidR="00974483">
        <w:rPr>
          <w:rFonts w:ascii="Arial" w:hAnsi="Arial" w:cs="Arial"/>
          <w:sz w:val="22"/>
          <w:szCs w:val="22"/>
        </w:rPr>
        <w:fldChar w:fldCharType="end"/>
      </w:r>
      <w:r w:rsidR="00974483">
        <w:rPr>
          <w:rFonts w:ascii="Arial" w:hAnsi="Arial" w:cs="Arial"/>
          <w:sz w:val="22"/>
          <w:szCs w:val="22"/>
        </w:rPr>
        <w:t xml:space="preserve"> to building minimum spanning trees between clusters, generating curves based on the most varied genes (Figure 2E). We identified 5 distinct curves (labeled B</w:t>
      </w:r>
      <w:r w:rsidR="00974483">
        <w:rPr>
          <w:rFonts w:ascii="Arial" w:hAnsi="Arial" w:cs="Arial"/>
          <w:sz w:val="22"/>
          <w:szCs w:val="22"/>
          <w:vertAlign w:val="subscript"/>
        </w:rPr>
        <w:t>1</w:t>
      </w:r>
      <w:r w:rsidR="00974483">
        <w:rPr>
          <w:rFonts w:ascii="Arial" w:hAnsi="Arial" w:cs="Arial"/>
          <w:sz w:val="22"/>
          <w:szCs w:val="22"/>
        </w:rPr>
        <w:t xml:space="preserve"> to B</w:t>
      </w:r>
      <w:r w:rsidR="00974483">
        <w:rPr>
          <w:rFonts w:ascii="Arial" w:hAnsi="Arial" w:cs="Arial"/>
          <w:sz w:val="22"/>
          <w:szCs w:val="22"/>
          <w:vertAlign w:val="subscript"/>
        </w:rPr>
        <w:t>5</w:t>
      </w:r>
      <w:r w:rsidR="00974483">
        <w:rPr>
          <w:rFonts w:ascii="Arial" w:hAnsi="Arial" w:cs="Arial"/>
          <w:sz w:val="22"/>
          <w:szCs w:val="22"/>
        </w:rPr>
        <w:t xml:space="preserve">) with the origin in the </w:t>
      </w:r>
      <w:r w:rsidR="00974483" w:rsidRPr="009B229C">
        <w:rPr>
          <w:rFonts w:ascii="Arial" w:hAnsi="Arial" w:cs="Arial"/>
          <w:i/>
          <w:iCs/>
          <w:sz w:val="22"/>
          <w:szCs w:val="22"/>
        </w:rPr>
        <w:t>CCR7</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SELL</w:t>
      </w:r>
      <w:r w:rsidR="00974483" w:rsidRPr="009B229C">
        <w:rPr>
          <w:rFonts w:ascii="Arial" w:hAnsi="Arial" w:cs="Arial"/>
          <w:sz w:val="22"/>
          <w:szCs w:val="22"/>
          <w:vertAlign w:val="superscript"/>
        </w:rPr>
        <w:t>+</w:t>
      </w:r>
      <w:r w:rsidR="00974483">
        <w:rPr>
          <w:rFonts w:ascii="Arial" w:hAnsi="Arial" w:cs="Arial"/>
          <w:sz w:val="22"/>
          <w:szCs w:val="22"/>
        </w:rPr>
        <w:t xml:space="preserve"> </w:t>
      </w:r>
      <w:r w:rsidR="00974483" w:rsidRPr="009B229C">
        <w:rPr>
          <w:rFonts w:ascii="Arial" w:hAnsi="Arial" w:cs="Arial"/>
          <w:i/>
          <w:iCs/>
          <w:sz w:val="22"/>
          <w:szCs w:val="22"/>
        </w:rPr>
        <w:t>TCF7</w:t>
      </w:r>
      <w:r w:rsidR="00974483" w:rsidRPr="009B229C">
        <w:rPr>
          <w:rFonts w:ascii="Arial" w:hAnsi="Arial" w:cs="Arial"/>
          <w:sz w:val="22"/>
          <w:szCs w:val="22"/>
          <w:vertAlign w:val="superscript"/>
        </w:rPr>
        <w:t>+</w:t>
      </w:r>
      <w:r w:rsidR="00974483">
        <w:rPr>
          <w:rFonts w:ascii="Arial" w:hAnsi="Arial" w:cs="Arial"/>
          <w:sz w:val="22"/>
          <w:szCs w:val="22"/>
        </w:rPr>
        <w:t xml:space="preserve"> CD8_4. With the exception of B1 extending into CD8_2, the remining curves </w:t>
      </w:r>
      <w:r w:rsidR="009060F7">
        <w:rPr>
          <w:rFonts w:ascii="Arial" w:hAnsi="Arial" w:cs="Arial"/>
          <w:sz w:val="22"/>
          <w:szCs w:val="22"/>
        </w:rPr>
        <w:t xml:space="preserve">graphed along a similar trajectory </w:t>
      </w:r>
      <w:r w:rsidR="00074BA2">
        <w:rPr>
          <w:rFonts w:ascii="Arial" w:hAnsi="Arial" w:cs="Arial"/>
          <w:sz w:val="22"/>
          <w:szCs w:val="22"/>
        </w:rPr>
        <w:t xml:space="preserve">with a common node of CD8_1 and </w:t>
      </w:r>
      <w:r w:rsidR="009060F7">
        <w:rPr>
          <w:rFonts w:ascii="Arial" w:hAnsi="Arial" w:cs="Arial"/>
          <w:sz w:val="22"/>
          <w:szCs w:val="22"/>
        </w:rPr>
        <w:t>branching at distinct clusters with increased levels of tumor-infiltrating CD8</w:t>
      </w:r>
      <w:r w:rsidR="009060F7" w:rsidRPr="009060F7">
        <w:rPr>
          <w:rFonts w:ascii="Arial" w:hAnsi="Arial" w:cs="Arial"/>
          <w:sz w:val="22"/>
          <w:szCs w:val="22"/>
          <w:vertAlign w:val="superscript"/>
        </w:rPr>
        <w:t>+</w:t>
      </w:r>
      <w:r w:rsidR="009060F7">
        <w:rPr>
          <w:rFonts w:ascii="Arial" w:hAnsi="Arial" w:cs="Arial"/>
          <w:sz w:val="22"/>
          <w:szCs w:val="22"/>
        </w:rPr>
        <w:t xml:space="preserve"> T cells (Figure 2E). Although based on gene expression, these curves also </w:t>
      </w:r>
      <w:r w:rsidR="009060F7">
        <w:rPr>
          <w:rFonts w:ascii="Arial" w:hAnsi="Arial" w:cs="Arial"/>
          <w:sz w:val="22"/>
          <w:szCs w:val="22"/>
        </w:rPr>
        <w:lastRenderedPageBreak/>
        <w:t>varied by CD8</w:t>
      </w:r>
      <w:r w:rsidR="009060F7">
        <w:rPr>
          <w:rFonts w:ascii="Arial" w:hAnsi="Arial" w:cs="Arial"/>
          <w:sz w:val="22"/>
          <w:szCs w:val="22"/>
          <w:vertAlign w:val="superscript"/>
        </w:rPr>
        <w:t>+</w:t>
      </w:r>
      <w:r w:rsidR="009060F7">
        <w:rPr>
          <w:rFonts w:ascii="Arial" w:hAnsi="Arial" w:cs="Arial"/>
          <w:sz w:val="22"/>
          <w:szCs w:val="22"/>
        </w:rPr>
        <w:t xml:space="preserve"> clonotypes based on TCR sequencing, with the root having no clonal expansion and the B</w:t>
      </w:r>
      <w:r w:rsidR="009060F7" w:rsidRPr="009060F7">
        <w:rPr>
          <w:rFonts w:ascii="Arial" w:hAnsi="Arial" w:cs="Arial"/>
          <w:sz w:val="22"/>
          <w:szCs w:val="22"/>
          <w:vertAlign w:val="subscript"/>
        </w:rPr>
        <w:t>3</w:t>
      </w:r>
      <w:r w:rsidR="009060F7">
        <w:rPr>
          <w:rFonts w:ascii="Arial" w:hAnsi="Arial" w:cs="Arial"/>
          <w:sz w:val="22"/>
          <w:szCs w:val="22"/>
        </w:rPr>
        <w:t>, B</w:t>
      </w:r>
      <w:r w:rsidR="009060F7" w:rsidRPr="009060F7">
        <w:rPr>
          <w:rFonts w:ascii="Arial" w:hAnsi="Arial" w:cs="Arial"/>
          <w:sz w:val="22"/>
          <w:szCs w:val="22"/>
          <w:vertAlign w:val="subscript"/>
        </w:rPr>
        <w:t>4</w:t>
      </w:r>
      <w:r w:rsidR="009060F7">
        <w:rPr>
          <w:rFonts w:ascii="Arial" w:hAnsi="Arial" w:cs="Arial"/>
          <w:sz w:val="22"/>
          <w:szCs w:val="22"/>
        </w:rPr>
        <w:t xml:space="preserve"> and B</w:t>
      </w:r>
      <w:r w:rsidR="009060F7" w:rsidRPr="009060F7">
        <w:rPr>
          <w:rFonts w:ascii="Arial" w:hAnsi="Arial" w:cs="Arial"/>
          <w:sz w:val="22"/>
          <w:szCs w:val="22"/>
          <w:vertAlign w:val="subscript"/>
        </w:rPr>
        <w:t>5</w:t>
      </w:r>
      <w:r w:rsidR="009060F7">
        <w:rPr>
          <w:rFonts w:ascii="Arial" w:hAnsi="Arial" w:cs="Arial"/>
          <w:sz w:val="22"/>
          <w:szCs w:val="22"/>
        </w:rPr>
        <w:t xml:space="preserve"> curves terminating into regions with higher levels of clonal expansion compared to B</w:t>
      </w:r>
      <w:r w:rsidR="009060F7" w:rsidRPr="009060F7">
        <w:rPr>
          <w:rFonts w:ascii="Arial" w:hAnsi="Arial" w:cs="Arial"/>
          <w:sz w:val="22"/>
          <w:szCs w:val="22"/>
          <w:vertAlign w:val="subscript"/>
        </w:rPr>
        <w:t>1</w:t>
      </w:r>
      <w:r w:rsidR="009060F7">
        <w:rPr>
          <w:rFonts w:ascii="Arial" w:hAnsi="Arial" w:cs="Arial"/>
          <w:sz w:val="22"/>
          <w:szCs w:val="22"/>
        </w:rPr>
        <w:t xml:space="preserve"> or B</w:t>
      </w:r>
      <w:r w:rsidR="009060F7" w:rsidRPr="009060F7">
        <w:rPr>
          <w:rFonts w:ascii="Arial" w:hAnsi="Arial" w:cs="Arial"/>
          <w:sz w:val="22"/>
          <w:szCs w:val="22"/>
          <w:vertAlign w:val="subscript"/>
        </w:rPr>
        <w:t>3</w:t>
      </w:r>
      <w:r w:rsidR="009060F7">
        <w:rPr>
          <w:rFonts w:ascii="Arial" w:hAnsi="Arial" w:cs="Arial"/>
          <w:sz w:val="22"/>
          <w:szCs w:val="22"/>
          <w:vertAlign w:val="subscript"/>
        </w:rPr>
        <w:t xml:space="preserve"> </w:t>
      </w:r>
      <w:r w:rsidR="009060F7">
        <w:rPr>
          <w:rFonts w:ascii="Arial" w:hAnsi="Arial" w:cs="Arial"/>
          <w:sz w:val="22"/>
          <w:szCs w:val="22"/>
        </w:rPr>
        <w:t>(Figure 2E).</w:t>
      </w:r>
      <w:r w:rsidR="00DE7274">
        <w:rPr>
          <w:rFonts w:ascii="Arial" w:hAnsi="Arial" w:cs="Arial"/>
          <w:sz w:val="22"/>
          <w:szCs w:val="22"/>
        </w:rPr>
        <w:t xml:space="preserve"> This clonotype relationship was also observed in specific clonotype sequences (nucleotide and TCR genes) with overlapping clonotypes seen in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CD8_0, CD8_6, CD8_5 and CD8_3 (Figure 2F). In contrast, CD8_7 had minimal </w:t>
      </w:r>
      <w:proofErr w:type="spellStart"/>
      <w:r w:rsidR="00DE7274">
        <w:rPr>
          <w:rFonts w:ascii="Arial" w:hAnsi="Arial" w:cs="Arial"/>
          <w:sz w:val="22"/>
          <w:szCs w:val="22"/>
        </w:rPr>
        <w:t>overlaping</w:t>
      </w:r>
      <w:proofErr w:type="spellEnd"/>
      <w:r w:rsidR="00DE7274">
        <w:rPr>
          <w:rFonts w:ascii="Arial" w:hAnsi="Arial" w:cs="Arial"/>
          <w:sz w:val="22"/>
          <w:szCs w:val="22"/>
        </w:rPr>
        <w:t xml:space="preserve"> clonotypes with other </w:t>
      </w:r>
      <w:proofErr w:type="spellStart"/>
      <w:r w:rsidR="00DE7274">
        <w:rPr>
          <w:rFonts w:ascii="Arial" w:hAnsi="Arial" w:cs="Arial"/>
          <w:sz w:val="22"/>
          <w:szCs w:val="22"/>
        </w:rPr>
        <w:t>subclusters</w:t>
      </w:r>
      <w:proofErr w:type="spellEnd"/>
      <w:r w:rsidR="00DE7274">
        <w:rPr>
          <w:rFonts w:ascii="Arial" w:hAnsi="Arial" w:cs="Arial"/>
          <w:sz w:val="22"/>
          <w:szCs w:val="22"/>
        </w:rPr>
        <w:t xml:space="preserve"> (Figure 2F).</w:t>
      </w:r>
      <w:r w:rsidR="009060F7">
        <w:rPr>
          <w:rFonts w:ascii="Arial" w:hAnsi="Arial" w:cs="Arial"/>
          <w:sz w:val="22"/>
          <w:szCs w:val="22"/>
        </w:rPr>
        <w:t xml:space="preserve"> In order to assess possible functional differences based on these branching, we performed gene set enrichment analysis (Figure 2</w:t>
      </w:r>
      <w:r w:rsidR="00DE7274">
        <w:rPr>
          <w:rFonts w:ascii="Arial" w:hAnsi="Arial" w:cs="Arial"/>
          <w:sz w:val="22"/>
          <w:szCs w:val="22"/>
        </w:rPr>
        <w:t>G</w:t>
      </w:r>
      <w:r w:rsidR="009060F7">
        <w:rPr>
          <w:rFonts w:ascii="Arial" w:hAnsi="Arial" w:cs="Arial"/>
          <w:sz w:val="22"/>
          <w:szCs w:val="22"/>
        </w:rPr>
        <w:t xml:space="preserve">). </w:t>
      </w:r>
      <w:r w:rsidR="009D0802">
        <w:rPr>
          <w:rFonts w:ascii="Arial" w:hAnsi="Arial" w:cs="Arial"/>
          <w:sz w:val="22"/>
          <w:szCs w:val="22"/>
        </w:rPr>
        <w:t xml:space="preserve">As expected based on the immune checkpoint inhibitors expression, </w:t>
      </w:r>
      <w:r w:rsidR="009060F7">
        <w:rPr>
          <w:rFonts w:ascii="Arial" w:hAnsi="Arial" w:cs="Arial"/>
          <w:sz w:val="22"/>
          <w:szCs w:val="22"/>
        </w:rPr>
        <w:t xml:space="preserve">Clusters CD8_0 and CD8_5 showed increased terminal differentiation and </w:t>
      </w:r>
      <w:r w:rsidR="009D0802">
        <w:rPr>
          <w:rFonts w:ascii="Arial" w:hAnsi="Arial" w:cs="Arial"/>
          <w:sz w:val="22"/>
          <w:szCs w:val="22"/>
        </w:rPr>
        <w:t>exhaustion (Figure 2</w:t>
      </w:r>
      <w:r w:rsidR="00DE7274">
        <w:rPr>
          <w:rFonts w:ascii="Arial" w:hAnsi="Arial" w:cs="Arial"/>
          <w:sz w:val="22"/>
          <w:szCs w:val="22"/>
        </w:rPr>
        <w:t>G</w:t>
      </w:r>
      <w:r w:rsidR="009D0802">
        <w:rPr>
          <w:rFonts w:ascii="Arial" w:hAnsi="Arial" w:cs="Arial"/>
          <w:sz w:val="22"/>
          <w:szCs w:val="22"/>
        </w:rPr>
        <w:t>). Cytolytic gene enrichment was seen in CD8_1, the PRF1</w:t>
      </w:r>
      <w:r w:rsidR="009D0802" w:rsidRPr="009D0802">
        <w:rPr>
          <w:rFonts w:ascii="Arial" w:hAnsi="Arial" w:cs="Arial"/>
          <w:sz w:val="22"/>
          <w:szCs w:val="22"/>
          <w:vertAlign w:val="superscript"/>
        </w:rPr>
        <w:t>+</w:t>
      </w:r>
      <w:r w:rsidR="009D0802">
        <w:rPr>
          <w:rFonts w:ascii="Arial" w:hAnsi="Arial" w:cs="Arial"/>
          <w:sz w:val="22"/>
          <w:szCs w:val="22"/>
        </w:rPr>
        <w:t xml:space="preserve"> IFNG</w:t>
      </w:r>
      <w:r w:rsidR="009D0802" w:rsidRPr="009D0802">
        <w:rPr>
          <w:rFonts w:ascii="Arial" w:hAnsi="Arial" w:cs="Arial"/>
          <w:sz w:val="22"/>
          <w:szCs w:val="22"/>
          <w:vertAlign w:val="superscript"/>
        </w:rPr>
        <w:t xml:space="preserve">+ </w:t>
      </w:r>
      <w:r w:rsidR="009D0802">
        <w:rPr>
          <w:rFonts w:ascii="Arial" w:hAnsi="Arial" w:cs="Arial"/>
          <w:sz w:val="22"/>
          <w:szCs w:val="22"/>
        </w:rPr>
        <w:t>population lacking immune checkpoints (Figure 2</w:t>
      </w:r>
      <w:r w:rsidR="00DE7274">
        <w:rPr>
          <w:rFonts w:ascii="Arial" w:hAnsi="Arial" w:cs="Arial"/>
          <w:sz w:val="22"/>
          <w:szCs w:val="22"/>
        </w:rPr>
        <w:t>G</w:t>
      </w:r>
      <w:r w:rsidR="009D0802">
        <w:rPr>
          <w:rFonts w:ascii="Arial" w:hAnsi="Arial" w:cs="Arial"/>
          <w:sz w:val="22"/>
          <w:szCs w:val="22"/>
        </w:rPr>
        <w:t>). The highly proliferative CD8_6 population was enriched for metabolic activity, such as the tricarboxylic acid cycle and glycolysis, and DNA repair</w:t>
      </w:r>
      <w:r w:rsidR="00EE5773">
        <w:rPr>
          <w:rFonts w:ascii="Arial" w:hAnsi="Arial" w:cs="Arial"/>
          <w:sz w:val="22"/>
          <w:szCs w:val="22"/>
        </w:rPr>
        <w:t xml:space="preserve"> (Figure 2</w:t>
      </w:r>
      <w:r w:rsidR="00DE7274">
        <w:rPr>
          <w:rFonts w:ascii="Arial" w:hAnsi="Arial" w:cs="Arial"/>
          <w:sz w:val="22"/>
          <w:szCs w:val="22"/>
        </w:rPr>
        <w:t>G</w:t>
      </w:r>
      <w:r w:rsidR="00EE5773">
        <w:rPr>
          <w:rFonts w:ascii="Arial" w:hAnsi="Arial" w:cs="Arial"/>
          <w:sz w:val="22"/>
          <w:szCs w:val="22"/>
        </w:rPr>
        <w:t>)</w:t>
      </w:r>
      <w:r w:rsidR="009D0802">
        <w:rPr>
          <w:rFonts w:ascii="Arial" w:hAnsi="Arial" w:cs="Arial"/>
          <w:sz w:val="22"/>
          <w:szCs w:val="22"/>
        </w:rPr>
        <w:t>. The B</w:t>
      </w:r>
      <w:r w:rsidR="009D0802" w:rsidRPr="009D0802">
        <w:rPr>
          <w:rFonts w:ascii="Arial" w:hAnsi="Arial" w:cs="Arial"/>
          <w:sz w:val="22"/>
          <w:szCs w:val="22"/>
          <w:vertAlign w:val="subscript"/>
        </w:rPr>
        <w:t>2</w:t>
      </w:r>
      <w:r w:rsidR="009D0802">
        <w:rPr>
          <w:rFonts w:ascii="Arial" w:hAnsi="Arial" w:cs="Arial"/>
          <w:sz w:val="22"/>
          <w:szCs w:val="22"/>
        </w:rPr>
        <w:t xml:space="preserve"> curve termination cluster, CD8_2, has preferential enrichment of cytokine signaling, such as IL-2/STAT5, TGFβ, and </w:t>
      </w:r>
      <w:r w:rsidR="00EE5773">
        <w:rPr>
          <w:rFonts w:ascii="Arial" w:hAnsi="Arial" w:cs="Arial"/>
          <w:sz w:val="22"/>
          <w:szCs w:val="22"/>
        </w:rPr>
        <w:t>t</w:t>
      </w:r>
      <w:r w:rsidR="009D0802">
        <w:rPr>
          <w:rFonts w:ascii="Arial" w:hAnsi="Arial" w:cs="Arial"/>
          <w:sz w:val="22"/>
          <w:szCs w:val="22"/>
        </w:rPr>
        <w:t>ype 1 interferons (Figure 2</w:t>
      </w:r>
      <w:r w:rsidR="00DE7274">
        <w:rPr>
          <w:rFonts w:ascii="Arial" w:hAnsi="Arial" w:cs="Arial"/>
          <w:sz w:val="22"/>
          <w:szCs w:val="22"/>
        </w:rPr>
        <w:t>H</w:t>
      </w:r>
      <w:r w:rsidR="009D0802">
        <w:rPr>
          <w:rFonts w:ascii="Arial" w:hAnsi="Arial" w:cs="Arial"/>
          <w:sz w:val="22"/>
          <w:szCs w:val="22"/>
        </w:rPr>
        <w:t xml:space="preserve">). </w:t>
      </w:r>
      <w:r w:rsidR="00853C93">
        <w:rPr>
          <w:rFonts w:ascii="Arial" w:hAnsi="Arial" w:cs="Arial"/>
          <w:sz w:val="22"/>
          <w:szCs w:val="22"/>
        </w:rPr>
        <w:t>With immune checkpoint inhibitor responsiveness associated with distinct CD8</w:t>
      </w:r>
      <w:r w:rsidR="00853C93" w:rsidRPr="0068587F">
        <w:rPr>
          <w:rFonts w:ascii="Arial" w:hAnsi="Arial" w:cs="Arial"/>
          <w:sz w:val="22"/>
          <w:szCs w:val="22"/>
          <w:vertAlign w:val="superscript"/>
        </w:rPr>
        <w:t>+</w:t>
      </w:r>
      <w:r w:rsidR="00853C93">
        <w:rPr>
          <w:rFonts w:ascii="Arial" w:hAnsi="Arial" w:cs="Arial"/>
          <w:sz w:val="22"/>
          <w:szCs w:val="22"/>
        </w:rPr>
        <w:t xml:space="preserve"> T cell populations </w:t>
      </w:r>
      <w:r w:rsidR="00853C9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853C93">
        <w:rPr>
          <w:rFonts w:ascii="Arial" w:hAnsi="Arial" w:cs="Arial"/>
          <w:sz w:val="22"/>
          <w:szCs w:val="22"/>
        </w:rPr>
        <w:fldChar w:fldCharType="separate"/>
      </w:r>
      <w:r w:rsidR="00853C93" w:rsidRPr="00853C93">
        <w:rPr>
          <w:rFonts w:ascii="Arial" w:hAnsi="Arial" w:cs="Arial"/>
          <w:noProof/>
          <w:sz w:val="22"/>
          <w:szCs w:val="22"/>
        </w:rPr>
        <w:t>(20)</w:t>
      </w:r>
      <w:r w:rsidR="00853C93">
        <w:rPr>
          <w:rFonts w:ascii="Arial" w:hAnsi="Arial" w:cs="Arial"/>
          <w:sz w:val="22"/>
          <w:szCs w:val="22"/>
        </w:rPr>
        <w:fldChar w:fldCharType="end"/>
      </w:r>
      <w:r w:rsidR="00853C93">
        <w:rPr>
          <w:rFonts w:ascii="Arial" w:hAnsi="Arial" w:cs="Arial"/>
          <w:sz w:val="22"/>
          <w:szCs w:val="22"/>
        </w:rPr>
        <w:t>, we next examined enrichment of signatures associated with response or nonresponse to anti-PD-1 therapies (Figure 2</w:t>
      </w:r>
      <w:r w:rsidR="00DE7274">
        <w:rPr>
          <w:rFonts w:ascii="Arial" w:hAnsi="Arial" w:cs="Arial"/>
          <w:sz w:val="22"/>
          <w:szCs w:val="22"/>
        </w:rPr>
        <w:t>H</w:t>
      </w:r>
      <w:r w:rsidR="00853C93">
        <w:rPr>
          <w:rFonts w:ascii="Arial" w:hAnsi="Arial" w:cs="Arial"/>
          <w:sz w:val="22"/>
          <w:szCs w:val="22"/>
        </w:rPr>
        <w:t xml:space="preserve">). </w:t>
      </w:r>
      <w:r w:rsidR="00EE5773">
        <w:rPr>
          <w:rFonts w:ascii="Arial" w:hAnsi="Arial" w:cs="Arial"/>
          <w:sz w:val="22"/>
          <w:szCs w:val="22"/>
        </w:rPr>
        <w:t>Using the ordinal construction of the trajectories, we created a pseudotime variable for cells</w:t>
      </w:r>
      <w:r w:rsidR="00853C93">
        <w:rPr>
          <w:rFonts w:ascii="Arial" w:hAnsi="Arial" w:cs="Arial"/>
          <w:sz w:val="22"/>
          <w:szCs w:val="22"/>
        </w:rPr>
        <w:t>, allowing us to see the difference in the enrichment along the curves. This approach allowed us to see an overall enrichment in responsiveness to anti-PD-1 at the terminal points of B</w:t>
      </w:r>
      <w:r w:rsidR="00853C93" w:rsidRPr="00CF33B7">
        <w:rPr>
          <w:rFonts w:ascii="Arial" w:hAnsi="Arial" w:cs="Arial"/>
          <w:sz w:val="22"/>
          <w:szCs w:val="22"/>
          <w:vertAlign w:val="subscript"/>
        </w:rPr>
        <w:t>2</w:t>
      </w:r>
      <w:r w:rsidR="00853C93">
        <w:rPr>
          <w:rFonts w:ascii="Arial" w:hAnsi="Arial" w:cs="Arial"/>
          <w:sz w:val="22"/>
          <w:szCs w:val="22"/>
        </w:rPr>
        <w:t xml:space="preserve"> and midpoints of B</w:t>
      </w:r>
      <w:r w:rsidR="00853C93" w:rsidRPr="00CF33B7">
        <w:rPr>
          <w:rFonts w:ascii="Arial" w:hAnsi="Arial" w:cs="Arial"/>
          <w:sz w:val="22"/>
          <w:szCs w:val="22"/>
          <w:vertAlign w:val="subscript"/>
        </w:rPr>
        <w:t>3</w:t>
      </w:r>
      <w:r w:rsidR="00853C93">
        <w:rPr>
          <w:rFonts w:ascii="Arial" w:hAnsi="Arial" w:cs="Arial"/>
          <w:sz w:val="22"/>
          <w:szCs w:val="22"/>
        </w:rPr>
        <w:t>, B</w:t>
      </w:r>
      <w:r w:rsidR="00853C93" w:rsidRPr="00CF33B7">
        <w:rPr>
          <w:rFonts w:ascii="Arial" w:hAnsi="Arial" w:cs="Arial"/>
          <w:sz w:val="22"/>
          <w:szCs w:val="22"/>
          <w:vertAlign w:val="subscript"/>
        </w:rPr>
        <w:t>4</w:t>
      </w:r>
      <w:r w:rsidR="00853C93">
        <w:rPr>
          <w:rFonts w:ascii="Arial" w:hAnsi="Arial" w:cs="Arial"/>
          <w:sz w:val="22"/>
          <w:szCs w:val="22"/>
        </w:rPr>
        <w:t xml:space="preserve"> and B</w:t>
      </w:r>
      <w:r w:rsidR="00853C93" w:rsidRPr="00CF33B7">
        <w:rPr>
          <w:rFonts w:ascii="Arial" w:hAnsi="Arial" w:cs="Arial"/>
          <w:sz w:val="22"/>
          <w:szCs w:val="22"/>
          <w:vertAlign w:val="subscript"/>
        </w:rPr>
        <w:t>5</w:t>
      </w:r>
      <w:r w:rsidR="00853C93">
        <w:rPr>
          <w:rFonts w:ascii="Arial" w:hAnsi="Arial" w:cs="Arial"/>
          <w:sz w:val="22"/>
          <w:szCs w:val="22"/>
        </w:rPr>
        <w:t>, corresponding to cells in CD8_1 (Figure 2</w:t>
      </w:r>
      <w:r w:rsidR="00DE7274">
        <w:rPr>
          <w:rFonts w:ascii="Arial" w:hAnsi="Arial" w:cs="Arial"/>
          <w:sz w:val="22"/>
          <w:szCs w:val="22"/>
        </w:rPr>
        <w:t>H</w:t>
      </w:r>
      <w:r w:rsidR="00CF33B7">
        <w:rPr>
          <w:rFonts w:ascii="Arial" w:hAnsi="Arial" w:cs="Arial"/>
          <w:sz w:val="22"/>
          <w:szCs w:val="22"/>
        </w:rPr>
        <w:t>, blue lines</w:t>
      </w:r>
      <w:r w:rsidR="00853C93">
        <w:rPr>
          <w:rFonts w:ascii="Arial" w:hAnsi="Arial" w:cs="Arial"/>
          <w:sz w:val="22"/>
          <w:szCs w:val="22"/>
        </w:rPr>
        <w:t xml:space="preserve">). </w:t>
      </w:r>
      <w:r w:rsidR="00CF33B7">
        <w:rPr>
          <w:rFonts w:ascii="Arial" w:hAnsi="Arial" w:cs="Arial"/>
          <w:sz w:val="22"/>
          <w:szCs w:val="22"/>
        </w:rPr>
        <w:t>Likewise, we observed an overall increase in gene expression associated with no response or progression was observed at the terminal points of B</w:t>
      </w:r>
      <w:r w:rsidR="00CF33B7" w:rsidRPr="00CF33B7">
        <w:rPr>
          <w:rFonts w:ascii="Arial" w:hAnsi="Arial" w:cs="Arial"/>
          <w:sz w:val="22"/>
          <w:szCs w:val="22"/>
          <w:vertAlign w:val="subscript"/>
        </w:rPr>
        <w:t>3</w:t>
      </w:r>
      <w:r w:rsidR="00CF33B7">
        <w:rPr>
          <w:rFonts w:ascii="Arial" w:hAnsi="Arial" w:cs="Arial"/>
          <w:sz w:val="22"/>
          <w:szCs w:val="22"/>
        </w:rPr>
        <w:t>, B</w:t>
      </w:r>
      <w:r w:rsidR="00CF33B7" w:rsidRPr="00CF33B7">
        <w:rPr>
          <w:rFonts w:ascii="Arial" w:hAnsi="Arial" w:cs="Arial"/>
          <w:sz w:val="22"/>
          <w:szCs w:val="22"/>
          <w:vertAlign w:val="subscript"/>
        </w:rPr>
        <w:t>4</w:t>
      </w:r>
      <w:r w:rsidR="00CF33B7">
        <w:rPr>
          <w:rFonts w:ascii="Arial" w:hAnsi="Arial" w:cs="Arial"/>
          <w:sz w:val="22"/>
          <w:szCs w:val="22"/>
        </w:rPr>
        <w:t>, and B</w:t>
      </w:r>
      <w:r w:rsidR="00CF33B7" w:rsidRPr="00CF33B7">
        <w:rPr>
          <w:rFonts w:ascii="Arial" w:hAnsi="Arial" w:cs="Arial"/>
          <w:sz w:val="22"/>
          <w:szCs w:val="22"/>
          <w:vertAlign w:val="subscript"/>
        </w:rPr>
        <w:t>5</w:t>
      </w:r>
      <w:r w:rsidR="00CF33B7">
        <w:rPr>
          <w:rFonts w:ascii="Arial" w:hAnsi="Arial" w:cs="Arial"/>
          <w:sz w:val="22"/>
          <w:szCs w:val="22"/>
        </w:rPr>
        <w:t xml:space="preserve"> (Figure 2</w:t>
      </w:r>
      <w:r w:rsidR="00DE7274">
        <w:rPr>
          <w:rFonts w:ascii="Arial" w:hAnsi="Arial" w:cs="Arial"/>
          <w:sz w:val="22"/>
          <w:szCs w:val="22"/>
        </w:rPr>
        <w:t>H</w:t>
      </w:r>
      <w:r w:rsidR="00CF33B7">
        <w:rPr>
          <w:rFonts w:ascii="Arial" w:hAnsi="Arial" w:cs="Arial"/>
          <w:sz w:val="22"/>
          <w:szCs w:val="22"/>
        </w:rPr>
        <w:t>, red lines).</w:t>
      </w:r>
      <w:r w:rsidR="00666678">
        <w:rPr>
          <w:rFonts w:ascii="Arial" w:hAnsi="Arial" w:cs="Arial"/>
          <w:sz w:val="22"/>
          <w:szCs w:val="22"/>
        </w:rPr>
        <w:t xml:space="preserve"> </w:t>
      </w:r>
      <w:bookmarkStart w:id="0" w:name="_GoBack"/>
      <w:bookmarkEnd w:id="0"/>
      <w:r w:rsidR="00666678" w:rsidRPr="00666678">
        <w:rPr>
          <w:rFonts w:ascii="Arial" w:hAnsi="Arial" w:cs="Arial"/>
          <w:sz w:val="22"/>
          <w:szCs w:val="22"/>
          <w:highlight w:val="yellow"/>
        </w:rPr>
        <w:t>Concluding thought.</w:t>
      </w:r>
    </w:p>
    <w:p w14:paraId="09418C44" w14:textId="39277FDD" w:rsidR="001D7F41" w:rsidRDefault="001D7F41" w:rsidP="00F72CA7">
      <w:pPr>
        <w:pStyle w:val="Paragraph"/>
        <w:snapToGrid w:val="0"/>
        <w:spacing w:line="480" w:lineRule="auto"/>
        <w:ind w:firstLine="0"/>
      </w:pPr>
    </w:p>
    <w:p w14:paraId="3B61040C" w14:textId="073BE075" w:rsidR="0068587F" w:rsidRPr="00EC37F9" w:rsidRDefault="0068587F" w:rsidP="00F72CA7">
      <w:pPr>
        <w:pStyle w:val="Paragraph"/>
        <w:snapToGrid w:val="0"/>
        <w:spacing w:line="480" w:lineRule="auto"/>
        <w:ind w:firstLine="0"/>
        <w:rPr>
          <w:i/>
          <w:iCs/>
        </w:rPr>
      </w:pPr>
      <w:r w:rsidRPr="00EC37F9">
        <w:rPr>
          <w:i/>
          <w:iCs/>
        </w:rPr>
        <w:t>Prominent infiltration of macrophages in ccRCC</w:t>
      </w:r>
      <w:r w:rsidR="00EC37F9" w:rsidRPr="00EC37F9">
        <w:rPr>
          <w:i/>
          <w:iCs/>
        </w:rPr>
        <w:t xml:space="preserve"> have transcriptional divergence.</w:t>
      </w:r>
    </w:p>
    <w:p w14:paraId="0E76C4F5" w14:textId="1C345247" w:rsidR="0068587F" w:rsidRDefault="0068587F" w:rsidP="00F72CA7">
      <w:pPr>
        <w:pStyle w:val="Paragraph"/>
        <w:snapToGrid w:val="0"/>
        <w:spacing w:line="480" w:lineRule="auto"/>
        <w:ind w:firstLine="0"/>
      </w:pPr>
      <w:r>
        <w:lastRenderedPageBreak/>
        <w:t xml:space="preserve">With the previous observation of an overall increase in macrophages and decreased monocytes in integrated UMAP (Figure 1E), we next focused on differential analyses of the myeloid populations (Figure 3A). Across monocytes, macrophages and dendritic cells, </w:t>
      </w:r>
      <w:proofErr w:type="spellStart"/>
      <w:r>
        <w:t>sublustering</w:t>
      </w:r>
      <w:proofErr w:type="spellEnd"/>
      <w:r>
        <w:t xml:space="preserve"> found 20 distinct clusters (Figure 3A). Tissue-specific distribution was observed, with the majority tumor-infiltrating </w:t>
      </w:r>
      <w:proofErr w:type="spellStart"/>
      <w:r>
        <w:t>myeloids</w:t>
      </w:r>
      <w:proofErr w:type="spellEnd"/>
      <w:r>
        <w:t xml:space="preserve"> cells in </w:t>
      </w:r>
      <w:proofErr w:type="spellStart"/>
      <w:r>
        <w:t>subclusters</w:t>
      </w:r>
      <w:proofErr w:type="spellEnd"/>
      <w:r>
        <w:t xml:space="preserve"> 0, 3, 7, 8 and 15 (Figure 3B). In contrast, </w:t>
      </w:r>
      <w:r w:rsidR="00EC37F9">
        <w:t xml:space="preserve">both normal kidney parenchyma and peripheral blood were comprised of a majority of monocytic </w:t>
      </w:r>
      <w:proofErr w:type="spellStart"/>
      <w:r w:rsidR="00EC37F9">
        <w:t>subclusters</w:t>
      </w:r>
      <w:proofErr w:type="spellEnd"/>
      <w:r w:rsidR="00EC37F9">
        <w:t xml:space="preserve"> (Figure 3B). </w:t>
      </w:r>
      <w:r w:rsidR="008812EB">
        <w:t xml:space="preserve">Populations were assigned using canonical markers and </w:t>
      </w:r>
      <w:r w:rsidR="008812EB">
        <w:t xml:space="preserve">in addition to the previously </w:t>
      </w:r>
      <w:proofErr w:type="spellStart"/>
      <w:r w:rsidR="008812EB">
        <w:t>decribed</w:t>
      </w:r>
      <w:proofErr w:type="spellEnd"/>
      <w:r w:rsidR="008812EB">
        <w:t xml:space="preserve"> singleR approach</w:t>
      </w:r>
      <w:r w:rsidR="008812EB">
        <w:t xml:space="preserve"> with macrophage </w:t>
      </w:r>
      <w:proofErr w:type="spellStart"/>
      <w:r w:rsidR="008812EB">
        <w:t>subclusters</w:t>
      </w:r>
      <w:proofErr w:type="spellEnd"/>
      <w:r w:rsidR="008812EB">
        <w:t xml:space="preserve"> (0, 3, 7, 13 and 14) identified using markers such as CD1C, CLECL10A (CD301), FCER1A, and MSR1 (Figure 3C). In total, we observed a decreased the proportion in CD14+ monocytes in tissue-infiltrating myeloid cells compared to peripheral blood and an increase in macrophages (Figure 3D). Normal renal parenchyma had a variable increased in CD14</w:t>
      </w:r>
      <w:r w:rsidR="008812EB" w:rsidRPr="008812EB">
        <w:rPr>
          <w:vertAlign w:val="superscript"/>
        </w:rPr>
        <w:t>-</w:t>
      </w:r>
      <w:r w:rsidR="008812EB">
        <w:t xml:space="preserve"> CD16</w:t>
      </w:r>
      <w:r w:rsidR="008812EB" w:rsidRPr="008812EB">
        <w:rPr>
          <w:vertAlign w:val="superscript"/>
        </w:rPr>
        <w:t>-</w:t>
      </w:r>
      <w:r w:rsidR="008812EB">
        <w:t xml:space="preserve"> monocytes, which was not significant. </w:t>
      </w:r>
      <w:r w:rsidR="00EC37F9">
        <w:t>As previously seen, we found a small number of DC (</w:t>
      </w:r>
      <w:proofErr w:type="spellStart"/>
      <w:r w:rsidR="00EC37F9">
        <w:t>subclusters</w:t>
      </w:r>
      <w:proofErr w:type="spellEnd"/>
      <w:r w:rsidR="00EC37F9">
        <w:t xml:space="preserve"> 15, 16, and 19) with distinct expression profiles associated with conventional  DC 1, plasmacytoid DC, and monocyte-derived DCs, respectively (</w:t>
      </w:r>
      <w:r w:rsidR="00EC37F9" w:rsidRPr="00EC37F9">
        <w:rPr>
          <w:highlight w:val="yellow"/>
        </w:rPr>
        <w:t>Supplemental Figure X</w:t>
      </w:r>
      <w:r w:rsidR="00EC37F9">
        <w:t xml:space="preserve">). </w:t>
      </w:r>
    </w:p>
    <w:p w14:paraId="657F3D7B" w14:textId="77777777" w:rsidR="008812EB" w:rsidRDefault="008812EB" w:rsidP="00F72CA7">
      <w:pPr>
        <w:pStyle w:val="Paragraph"/>
        <w:snapToGrid w:val="0"/>
        <w:spacing w:line="480" w:lineRule="auto"/>
        <w:ind w:firstLine="0"/>
      </w:pPr>
    </w:p>
    <w:p w14:paraId="40DD77BF" w14:textId="36AAD409" w:rsidR="008812EB" w:rsidRDefault="008812EB" w:rsidP="00666678">
      <w:pPr>
        <w:pStyle w:val="Paragraph"/>
        <w:snapToGrid w:val="0"/>
        <w:spacing w:line="480" w:lineRule="auto"/>
        <w:ind w:firstLine="0"/>
      </w:pPr>
      <w:r>
        <w:t xml:space="preserve">Next we isolated the five macrophage </w:t>
      </w:r>
      <w:proofErr w:type="spellStart"/>
      <w:r>
        <w:t>subclusters</w:t>
      </w:r>
      <w:proofErr w:type="spellEnd"/>
      <w:r>
        <w:t>, relabeling them tumor-associated macrophage 1 (TAM_1), TAM_2, TAM_3, resident macrophage (</w:t>
      </w:r>
      <w:proofErr w:type="spellStart"/>
      <w:r>
        <w:t>rM</w:t>
      </w:r>
      <w:proofErr w:type="spellEnd"/>
      <w:r>
        <w:t>) and peripheral macrophage (</w:t>
      </w:r>
      <w:proofErr w:type="spellStart"/>
      <w:r>
        <w:t>pM</w:t>
      </w:r>
      <w:proofErr w:type="spellEnd"/>
      <w:r>
        <w:t xml:space="preserve">) based on the relative percent of cells derived from the respective tissue (Figure 3E). </w:t>
      </w:r>
      <w:r w:rsidR="00050C57">
        <w:t>Alt</w:t>
      </w:r>
      <w:r w:rsidR="00A84007">
        <w:t>h</w:t>
      </w:r>
      <w:r w:rsidR="00050C57">
        <w:t>ough similar expression, these five clusters had distinct expression patterns</w:t>
      </w:r>
      <w:r w:rsidR="00A84007">
        <w:t xml:space="preserve">. For example, the </w:t>
      </w:r>
      <w:r w:rsidR="00A84007" w:rsidRPr="00A84007">
        <w:rPr>
          <w:highlight w:val="yellow"/>
        </w:rPr>
        <w:t>X+ X+</w:t>
      </w:r>
      <w:r w:rsidR="00A84007">
        <w:t xml:space="preserve"> TAM_1 expressed increased levels of chemokines and cytokines, like </w:t>
      </w:r>
      <w:r w:rsidR="00A84007" w:rsidRPr="00A84007">
        <w:rPr>
          <w:i/>
          <w:iCs/>
        </w:rPr>
        <w:t>CCL3</w:t>
      </w:r>
      <w:r w:rsidR="00A84007">
        <w:t xml:space="preserve">, </w:t>
      </w:r>
      <w:r w:rsidR="00A84007" w:rsidRPr="00A84007">
        <w:rPr>
          <w:i/>
          <w:iCs/>
        </w:rPr>
        <w:t>CCL4</w:t>
      </w:r>
      <w:r w:rsidR="00A84007">
        <w:t xml:space="preserve">, </w:t>
      </w:r>
      <w:r w:rsidR="00A84007" w:rsidRPr="00A84007">
        <w:rPr>
          <w:i/>
          <w:iCs/>
        </w:rPr>
        <w:t>CXCL2</w:t>
      </w:r>
      <w:r w:rsidR="00A84007">
        <w:t xml:space="preserve">, and </w:t>
      </w:r>
      <w:r w:rsidR="00A84007" w:rsidRPr="00A84007">
        <w:rPr>
          <w:i/>
          <w:iCs/>
        </w:rPr>
        <w:t>IL10</w:t>
      </w:r>
      <w:r w:rsidR="00A84007">
        <w:t xml:space="preserve">; </w:t>
      </w:r>
      <w:r w:rsidR="00A84007" w:rsidRPr="00A84007">
        <w:rPr>
          <w:highlight w:val="yellow"/>
        </w:rPr>
        <w:t>X+ X+</w:t>
      </w:r>
      <w:r w:rsidR="00A84007">
        <w:t xml:space="preserve"> TAM_2 </w:t>
      </w:r>
      <w:proofErr w:type="spellStart"/>
      <w:r w:rsidR="00A84007">
        <w:t>subcluster</w:t>
      </w:r>
      <w:proofErr w:type="spellEnd"/>
      <w:r w:rsidR="00A84007">
        <w:t xml:space="preserve"> expressed the </w:t>
      </w:r>
      <w:proofErr w:type="spellStart"/>
      <w:r w:rsidR="00A84007">
        <w:t>apolipoporetin</w:t>
      </w:r>
      <w:proofErr w:type="spellEnd"/>
      <w:r w:rsidR="00A84007">
        <w:t xml:space="preserve"> gene </w:t>
      </w:r>
      <w:r w:rsidR="00A84007" w:rsidRPr="00A84007">
        <w:rPr>
          <w:i/>
          <w:iCs/>
        </w:rPr>
        <w:t>APOE</w:t>
      </w:r>
      <w:r w:rsidR="00A84007">
        <w:t>, lysosomal lipase (</w:t>
      </w:r>
      <w:r w:rsidR="00A84007" w:rsidRPr="00A84007">
        <w:rPr>
          <w:i/>
          <w:iCs/>
        </w:rPr>
        <w:t>LIPA</w:t>
      </w:r>
      <w:r w:rsidR="00A84007">
        <w:t xml:space="preserve">), and </w:t>
      </w:r>
      <w:proofErr w:type="spellStart"/>
      <w:r w:rsidR="00A84007">
        <w:t>ferroportin</w:t>
      </w:r>
      <w:proofErr w:type="spellEnd"/>
      <w:r w:rsidR="00A84007">
        <w:t xml:space="preserve"> (</w:t>
      </w:r>
      <w:r w:rsidR="00A84007" w:rsidRPr="00A84007">
        <w:rPr>
          <w:i/>
          <w:iCs/>
        </w:rPr>
        <w:t>SLC40A1</w:t>
      </w:r>
      <w:r w:rsidR="00A84007">
        <w:t xml:space="preserve">); and </w:t>
      </w:r>
      <w:r w:rsidR="00A84007" w:rsidRPr="006C2FF3">
        <w:rPr>
          <w:highlight w:val="yellow"/>
        </w:rPr>
        <w:t>X+ X</w:t>
      </w:r>
      <w:r w:rsidR="00A84007">
        <w:t xml:space="preserve"> TAM_3 had high levels of </w:t>
      </w:r>
      <w:r w:rsidR="00A84007" w:rsidRPr="00A84007">
        <w:rPr>
          <w:i/>
          <w:iCs/>
        </w:rPr>
        <w:t>CD1C</w:t>
      </w:r>
      <w:r w:rsidR="00A84007">
        <w:t xml:space="preserve">, </w:t>
      </w:r>
      <w:r w:rsidR="00A84007" w:rsidRPr="00A84007">
        <w:rPr>
          <w:i/>
          <w:iCs/>
        </w:rPr>
        <w:t>IL1R2</w:t>
      </w:r>
      <w:r w:rsidR="00A84007">
        <w:t xml:space="preserve">, and </w:t>
      </w:r>
      <w:proofErr w:type="spellStart"/>
      <w:r w:rsidR="00A84007">
        <w:t>Langerhin</w:t>
      </w:r>
      <w:proofErr w:type="spellEnd"/>
      <w:r w:rsidR="00A84007">
        <w:t xml:space="preserve"> </w:t>
      </w:r>
      <w:r w:rsidR="00A84007">
        <w:lastRenderedPageBreak/>
        <w:t>(</w:t>
      </w:r>
      <w:r w:rsidR="00A84007" w:rsidRPr="00A84007">
        <w:rPr>
          <w:i/>
          <w:iCs/>
        </w:rPr>
        <w:t>CD207</w:t>
      </w:r>
      <w:r w:rsidR="00A84007">
        <w:t xml:space="preserve">), a marker of the skin-resident </w:t>
      </w:r>
      <w:proofErr w:type="spellStart"/>
      <w:r w:rsidR="00A84007">
        <w:t>Langerhan</w:t>
      </w:r>
      <w:proofErr w:type="spellEnd"/>
      <w:r w:rsidR="00A84007">
        <w:t xml:space="preserve"> cells (Figure 3F). </w:t>
      </w:r>
      <w:r w:rsidR="0020613A">
        <w:t xml:space="preserve">The </w:t>
      </w:r>
      <w:proofErr w:type="spellStart"/>
      <w:r w:rsidR="0020613A">
        <w:t>pM</w:t>
      </w:r>
      <w:proofErr w:type="spellEnd"/>
      <w:r w:rsidR="0020613A">
        <w:t xml:space="preserve"> </w:t>
      </w:r>
      <w:proofErr w:type="spellStart"/>
      <w:r w:rsidR="0020613A">
        <w:t>sub</w:t>
      </w:r>
      <w:r w:rsidR="00666678">
        <w:t>c</w:t>
      </w:r>
      <w:r w:rsidR="0020613A">
        <w:t>luster</w:t>
      </w:r>
      <w:proofErr w:type="spellEnd"/>
      <w:r w:rsidR="0020613A">
        <w:t xml:space="preserve"> had the highest level of the cell adhesion molecules </w:t>
      </w:r>
      <w:r w:rsidR="0020613A" w:rsidRPr="0020613A">
        <w:rPr>
          <w:i/>
          <w:iCs/>
        </w:rPr>
        <w:t>CLEC10A</w:t>
      </w:r>
      <w:r w:rsidR="0020613A">
        <w:t xml:space="preserve">, </w:t>
      </w:r>
      <w:r w:rsidR="0020613A" w:rsidRPr="0020613A">
        <w:rPr>
          <w:i/>
          <w:iCs/>
        </w:rPr>
        <w:t>SELL</w:t>
      </w:r>
      <w:r w:rsidR="0020613A">
        <w:t xml:space="preserve"> (CD62L), and </w:t>
      </w:r>
      <w:r w:rsidR="0020613A" w:rsidRPr="0020613A">
        <w:rPr>
          <w:i/>
          <w:iCs/>
        </w:rPr>
        <w:t>ITGB7</w:t>
      </w:r>
      <w:r w:rsidR="0020613A">
        <w:t xml:space="preserve">, which can dimerize with </w:t>
      </w:r>
      <w:r w:rsidR="0020613A" w:rsidRPr="0020613A">
        <w:rPr>
          <w:i/>
          <w:iCs/>
        </w:rPr>
        <w:t>ITGA4</w:t>
      </w:r>
      <w:r w:rsidR="0020613A">
        <w:t xml:space="preserve"> (CD49d) or </w:t>
      </w:r>
      <w:r w:rsidR="0020613A" w:rsidRPr="0020613A">
        <w:rPr>
          <w:i/>
          <w:iCs/>
        </w:rPr>
        <w:t>ITGAE</w:t>
      </w:r>
      <w:r w:rsidR="0020613A">
        <w:t xml:space="preserve"> (CD103).</w:t>
      </w:r>
      <w:r w:rsidR="006C2FF3">
        <w:t xml:space="preserve"> Like the CD8</w:t>
      </w:r>
      <w:r w:rsidR="006C2FF3" w:rsidRPr="00666678">
        <w:rPr>
          <w:vertAlign w:val="superscript"/>
        </w:rPr>
        <w:t>+</w:t>
      </w:r>
      <w:r w:rsidR="006C2FF3">
        <w:t xml:space="preserve"> T cells, we built cell trajectories based on varied genes find two distinct curves converging into TAM_3 and </w:t>
      </w:r>
      <w:proofErr w:type="spellStart"/>
      <w:r w:rsidR="006C2FF3">
        <w:t>pM</w:t>
      </w:r>
      <w:proofErr w:type="spellEnd"/>
      <w:r w:rsidR="006C2FF3">
        <w:t xml:space="preserve"> (Figure 3G). </w:t>
      </w:r>
      <w:r w:rsidR="006C2FF3">
        <w:rPr>
          <w:rFonts w:ascii="Arial" w:hAnsi="Arial" w:cs="Arial"/>
          <w:sz w:val="22"/>
          <w:szCs w:val="22"/>
        </w:rPr>
        <w:t xml:space="preserve">In order to </w:t>
      </w:r>
      <w:r w:rsidR="00666678">
        <w:rPr>
          <w:rFonts w:ascii="Arial" w:hAnsi="Arial" w:cs="Arial"/>
          <w:sz w:val="22"/>
          <w:szCs w:val="22"/>
        </w:rPr>
        <w:t>assess potential</w:t>
      </w:r>
      <w:r w:rsidR="006C2FF3">
        <w:rPr>
          <w:rFonts w:ascii="Arial" w:hAnsi="Arial" w:cs="Arial"/>
          <w:sz w:val="22"/>
          <w:szCs w:val="22"/>
        </w:rPr>
        <w:t xml:space="preserve"> functional difference</w:t>
      </w:r>
      <w:r w:rsidR="00666678">
        <w:rPr>
          <w:rFonts w:ascii="Arial" w:hAnsi="Arial" w:cs="Arial"/>
          <w:sz w:val="22"/>
          <w:szCs w:val="22"/>
        </w:rPr>
        <w:t xml:space="preserve">s for the macrophages, </w:t>
      </w:r>
      <w:r w:rsidR="006C2FF3">
        <w:rPr>
          <w:rFonts w:ascii="Arial" w:hAnsi="Arial" w:cs="Arial"/>
          <w:sz w:val="22"/>
          <w:szCs w:val="22"/>
        </w:rPr>
        <w:t xml:space="preserve">we performed gene set enrichment analysis (Figure </w:t>
      </w:r>
      <w:r w:rsidR="006C2FF3">
        <w:rPr>
          <w:rFonts w:ascii="Arial" w:hAnsi="Arial" w:cs="Arial"/>
          <w:sz w:val="22"/>
          <w:szCs w:val="22"/>
        </w:rPr>
        <w:t>3H</w:t>
      </w:r>
      <w:r w:rsidR="00666678">
        <w:rPr>
          <w:rFonts w:ascii="Arial" w:hAnsi="Arial" w:cs="Arial"/>
          <w:sz w:val="22"/>
          <w:szCs w:val="22"/>
        </w:rPr>
        <w:t xml:space="preserve">). As previously observed in single-cell data (cite here), no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was distinctly M1 or M2 polarized. For example, TAM_1 had enrichment for gene sets commonly associated with the M2 macrophage compartment, such has angiogenesis and the production of lipid mediators, while also having the highest levels of </w:t>
      </w:r>
      <w:proofErr w:type="spellStart"/>
      <w:r w:rsidR="00666678">
        <w:rPr>
          <w:rFonts w:ascii="Arial" w:hAnsi="Arial" w:cs="Arial"/>
          <w:sz w:val="22"/>
          <w:szCs w:val="22"/>
        </w:rPr>
        <w:t>TNFɑ</w:t>
      </w:r>
      <w:proofErr w:type="spellEnd"/>
      <w:r w:rsidR="00666678">
        <w:rPr>
          <w:rFonts w:ascii="Arial" w:hAnsi="Arial" w:cs="Arial"/>
          <w:sz w:val="22"/>
          <w:szCs w:val="22"/>
        </w:rPr>
        <w:t xml:space="preserve"> signaling enrichment, a common M1 macrophage characteristic. Across the three 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modest enrichment in both type 1 and type 2 interferon signaling was observed (Figure 3H). The non-TAM </w:t>
      </w:r>
      <w:proofErr w:type="spellStart"/>
      <w:r w:rsidR="00666678">
        <w:rPr>
          <w:rFonts w:ascii="Arial" w:hAnsi="Arial" w:cs="Arial"/>
          <w:sz w:val="22"/>
          <w:szCs w:val="22"/>
        </w:rPr>
        <w:t>subclusters</w:t>
      </w:r>
      <w:proofErr w:type="spellEnd"/>
      <w:r w:rsidR="00666678">
        <w:rPr>
          <w:rFonts w:ascii="Arial" w:hAnsi="Arial" w:cs="Arial"/>
          <w:sz w:val="22"/>
          <w:szCs w:val="22"/>
        </w:rPr>
        <w:t xml:space="preserve">, </w:t>
      </w:r>
      <w:proofErr w:type="spellStart"/>
      <w:r w:rsidR="00666678">
        <w:rPr>
          <w:rFonts w:ascii="Arial" w:hAnsi="Arial" w:cs="Arial"/>
          <w:sz w:val="22"/>
          <w:szCs w:val="22"/>
        </w:rPr>
        <w:t>rM</w:t>
      </w:r>
      <w:proofErr w:type="spellEnd"/>
      <w:r w:rsidR="00666678">
        <w:rPr>
          <w:rFonts w:ascii="Arial" w:hAnsi="Arial" w:cs="Arial"/>
          <w:sz w:val="22"/>
          <w:szCs w:val="22"/>
        </w:rPr>
        <w:t xml:space="preserve"> and </w:t>
      </w:r>
      <w:proofErr w:type="spellStart"/>
      <w:r w:rsidR="00666678">
        <w:rPr>
          <w:rFonts w:ascii="Arial" w:hAnsi="Arial" w:cs="Arial"/>
          <w:sz w:val="22"/>
          <w:szCs w:val="22"/>
        </w:rPr>
        <w:t>pM</w:t>
      </w:r>
      <w:proofErr w:type="spellEnd"/>
      <w:r w:rsidR="00666678">
        <w:rPr>
          <w:rFonts w:ascii="Arial" w:hAnsi="Arial" w:cs="Arial"/>
          <w:sz w:val="22"/>
          <w:szCs w:val="22"/>
        </w:rPr>
        <w:t xml:space="preserve"> had relatively lower levels of enrichment with the exception of proinflammatory signaling and glycolysis, respectively (Figure 3H). </w:t>
      </w:r>
      <w:r w:rsidR="00666678" w:rsidRPr="00666678">
        <w:rPr>
          <w:rFonts w:ascii="Arial" w:hAnsi="Arial" w:cs="Arial"/>
          <w:sz w:val="22"/>
          <w:szCs w:val="22"/>
          <w:highlight w:val="yellow"/>
        </w:rPr>
        <w:t>Concluding thought</w:t>
      </w: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3B5A9756"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w:t>
      </w:r>
      <w:r w:rsidR="00614FAF">
        <w:rPr>
          <w:rFonts w:ascii="Arial" w:hAnsi="Arial" w:cs="Arial"/>
          <w:color w:val="000000"/>
          <w:sz w:val="22"/>
          <w:szCs w:val="22"/>
        </w:rPr>
        <w:t>were males with an age range of</w:t>
      </w:r>
      <w:r w:rsidRPr="00761DC0">
        <w:rPr>
          <w:rFonts w:ascii="Arial" w:hAnsi="Arial" w:cs="Arial"/>
          <w:color w:val="000000"/>
          <w:sz w:val="22"/>
          <w:szCs w:val="22"/>
        </w:rPr>
        <w:t xml:space="preserve"> 67 to 74 years old.</w:t>
      </w:r>
      <w:r w:rsidR="00CA4320">
        <w:rPr>
          <w:rFonts w:ascii="Arial" w:hAnsi="Arial" w:cs="Arial"/>
          <w:color w:val="000000"/>
          <w:sz w:val="22"/>
          <w:szCs w:val="22"/>
        </w:rPr>
        <w:t xml:space="preserve"> </w:t>
      </w:r>
      <w:r w:rsidR="00614FAF">
        <w:rPr>
          <w:rFonts w:ascii="Arial" w:hAnsi="Arial" w:cs="Arial"/>
          <w:color w:val="000000"/>
          <w:sz w:val="22"/>
          <w:szCs w:val="22"/>
        </w:rPr>
        <w:t>T</w:t>
      </w:r>
      <w:r w:rsidR="00614FAF" w:rsidRPr="00761DC0">
        <w:rPr>
          <w:rFonts w:ascii="Arial" w:hAnsi="Arial" w:cs="Arial"/>
          <w:color w:val="000000"/>
          <w:sz w:val="22"/>
          <w:szCs w:val="22"/>
        </w:rPr>
        <w:t xml:space="preserve">umor grades were histologically determined by a pathologist. </w:t>
      </w:r>
      <w:r w:rsidR="00CA4320">
        <w:rPr>
          <w:rFonts w:ascii="Arial" w:hAnsi="Arial" w:cs="Arial"/>
          <w:color w:val="000000"/>
          <w:sz w:val="22"/>
          <w:szCs w:val="22"/>
        </w:rPr>
        <w:t>Primary tumor stage for Patient 1 and Patient 2 were reported as pT1b with</w:t>
      </w:r>
      <w:r w:rsidR="00614FAF">
        <w:rPr>
          <w:rFonts w:ascii="Arial" w:hAnsi="Arial" w:cs="Arial"/>
          <w:color w:val="000000"/>
          <w:sz w:val="22"/>
          <w:szCs w:val="22"/>
        </w:rPr>
        <w:t xml:space="preserve">out extension, while Patient 3 was reported as pT3a with vascular invasion into renal vein. </w:t>
      </w:r>
      <w:r w:rsidRPr="00761DC0">
        <w:rPr>
          <w:rFonts w:ascii="Arial" w:hAnsi="Arial" w:cs="Arial"/>
          <w:color w:val="000000"/>
          <w:sz w:val="22"/>
          <w:szCs w:val="22"/>
        </w:rPr>
        <w:t xml:space="preserve">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2F9A3519"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853C9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(33)","plainTextFormattedCitation":"(33)","previouslyFormattedCitation":"(33)"},"properties":{"noteIndex":0},"schema":"https://github.com/citation-style-language/schema/raw/master/csl-citation.json"}</w:instrText>
      </w:r>
      <w:r w:rsidR="003245D3">
        <w:rPr>
          <w:rFonts w:ascii="Arial" w:hAnsi="Arial" w:cs="Arial"/>
          <w:color w:val="000000"/>
          <w:sz w:val="22"/>
          <w:szCs w:val="22"/>
        </w:rPr>
        <w:fldChar w:fldCharType="separate"/>
      </w:r>
      <w:r w:rsidR="00974483" w:rsidRPr="00974483">
        <w:rPr>
          <w:rFonts w:ascii="Arial" w:hAnsi="Arial" w:cs="Arial"/>
          <w:noProof/>
          <w:color w:val="000000"/>
          <w:sz w:val="22"/>
          <w:szCs w:val="22"/>
        </w:rPr>
        <w:t>(33)</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2B94DCB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 xml:space="preserve">SCRS and TCR sequencing data processed using Cell Ranger v2.2 for healthy donor peripheral blood immune cells were acquired from the 10x Genomics website on 6/20/2020. Filtered gene matrix and contig annotations were used in the incorporation of the </w:t>
      </w:r>
      <w:r w:rsidR="00F72CA7" w:rsidRPr="00761DC0">
        <w:rPr>
          <w:rFonts w:ascii="Arial" w:hAnsi="Arial" w:cs="Arial"/>
          <w:sz w:val="22"/>
          <w:szCs w:val="22"/>
        </w:rPr>
        <w:t xml:space="preserve">uniform manifold approximation and project </w:t>
      </w:r>
      <w:r w:rsidR="00F72CA7">
        <w:rPr>
          <w:rFonts w:ascii="Arial" w:hAnsi="Arial" w:cs="Arial"/>
          <w:sz w:val="22"/>
          <w:szCs w:val="22"/>
        </w:rPr>
        <w:t>(</w:t>
      </w:r>
      <w:r w:rsidRPr="004F1798">
        <w:rPr>
          <w:rFonts w:ascii="Arial" w:hAnsi="Arial" w:cs="Arial"/>
          <w:color w:val="000000" w:themeColor="text1"/>
          <w:sz w:val="22"/>
          <w:szCs w:val="22"/>
        </w:rPr>
        <w:t>UMAP</w:t>
      </w:r>
      <w:r w:rsidR="00F72CA7">
        <w:rPr>
          <w:rFonts w:ascii="Arial" w:hAnsi="Arial" w:cs="Arial"/>
          <w:color w:val="000000" w:themeColor="text1"/>
          <w:sz w:val="22"/>
          <w:szCs w:val="22"/>
        </w:rPr>
        <w:t>)</w:t>
      </w:r>
      <w:r w:rsidRPr="004F1798">
        <w:rPr>
          <w:rFonts w:ascii="Arial" w:hAnsi="Arial" w:cs="Arial"/>
          <w:color w:val="000000" w:themeColor="text1"/>
          <w:sz w:val="22"/>
          <w:szCs w:val="22"/>
        </w:rPr>
        <w:t>.</w:t>
      </w:r>
      <w:r w:rsidR="00C20E2A">
        <w:rPr>
          <w:rFonts w:ascii="Arial" w:hAnsi="Arial" w:cs="Arial"/>
          <w:color w:val="000000" w:themeColor="text1"/>
          <w:sz w:val="22"/>
          <w:szCs w:val="22"/>
        </w:rPr>
        <w:t xml:space="preserve"> Total number of cells from healthy peripheral blood control were 7,726.</w:t>
      </w:r>
      <w:r w:rsidRPr="004F1798">
        <w:rPr>
          <w:rFonts w:ascii="Arial" w:hAnsi="Arial" w:cs="Arial"/>
          <w:color w:val="000000" w:themeColor="text1"/>
          <w:sz w:val="22"/>
          <w:szCs w:val="22"/>
        </w:rPr>
        <w:t xml:space="preserve"> SCRS of normal immune populations in the kidney were derived previously </w:t>
      </w:r>
      <w:r w:rsidRPr="004F1798">
        <w:rPr>
          <w:rFonts w:ascii="Arial" w:hAnsi="Arial" w:cs="Arial"/>
          <w:color w:val="000000" w:themeColor="text1"/>
          <w:sz w:val="22"/>
          <w:szCs w:val="22"/>
        </w:rPr>
        <w:lastRenderedPageBreak/>
        <w:t xml:space="preserve">published data </w:t>
      </w:r>
      <w:r w:rsidRPr="004F1798">
        <w:rPr>
          <w:rFonts w:ascii="Arial" w:hAnsi="Arial" w:cs="Arial"/>
          <w:color w:val="000000" w:themeColor="text1"/>
          <w:sz w:val="22"/>
          <w:szCs w:val="22"/>
        </w:rPr>
        <w:fldChar w:fldCharType="begin" w:fldLock="1"/>
      </w:r>
      <w:r w:rsidR="00853C93">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(34)","plainTextFormattedCitation":"(34)","previouslyFormattedCitation":"(34)"},"properties":{"noteIndex":0},"schema":"https://github.com/citation-style-language/schema/raw/master/csl-citation.json"}</w:instrText>
      </w:r>
      <w:r w:rsidRPr="004F1798">
        <w:rPr>
          <w:rFonts w:ascii="Arial" w:hAnsi="Arial" w:cs="Arial"/>
          <w:color w:val="000000" w:themeColor="text1"/>
          <w:sz w:val="22"/>
          <w:szCs w:val="22"/>
        </w:rPr>
        <w:fldChar w:fldCharType="separate"/>
      </w:r>
      <w:r w:rsidR="00974483" w:rsidRPr="00974483">
        <w:rPr>
          <w:rFonts w:ascii="Arial" w:hAnsi="Arial" w:cs="Arial"/>
          <w:noProof/>
          <w:color w:val="000000" w:themeColor="text1"/>
          <w:sz w:val="22"/>
          <w:szCs w:val="22"/>
        </w:rPr>
        <w:t>(34)</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2C119660"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(35,36)","plainTextFormattedCitation":"(35,36)","previouslyFormattedCitation":"(35,36)"},"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(35,36)</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(37)","plainTextFormattedCitation":"(37)","previouslyFormattedCitation":"(37)"},"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(37)</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039C9C1A"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Differential gene 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w:t>
      </w:r>
      <w:r w:rsidRPr="00761DC0">
        <w:rPr>
          <w:rFonts w:ascii="Arial" w:hAnsi="Arial" w:cs="Arial"/>
          <w:sz w:val="22"/>
          <w:szCs w:val="22"/>
        </w:rPr>
        <w:lastRenderedPageBreak/>
        <w:t>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(38)","plainTextFormattedCitation":"(38)","previouslyFormattedCitation":"(38)"},"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(38)</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0819019A"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853C93">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(39)","plainTextFormattedCitation":"(39)","previouslyFormattedCitation":"(39)"},"properties":{"noteIndex":0},"schema":"https://github.com/citation-style-language/schema/raw/master/csl-citation.json"}</w:instrText>
      </w:r>
      <w:r>
        <w:rPr>
          <w:rFonts w:ascii="Arial" w:hAnsi="Arial" w:cs="Arial"/>
          <w:sz w:val="22"/>
          <w:szCs w:val="22"/>
        </w:rPr>
        <w:fldChar w:fldCharType="separate"/>
      </w:r>
      <w:r w:rsidR="00974483" w:rsidRPr="00974483">
        <w:rPr>
          <w:rFonts w:ascii="Arial" w:hAnsi="Arial" w:cs="Arial"/>
          <w:noProof/>
          <w:sz w:val="22"/>
          <w:szCs w:val="22"/>
        </w:rPr>
        <w:t>(39)</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93266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(28)","plainTextFormattedCitation":"(28)","previouslyFormattedCitation":"(28)"},"properties":{"noteIndex":0},"schema":"https://github.com/citation-style-language/schema/raw/master/csl-citation.json"}</w:instrText>
      </w:r>
      <w:r>
        <w:rPr>
          <w:rFonts w:ascii="Arial" w:hAnsi="Arial" w:cs="Arial"/>
          <w:sz w:val="22"/>
          <w:szCs w:val="22"/>
        </w:rPr>
        <w:fldChar w:fldCharType="separate"/>
      </w:r>
      <w:r w:rsidR="00CF5BEC" w:rsidRPr="00CF5BEC">
        <w:rPr>
          <w:rFonts w:ascii="Arial" w:hAnsi="Arial" w:cs="Arial"/>
          <w:noProof/>
          <w:sz w:val="22"/>
          <w:szCs w:val="22"/>
        </w:rPr>
        <w:t>(28)</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F72CA7">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eviously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853C93">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(40)","plainTextFormattedCitation":"(40)","previouslyFormattedCitation":"(40)"},"properties":{"noteIndex":0},"schema":"https://github.com/citation-style-language/schema/raw/master/csl-citation.json"}</w:instrText>
      </w:r>
      <w:r w:rsidR="003245D3">
        <w:rPr>
          <w:rFonts w:ascii="Arial" w:hAnsi="Arial" w:cs="Arial"/>
          <w:sz w:val="22"/>
          <w:szCs w:val="22"/>
        </w:rPr>
        <w:fldChar w:fldCharType="separate"/>
      </w:r>
      <w:r w:rsidR="00974483" w:rsidRPr="00974483">
        <w:rPr>
          <w:rFonts w:ascii="Arial" w:hAnsi="Arial" w:cs="Arial"/>
          <w:noProof/>
          <w:sz w:val="22"/>
          <w:szCs w:val="22"/>
        </w:rPr>
        <w:t>(40)</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853C93">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70740F">
        <w:rPr>
          <w:rFonts w:ascii="Arial" w:hAnsi="Arial" w:cs="Arial"/>
          <w:sz w:val="22"/>
          <w:szCs w:val="22"/>
        </w:rPr>
        <w:fldChar w:fldCharType="separate"/>
      </w:r>
      <w:r w:rsidR="00974483" w:rsidRPr="00974483">
        <w:rPr>
          <w:rFonts w:ascii="Arial" w:hAnsi="Arial" w:cs="Arial"/>
          <w:noProof/>
          <w:sz w:val="22"/>
          <w:szCs w:val="22"/>
        </w:rPr>
        <w:t>(32)</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w:t>
      </w:r>
      <w:r w:rsidR="0015352E">
        <w:rPr>
          <w:rFonts w:ascii="Arial" w:hAnsi="Arial" w:cs="Arial"/>
          <w:sz w:val="22"/>
          <w:szCs w:val="22"/>
        </w:rPr>
        <w:lastRenderedPageBreak/>
        <w:t>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w:t>
      </w:r>
      <w:r w:rsidR="00CB2EE0" w:rsidRPr="002E4EFB">
        <w:rPr>
          <w:rStyle w:val="Strong"/>
          <w:rFonts w:ascii="Arial" w:hAnsi="Arial" w:cs="Arial"/>
          <w:b w:val="0"/>
          <w:color w:val="000000"/>
          <w:sz w:val="22"/>
          <w:szCs w:val="22"/>
        </w:rPr>
        <w:lastRenderedPageBreak/>
        <w:t xml:space="preserve">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lastRenderedPageBreak/>
        <w:t>References</w:t>
      </w:r>
    </w:p>
    <w:p w14:paraId="36833ACF" w14:textId="2A7D8E10" w:rsidR="00853C93" w:rsidRPr="00853C93" w:rsidRDefault="002E4EFB" w:rsidP="00853C93">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853C93" w:rsidRPr="00853C93">
        <w:rPr>
          <w:rFonts w:ascii="Arial" w:hAnsi="Arial" w:cs="Arial"/>
          <w:noProof/>
          <w:sz w:val="22"/>
        </w:rPr>
        <w:t xml:space="preserve">1. </w:t>
      </w:r>
      <w:r w:rsidR="00853C93" w:rsidRPr="00853C93">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6373F0A9"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 </w:t>
      </w:r>
      <w:r w:rsidRPr="00853C93">
        <w:rPr>
          <w:rFonts w:ascii="Arial" w:hAnsi="Arial" w:cs="Arial"/>
          <w:noProof/>
          <w:sz w:val="22"/>
        </w:rPr>
        <w:tab/>
        <w:t xml:space="preserve">Koneru R, Hotte SJ. Role of cytokine therapy for renal cell carcinoma in the era of targeted agents. Curr Oncol. Multimed Inc.; 2009;16:S40. </w:t>
      </w:r>
    </w:p>
    <w:p w14:paraId="71E47EF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 </w:t>
      </w:r>
      <w:r w:rsidRPr="00853C93">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65E71E4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 </w:t>
      </w:r>
      <w:r w:rsidRPr="00853C93">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6E812F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5. </w:t>
      </w:r>
      <w:r w:rsidRPr="00853C93">
        <w:rPr>
          <w:rFonts w:ascii="Arial" w:hAnsi="Arial" w:cs="Arial"/>
          <w:noProof/>
          <w:sz w:val="22"/>
        </w:rPr>
        <w:tab/>
        <w:t xml:space="preserve">Sharma P, Allison JP. Immune checkpoint targeting in cancer therapy: Toward combination strategies with curative potential. Cell. 2015. </w:t>
      </w:r>
    </w:p>
    <w:p w14:paraId="6D12E9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6. </w:t>
      </w:r>
      <w:r w:rsidRPr="00853C93">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0982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7. </w:t>
      </w:r>
      <w:r w:rsidRPr="00853C93">
        <w:rPr>
          <w:rFonts w:ascii="Arial" w:hAnsi="Arial" w:cs="Arial"/>
          <w:noProof/>
          <w:sz w:val="22"/>
        </w:rPr>
        <w:tab/>
        <w:t xml:space="preserve">Tumeh PC, Harview CL, Yearley JH, Shintaku IP, Taylor EJM, Robert L, et al. PD-1 blockade induces responses by inhibiting adaptive immune resistance. Nature. 2014; </w:t>
      </w:r>
    </w:p>
    <w:p w14:paraId="60CDB14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8. </w:t>
      </w:r>
      <w:r w:rsidRPr="00853C93">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4E165C43"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9. </w:t>
      </w:r>
      <w:r w:rsidRPr="00853C93">
        <w:rPr>
          <w:rFonts w:ascii="Arial" w:hAnsi="Arial" w:cs="Arial"/>
          <w:noProof/>
          <w:sz w:val="22"/>
        </w:rPr>
        <w:tab/>
        <w:t xml:space="preserve">Ziai J, Gilbert HN, Foreman O, Eastham-Anderson J, Chu F, Huseni M, et al. CD8+ T cell infiltration in breast and colon cancer: A histologic and statistical analysis. PLoS One. </w:t>
      </w:r>
      <w:r w:rsidRPr="00853C93">
        <w:rPr>
          <w:rFonts w:ascii="Arial" w:hAnsi="Arial" w:cs="Arial"/>
          <w:noProof/>
          <w:sz w:val="22"/>
        </w:rPr>
        <w:lastRenderedPageBreak/>
        <w:t xml:space="preserve">2018. </w:t>
      </w:r>
    </w:p>
    <w:p w14:paraId="4ADE5905"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10. </w:t>
      </w:r>
      <w:r w:rsidRPr="00853C93">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4F09F71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11. </w:t>
      </w:r>
      <w:r w:rsidRPr="00853C93">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4C5A461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12. </w:t>
      </w:r>
      <w:r w:rsidRPr="00853C93">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3E3FB46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13. </w:t>
      </w:r>
      <w:r w:rsidRPr="00853C93">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2CF98BC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14. </w:t>
      </w:r>
      <w:r w:rsidRPr="00853C93">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7C74CE8C"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15. </w:t>
      </w:r>
      <w:r w:rsidRPr="00853C93">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2824CEF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16. </w:t>
      </w:r>
      <w:r w:rsidRPr="00853C93">
        <w:rPr>
          <w:rFonts w:ascii="Arial" w:hAnsi="Arial" w:cs="Arial"/>
          <w:noProof/>
          <w:sz w:val="22"/>
        </w:rPr>
        <w:tab/>
        <w:t xml:space="preserve">Chevrier S, Levine JH, Zanotelli VRT, Silina K, Schulz D, Bacac M, et al. An Immune Atlas of Clear Cell Renal Cell Carcinoma. Cell. 2017; </w:t>
      </w:r>
    </w:p>
    <w:p w14:paraId="2724A82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17. </w:t>
      </w:r>
      <w:r w:rsidRPr="00853C93">
        <w:rPr>
          <w:rFonts w:ascii="Arial" w:hAnsi="Arial" w:cs="Arial"/>
          <w:noProof/>
          <w:sz w:val="22"/>
        </w:rPr>
        <w:tab/>
        <w:t xml:space="preserve">Creighton CJ, Morgan M, Gunaratne PH, Wheeler DA, Gibbs RA, Robertson G, et al. Comprehensivemolecular characterization of clear cell renal cell carcinoma. Nature. 2013; </w:t>
      </w:r>
    </w:p>
    <w:p w14:paraId="4454CD5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18. </w:t>
      </w:r>
      <w:r w:rsidRPr="00853C93">
        <w:rPr>
          <w:rFonts w:ascii="Arial" w:hAnsi="Arial" w:cs="Arial"/>
          <w:noProof/>
          <w:sz w:val="22"/>
        </w:rPr>
        <w:tab/>
        <w:t xml:space="preserve">Van Den Heuvel CNAM, Van Ewijk A, Zeelen C, De Bitter T, Huynen M, Mulders P, et al. </w:t>
      </w:r>
      <w:r w:rsidRPr="00853C93">
        <w:rPr>
          <w:rFonts w:ascii="Arial" w:hAnsi="Arial" w:cs="Arial"/>
          <w:noProof/>
          <w:sz w:val="22"/>
        </w:rPr>
        <w:lastRenderedPageBreak/>
        <w:t xml:space="preserve">Molecular profiling of druggable targets in clear cell renal cell carcinoma through targeted RNA sequencing. Front Oncol. 2019; </w:t>
      </w:r>
    </w:p>
    <w:p w14:paraId="0457752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19. </w:t>
      </w:r>
      <w:r w:rsidRPr="00853C93">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2A352EA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20. </w:t>
      </w:r>
      <w:r w:rsidRPr="00853C93">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554AC6C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21. </w:t>
      </w:r>
      <w:r w:rsidRPr="00853C93">
        <w:rPr>
          <w:rFonts w:ascii="Arial" w:hAnsi="Arial" w:cs="Arial"/>
          <w:noProof/>
          <w:sz w:val="22"/>
        </w:rPr>
        <w:tab/>
        <w:t xml:space="preserve">Geissler K, Fornara P, Lautenschläger C, Holzhausen HJ, Seliger B, Riemann D. Immune signature of tumor infiltrating immune cells in renal cancer. Oncoimmunology. 2015; </w:t>
      </w:r>
    </w:p>
    <w:p w14:paraId="30B9B16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22. </w:t>
      </w:r>
      <w:r w:rsidRPr="00853C93">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5ED71A06"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23. </w:t>
      </w:r>
      <w:r w:rsidRPr="00853C93">
        <w:rPr>
          <w:rFonts w:ascii="Arial" w:hAnsi="Arial" w:cs="Arial"/>
          <w:noProof/>
          <w:sz w:val="22"/>
        </w:rPr>
        <w:tab/>
        <w:t xml:space="preserve">Azizi E, Carr AJ, Plitas G, Cornish AE, Konopacki C, Prabhakaran S, et al. Single-Cell Map of Diverse Immune Phenotypes in the Breast Tumor Microenvironment. Cell. 2018; </w:t>
      </w:r>
    </w:p>
    <w:p w14:paraId="7D0E4A11"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24. </w:t>
      </w:r>
      <w:r w:rsidRPr="00853C93">
        <w:rPr>
          <w:rFonts w:ascii="Arial" w:hAnsi="Arial" w:cs="Arial"/>
          <w:noProof/>
          <w:sz w:val="22"/>
        </w:rPr>
        <w:tab/>
        <w:t xml:space="preserve">Guo X, Zhang Y, Zheng L, Zheng C, Song J, Zhang Q, et al. Global characterization of T cells in non-small-cell lung cancer by single-cell sequencing. Nat Med. 2018; </w:t>
      </w:r>
    </w:p>
    <w:p w14:paraId="283C71F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25. </w:t>
      </w:r>
      <w:r w:rsidRPr="00853C93">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31ED4AC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26. </w:t>
      </w:r>
      <w:r w:rsidRPr="00853C93">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775A8EA7"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27. </w:t>
      </w:r>
      <w:r w:rsidRPr="00853C93">
        <w:rPr>
          <w:rFonts w:ascii="Arial" w:hAnsi="Arial" w:cs="Arial"/>
          <w:noProof/>
          <w:sz w:val="22"/>
        </w:rPr>
        <w:tab/>
        <w:t xml:space="preserve">Zheng C, Zheng L, Yoo JK, Guo H, Zhang Y, Guo X, et al. Landscape of Infiltrating T Cells in Liver Cancer Revealed by Single-Cell Sequencing. Cell. 2017; </w:t>
      </w:r>
    </w:p>
    <w:p w14:paraId="681F9F1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28. </w:t>
      </w:r>
      <w:r w:rsidRPr="00853C93">
        <w:rPr>
          <w:rFonts w:ascii="Arial" w:hAnsi="Arial" w:cs="Arial"/>
          <w:noProof/>
          <w:sz w:val="22"/>
        </w:rPr>
        <w:tab/>
        <w:t xml:space="preserve">Dunham I, Kundaje A, Aldred SF, Collins PJ, Davis CA, Doyle F, et al. An integrated encyclopedia of DNA elements in the human genome. Nature. 2012; </w:t>
      </w:r>
    </w:p>
    <w:p w14:paraId="202824E2"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29. </w:t>
      </w:r>
      <w:r w:rsidRPr="00853C93">
        <w:rPr>
          <w:rFonts w:ascii="Arial" w:hAnsi="Arial" w:cs="Arial"/>
          <w:noProof/>
          <w:sz w:val="22"/>
        </w:rPr>
        <w:tab/>
        <w:t xml:space="preserve">Apetoh L, Smyth MJ, Drake CG, Abastado JP, Apte RN, Ayyoub M, et al. Consensus nomenclature for CD8+ T cell phenotypes in cancer. Oncoimmunology. 2015; </w:t>
      </w:r>
    </w:p>
    <w:p w14:paraId="3F1BA38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30. </w:t>
      </w:r>
      <w:r w:rsidRPr="00853C93">
        <w:rPr>
          <w:rFonts w:ascii="Arial" w:hAnsi="Arial" w:cs="Arial"/>
          <w:noProof/>
          <w:sz w:val="22"/>
        </w:rPr>
        <w:tab/>
        <w:t xml:space="preserve">Borcherding N, Kolb R, Gullicksrud J, Vikas P, Zhu Y, Zhang W. Keeping Tumors in Check: A Mechanistic Review of Clinical Response and Resistance to Immune Checkpoint Blockade in Cancer. J Mol Biol. 2018; </w:t>
      </w:r>
    </w:p>
    <w:p w14:paraId="225E53E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31. </w:t>
      </w:r>
      <w:r w:rsidRPr="00853C93">
        <w:rPr>
          <w:rFonts w:ascii="Arial" w:hAnsi="Arial" w:cs="Arial"/>
          <w:noProof/>
          <w:sz w:val="22"/>
        </w:rPr>
        <w:tab/>
        <w:t>Luecken MD, Theis FJ. Current best practices in single</w:t>
      </w:r>
      <w:r w:rsidRPr="00853C93">
        <w:rPr>
          <w:rFonts w:ascii="Cambria Math" w:hAnsi="Cambria Math" w:cs="Cambria Math"/>
          <w:noProof/>
          <w:sz w:val="22"/>
        </w:rPr>
        <w:t>‐</w:t>
      </w:r>
      <w:r w:rsidRPr="00853C93">
        <w:rPr>
          <w:rFonts w:ascii="Arial" w:hAnsi="Arial" w:cs="Arial"/>
          <w:noProof/>
          <w:sz w:val="22"/>
        </w:rPr>
        <w:t>cell RNA</w:t>
      </w:r>
      <w:r w:rsidRPr="00853C93">
        <w:rPr>
          <w:rFonts w:ascii="Cambria Math" w:hAnsi="Cambria Math" w:cs="Cambria Math"/>
          <w:noProof/>
          <w:sz w:val="22"/>
        </w:rPr>
        <w:t>‐</w:t>
      </w:r>
      <w:r w:rsidRPr="00853C93">
        <w:rPr>
          <w:rFonts w:ascii="Arial" w:hAnsi="Arial" w:cs="Arial"/>
          <w:noProof/>
          <w:sz w:val="22"/>
        </w:rPr>
        <w:t xml:space="preserve">seq analysis: a tutorial. Mol Syst Biol. 2019; </w:t>
      </w:r>
    </w:p>
    <w:p w14:paraId="17C6A708"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32. </w:t>
      </w:r>
      <w:r w:rsidRPr="00853C93">
        <w:rPr>
          <w:rFonts w:ascii="Arial" w:hAnsi="Arial" w:cs="Arial"/>
          <w:noProof/>
          <w:sz w:val="22"/>
        </w:rPr>
        <w:tab/>
        <w:t xml:space="preserve">Street K, Risso D, Fletcher RB, Das D, Ngai J, Yosef N, et al. Slingshot: Cell lineage and pseudotime inference for single-cell transcriptomics. BMC Genomics. 2018; </w:t>
      </w:r>
    </w:p>
    <w:p w14:paraId="3B02A204"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33. </w:t>
      </w:r>
      <w:r w:rsidRPr="00853C93">
        <w:rPr>
          <w:rFonts w:ascii="Arial" w:hAnsi="Arial" w:cs="Arial"/>
          <w:noProof/>
          <w:sz w:val="22"/>
        </w:rPr>
        <w:tab/>
        <w:t xml:space="preserve">Baldan V, Griffiths R, Hawkins RE, Gilham DE. Efficient and reproducible generation of tumour-infiltrating lymphocytes for renal cell carcinoma. Br J Cancer. 2015; </w:t>
      </w:r>
    </w:p>
    <w:p w14:paraId="6F0E518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34. </w:t>
      </w:r>
      <w:r w:rsidRPr="00853C93">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135BE08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35. </w:t>
      </w:r>
      <w:r w:rsidRPr="00853C93">
        <w:rPr>
          <w:rFonts w:ascii="Arial" w:hAnsi="Arial" w:cs="Arial"/>
          <w:noProof/>
          <w:sz w:val="22"/>
        </w:rPr>
        <w:tab/>
        <w:t xml:space="preserve">Stuart T, Butler A, Hoffman P, Hafemeister C, Papalexi E, Mauck WM, et al. Comprehensive Integration of Single-Cell Data. Cell. 2019; </w:t>
      </w:r>
    </w:p>
    <w:p w14:paraId="46C22F9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36. </w:t>
      </w:r>
      <w:r w:rsidRPr="00853C93">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22A9117F"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37. </w:t>
      </w:r>
      <w:r w:rsidRPr="00853C93">
        <w:rPr>
          <w:rFonts w:ascii="Arial" w:hAnsi="Arial" w:cs="Arial"/>
          <w:noProof/>
          <w:sz w:val="22"/>
        </w:rPr>
        <w:tab/>
        <w:t xml:space="preserve">Hafemeister C, Satija R. Normalization and variance stabilization of single-cell RNA-seq data using regularized negative binomial regression. Genome Biol. 2019; </w:t>
      </w:r>
    </w:p>
    <w:p w14:paraId="4B10F3DA"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38. </w:t>
      </w:r>
      <w:r w:rsidRPr="00853C93">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6467CD4E"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lastRenderedPageBreak/>
        <w:t xml:space="preserve">39. </w:t>
      </w:r>
      <w:r w:rsidRPr="00853C93">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7D3C24BD" w14:textId="77777777" w:rsidR="00853C93" w:rsidRPr="00853C93" w:rsidRDefault="00853C93" w:rsidP="00853C93">
      <w:pPr>
        <w:widowControl w:val="0"/>
        <w:autoSpaceDE w:val="0"/>
        <w:autoSpaceDN w:val="0"/>
        <w:adjustRightInd w:val="0"/>
        <w:spacing w:line="480" w:lineRule="auto"/>
        <w:ind w:left="640" w:hanging="640"/>
        <w:rPr>
          <w:rFonts w:ascii="Arial" w:hAnsi="Arial" w:cs="Arial"/>
          <w:noProof/>
          <w:sz w:val="22"/>
        </w:rPr>
      </w:pPr>
      <w:r w:rsidRPr="00853C93">
        <w:rPr>
          <w:rFonts w:ascii="Arial" w:hAnsi="Arial" w:cs="Arial"/>
          <w:noProof/>
          <w:sz w:val="22"/>
        </w:rPr>
        <w:t xml:space="preserve">40. </w:t>
      </w:r>
      <w:r w:rsidRPr="00853C93">
        <w:rPr>
          <w:rFonts w:ascii="Arial" w:hAnsi="Arial" w:cs="Arial"/>
          <w:noProof/>
          <w:sz w:val="22"/>
        </w:rPr>
        <w:tab/>
        <w:t xml:space="preserve">Borcherding N, Bormann NL. scRepertoire: An R-based toolkit for single-cell immune receptor analysis. F1000Research. 2020; </w:t>
      </w:r>
    </w:p>
    <w:p w14:paraId="25CAF47A" w14:textId="075A6D16" w:rsidR="002E4EFB" w:rsidRPr="002E4EFB" w:rsidRDefault="002E4EFB" w:rsidP="00853C93">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245FD420" w14:textId="77777777" w:rsidR="001D7F41" w:rsidRDefault="001D7F41" w:rsidP="00276C2F">
      <w:pPr>
        <w:spacing w:line="480" w:lineRule="auto"/>
        <w:rPr>
          <w:rFonts w:ascii="Arial" w:hAnsi="Arial" w:cs="Arial"/>
          <w:b/>
          <w:bCs/>
          <w:sz w:val="22"/>
          <w:szCs w:val="22"/>
        </w:rPr>
      </w:pPr>
    </w:p>
    <w:p w14:paraId="06F2AC7F" w14:textId="77777777" w:rsidR="001D7F41" w:rsidRDefault="001D7F41" w:rsidP="00276C2F">
      <w:pPr>
        <w:spacing w:line="480" w:lineRule="auto"/>
        <w:rPr>
          <w:rFonts w:ascii="Arial" w:hAnsi="Arial" w:cs="Arial"/>
          <w:b/>
          <w:bCs/>
          <w:sz w:val="22"/>
          <w:szCs w:val="22"/>
        </w:rPr>
      </w:pPr>
    </w:p>
    <w:p w14:paraId="1D488FD4" w14:textId="77777777" w:rsidR="001D7F41" w:rsidRDefault="001D7F41" w:rsidP="00276C2F">
      <w:pPr>
        <w:spacing w:line="480" w:lineRule="auto"/>
        <w:rPr>
          <w:rFonts w:ascii="Arial" w:hAnsi="Arial" w:cs="Arial"/>
          <w:b/>
          <w:bCs/>
          <w:sz w:val="22"/>
          <w:szCs w:val="22"/>
        </w:rPr>
      </w:pPr>
    </w:p>
    <w:p w14:paraId="59095FC0" w14:textId="77777777" w:rsidR="001D7F41" w:rsidRDefault="001D7F41" w:rsidP="00276C2F">
      <w:pPr>
        <w:spacing w:line="480" w:lineRule="auto"/>
        <w:rPr>
          <w:rFonts w:ascii="Arial" w:hAnsi="Arial" w:cs="Arial"/>
          <w:b/>
          <w:bCs/>
          <w:sz w:val="22"/>
          <w:szCs w:val="22"/>
        </w:rPr>
      </w:pPr>
    </w:p>
    <w:p w14:paraId="5AA8948B" w14:textId="77777777" w:rsidR="001D7F41" w:rsidRDefault="001D7F41" w:rsidP="00276C2F">
      <w:pPr>
        <w:spacing w:line="480" w:lineRule="auto"/>
        <w:rPr>
          <w:rFonts w:ascii="Arial" w:hAnsi="Arial" w:cs="Arial"/>
          <w:b/>
          <w:bCs/>
          <w:sz w:val="22"/>
          <w:szCs w:val="22"/>
        </w:rPr>
      </w:pPr>
    </w:p>
    <w:p w14:paraId="098473FB" w14:textId="77777777" w:rsidR="001D7F41" w:rsidRDefault="001D7F41" w:rsidP="00276C2F">
      <w:pPr>
        <w:spacing w:line="480" w:lineRule="auto"/>
        <w:rPr>
          <w:rFonts w:ascii="Arial" w:hAnsi="Arial" w:cs="Arial"/>
          <w:b/>
          <w:bCs/>
          <w:sz w:val="22"/>
          <w:szCs w:val="22"/>
        </w:rPr>
      </w:pPr>
    </w:p>
    <w:p w14:paraId="050FAA9A" w14:textId="77777777" w:rsidR="001D7F41" w:rsidRDefault="001D7F41" w:rsidP="00276C2F">
      <w:pPr>
        <w:spacing w:line="480" w:lineRule="auto"/>
        <w:rPr>
          <w:rFonts w:ascii="Arial" w:hAnsi="Arial" w:cs="Arial"/>
          <w:b/>
          <w:bCs/>
          <w:sz w:val="22"/>
          <w:szCs w:val="22"/>
        </w:rPr>
      </w:pPr>
    </w:p>
    <w:p w14:paraId="275ABB90" w14:textId="77777777" w:rsidR="001D7F41" w:rsidRDefault="001D7F41" w:rsidP="00276C2F">
      <w:pPr>
        <w:spacing w:line="480" w:lineRule="auto"/>
        <w:rPr>
          <w:rFonts w:ascii="Arial" w:hAnsi="Arial" w:cs="Arial"/>
          <w:b/>
          <w:bCs/>
          <w:sz w:val="22"/>
          <w:szCs w:val="22"/>
        </w:rPr>
      </w:pPr>
    </w:p>
    <w:p w14:paraId="76B95AEE" w14:textId="77777777" w:rsidR="001D7F41" w:rsidRDefault="001D7F41" w:rsidP="00276C2F">
      <w:pPr>
        <w:spacing w:line="480" w:lineRule="auto"/>
        <w:rPr>
          <w:rFonts w:ascii="Arial" w:hAnsi="Arial" w:cs="Arial"/>
          <w:b/>
          <w:bCs/>
          <w:sz w:val="22"/>
          <w:szCs w:val="22"/>
        </w:rPr>
      </w:pPr>
    </w:p>
    <w:p w14:paraId="65F36694" w14:textId="77777777" w:rsidR="001D7F41" w:rsidRDefault="001D7F41" w:rsidP="00276C2F">
      <w:pPr>
        <w:spacing w:line="480" w:lineRule="auto"/>
        <w:rPr>
          <w:rFonts w:ascii="Arial" w:hAnsi="Arial" w:cs="Arial"/>
          <w:b/>
          <w:bCs/>
          <w:sz w:val="22"/>
          <w:szCs w:val="22"/>
        </w:rPr>
      </w:pPr>
    </w:p>
    <w:p w14:paraId="03E03B02" w14:textId="77777777" w:rsidR="001D7F41" w:rsidRDefault="001D7F41" w:rsidP="00276C2F">
      <w:pPr>
        <w:spacing w:line="480" w:lineRule="auto"/>
        <w:rPr>
          <w:rFonts w:ascii="Arial" w:hAnsi="Arial" w:cs="Arial"/>
          <w:b/>
          <w:bCs/>
          <w:sz w:val="22"/>
          <w:szCs w:val="22"/>
        </w:rPr>
      </w:pPr>
    </w:p>
    <w:p w14:paraId="78BE4BCF" w14:textId="77777777" w:rsidR="001D7F41" w:rsidRDefault="001D7F41" w:rsidP="00276C2F">
      <w:pPr>
        <w:spacing w:line="480" w:lineRule="auto"/>
        <w:rPr>
          <w:rFonts w:ascii="Arial" w:hAnsi="Arial" w:cs="Arial"/>
          <w:b/>
          <w:bCs/>
          <w:sz w:val="22"/>
          <w:szCs w:val="22"/>
        </w:rPr>
      </w:pPr>
    </w:p>
    <w:p w14:paraId="4A61FBEF" w14:textId="4C447160"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25E96EEF" w:rsidR="009A5803" w:rsidRDefault="00DD271C" w:rsidP="00276C2F">
      <w:pPr>
        <w:spacing w:line="480" w:lineRule="auto"/>
        <w:rPr>
          <w:rFonts w:ascii="Arial" w:hAnsi="Arial" w:cs="Arial"/>
          <w:sz w:val="22"/>
          <w:szCs w:val="22"/>
        </w:rPr>
      </w:pPr>
      <w:r>
        <w:rPr>
          <w:rFonts w:ascii="Arial" w:hAnsi="Arial" w:cs="Arial"/>
          <w:noProof/>
          <w:sz w:val="22"/>
          <w:szCs w:val="22"/>
        </w:rPr>
        <w:lastRenderedPageBreak/>
        <w:drawing>
          <wp:inline distT="0" distB="0" distL="0" distR="0" wp14:anchorId="075199A0" wp14:editId="5CCDCACD">
            <wp:extent cx="5943600" cy="3210560"/>
            <wp:effectExtent l="0" t="0" r="0" b="2540"/>
            <wp:docPr id="6" name="Picture 6"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676DC0D5"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w:t>
      </w:r>
      <w:r w:rsidR="00DD271C">
        <w:rPr>
          <w:rFonts w:ascii="Arial" w:hAnsi="Arial" w:cs="Arial"/>
          <w:sz w:val="22"/>
          <w:szCs w:val="22"/>
        </w:rPr>
        <w:t>ANOVA;</w:t>
      </w:r>
      <w:r w:rsidR="005A1358">
        <w:rPr>
          <w:rFonts w:ascii="Arial" w:hAnsi="Arial" w:cs="Arial"/>
          <w:sz w:val="22"/>
          <w:szCs w:val="22"/>
        </w:rPr>
        <w:t xml:space="preserve"> lack of p-values equates to value &gt; 0.05.</w:t>
      </w:r>
    </w:p>
    <w:p w14:paraId="15B908F4" w14:textId="451882C1" w:rsidR="009E2322" w:rsidRDefault="009E2322" w:rsidP="00276C2F">
      <w:pPr>
        <w:spacing w:line="480" w:lineRule="auto"/>
        <w:rPr>
          <w:rFonts w:ascii="Arial" w:hAnsi="Arial" w:cs="Arial"/>
          <w:sz w:val="22"/>
          <w:szCs w:val="22"/>
        </w:rPr>
      </w:pPr>
    </w:p>
    <w:p w14:paraId="68A16865" w14:textId="1C3ADD18" w:rsidR="001D7F41" w:rsidRDefault="001D7F41" w:rsidP="00276C2F">
      <w:pPr>
        <w:spacing w:line="480" w:lineRule="auto"/>
        <w:rPr>
          <w:rFonts w:ascii="Arial" w:hAnsi="Arial" w:cs="Arial"/>
          <w:sz w:val="22"/>
          <w:szCs w:val="22"/>
        </w:rPr>
      </w:pPr>
    </w:p>
    <w:p w14:paraId="6BFBF397" w14:textId="41649951" w:rsidR="00BF0F9E" w:rsidRPr="00DD271C" w:rsidRDefault="0030339B" w:rsidP="001D7F41">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6AE0026C" wp14:editId="7AB7D7C4">
            <wp:extent cx="5943600" cy="4460240"/>
            <wp:effectExtent l="0" t="0" r="0" b="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sidR="00BF0F9E" w:rsidRPr="00DD271C">
        <w:rPr>
          <w:rFonts w:ascii="Arial" w:hAnsi="Arial" w:cs="Arial"/>
          <w:b/>
          <w:bCs/>
          <w:sz w:val="22"/>
          <w:szCs w:val="22"/>
        </w:rPr>
        <w:t>Figure 2: CD8</w:t>
      </w:r>
      <w:r w:rsidR="00AF201D">
        <w:rPr>
          <w:rFonts w:ascii="Arial" w:hAnsi="Arial" w:cs="Arial"/>
          <w:b/>
          <w:bCs/>
          <w:sz w:val="22"/>
          <w:szCs w:val="22"/>
          <w:vertAlign w:val="superscript"/>
        </w:rPr>
        <w:t>+</w:t>
      </w:r>
      <w:r w:rsidR="00BF0F9E" w:rsidRPr="00DD271C">
        <w:rPr>
          <w:rFonts w:ascii="Arial" w:hAnsi="Arial" w:cs="Arial"/>
          <w:b/>
          <w:bCs/>
          <w:sz w:val="22"/>
          <w:szCs w:val="22"/>
        </w:rPr>
        <w:t xml:space="preserve"> T cells in ccRCC tumors exhibit a transcriptional continuum with distinct populations. A. </w:t>
      </w:r>
      <w:r w:rsidR="00BF0F9E" w:rsidRPr="00DD271C">
        <w:rPr>
          <w:rFonts w:ascii="Arial" w:hAnsi="Arial" w:cs="Arial"/>
          <w:sz w:val="22"/>
          <w:szCs w:val="22"/>
        </w:rPr>
        <w:t xml:space="preserve">UMAP </w:t>
      </w:r>
      <w:proofErr w:type="spellStart"/>
      <w:r w:rsidR="00BF0F9E" w:rsidRPr="00DD271C">
        <w:rPr>
          <w:rFonts w:ascii="Arial" w:hAnsi="Arial" w:cs="Arial"/>
          <w:sz w:val="22"/>
          <w:szCs w:val="22"/>
        </w:rPr>
        <w:t>subclustering</w:t>
      </w:r>
      <w:proofErr w:type="spellEnd"/>
      <w:r w:rsidR="00BF0F9E" w:rsidRPr="00DD271C">
        <w:rPr>
          <w:rFonts w:ascii="Arial" w:hAnsi="Arial" w:cs="Arial"/>
          <w:sz w:val="22"/>
          <w:szCs w:val="22"/>
        </w:rPr>
        <w:t xml:space="preserve"> of CD</w:t>
      </w:r>
      <w:r w:rsidR="007A2B8C" w:rsidRPr="00DD271C">
        <w:rPr>
          <w:rFonts w:ascii="Arial" w:hAnsi="Arial" w:cs="Arial"/>
          <w:sz w:val="22"/>
          <w:szCs w:val="22"/>
        </w:rPr>
        <w:t>8</w:t>
      </w:r>
      <w:r w:rsidR="00BF0F9E" w:rsidRPr="00DD271C">
        <w:rPr>
          <w:rFonts w:ascii="Arial" w:hAnsi="Arial" w:cs="Arial"/>
          <w:sz w:val="22"/>
          <w:szCs w:val="22"/>
          <w:vertAlign w:val="superscript"/>
        </w:rPr>
        <w:t>+</w:t>
      </w:r>
      <w:r w:rsidR="00BF0F9E" w:rsidRPr="00DD271C">
        <w:rPr>
          <w:rFonts w:ascii="Arial" w:hAnsi="Arial" w:cs="Arial"/>
          <w:sz w:val="22"/>
          <w:szCs w:val="22"/>
        </w:rPr>
        <w:t xml:space="preserve"> T cells (original clusters 1, 8</w:t>
      </w:r>
      <w:r w:rsidR="00DD271C">
        <w:rPr>
          <w:rFonts w:ascii="Arial" w:hAnsi="Arial" w:cs="Arial"/>
          <w:sz w:val="22"/>
          <w:szCs w:val="22"/>
        </w:rPr>
        <w:t xml:space="preserve">, </w:t>
      </w:r>
      <w:r w:rsidR="00BF0F9E" w:rsidRPr="00DD271C">
        <w:rPr>
          <w:rFonts w:ascii="Arial" w:hAnsi="Arial" w:cs="Arial"/>
          <w:sz w:val="22"/>
          <w:szCs w:val="22"/>
        </w:rPr>
        <w:t>9</w:t>
      </w:r>
      <w:r w:rsidR="00DD271C">
        <w:rPr>
          <w:rFonts w:ascii="Arial" w:hAnsi="Arial" w:cs="Arial"/>
          <w:sz w:val="22"/>
          <w:szCs w:val="22"/>
        </w:rPr>
        <w:t>, and 17</w:t>
      </w:r>
      <w:r w:rsidR="00BF0F9E" w:rsidRPr="00DD271C">
        <w:rPr>
          <w:rFonts w:ascii="Arial" w:hAnsi="Arial" w:cs="Arial"/>
          <w:sz w:val="22"/>
          <w:szCs w:val="22"/>
        </w:rPr>
        <w:t xml:space="preserve">). </w:t>
      </w:r>
      <w:r w:rsidR="00BF0F9E" w:rsidRPr="00DD271C">
        <w:rPr>
          <w:rFonts w:ascii="Arial" w:hAnsi="Arial" w:cs="Arial"/>
          <w:b/>
          <w:bCs/>
          <w:sz w:val="22"/>
          <w:szCs w:val="22"/>
        </w:rPr>
        <w:t>B</w:t>
      </w:r>
      <w:r w:rsidR="00BF0F9E" w:rsidRPr="00DD271C">
        <w:rPr>
          <w:rFonts w:ascii="Arial" w:hAnsi="Arial" w:cs="Arial"/>
          <w:sz w:val="22"/>
          <w:szCs w:val="22"/>
        </w:rPr>
        <w:t xml:space="preserve">. UMAP distribution of single cells by tissue type with relative percent of cells by tissue in each cluster. </w:t>
      </w:r>
      <w:r w:rsidR="00BF0F9E" w:rsidRPr="00DD271C">
        <w:rPr>
          <w:rFonts w:ascii="Arial" w:hAnsi="Arial" w:cs="Arial"/>
          <w:b/>
          <w:bCs/>
          <w:sz w:val="22"/>
          <w:szCs w:val="22"/>
        </w:rPr>
        <w:t>C</w:t>
      </w:r>
      <w:r w:rsidR="00BF0F9E" w:rsidRPr="00DD271C">
        <w:rPr>
          <w:rFonts w:ascii="Arial" w:hAnsi="Arial" w:cs="Arial"/>
          <w:sz w:val="22"/>
          <w:szCs w:val="22"/>
        </w:rPr>
        <w:t>. Cell cycle regression assignments for CD8</w:t>
      </w:r>
      <w:r w:rsidR="00BF0F9E" w:rsidRPr="001D7F41">
        <w:rPr>
          <w:rFonts w:ascii="Arial" w:hAnsi="Arial" w:cs="Arial"/>
          <w:sz w:val="22"/>
          <w:szCs w:val="22"/>
          <w:vertAlign w:val="superscript"/>
        </w:rPr>
        <w:t>+</w:t>
      </w:r>
      <w:r w:rsidR="00BF0F9E" w:rsidRPr="00DD271C">
        <w:rPr>
          <w:rFonts w:ascii="Arial" w:hAnsi="Arial" w:cs="Arial"/>
          <w:sz w:val="22"/>
          <w:szCs w:val="22"/>
        </w:rPr>
        <w:t xml:space="preserve"> T cells by cluster assignment. </w:t>
      </w:r>
      <w:r w:rsidR="00BF0F9E" w:rsidRPr="00DD271C">
        <w:rPr>
          <w:rFonts w:ascii="Arial" w:hAnsi="Arial" w:cs="Arial"/>
          <w:b/>
          <w:bCs/>
          <w:sz w:val="22"/>
          <w:szCs w:val="22"/>
        </w:rPr>
        <w:t>D</w:t>
      </w:r>
      <w:r w:rsidR="00BF0F9E" w:rsidRPr="00DD271C">
        <w:rPr>
          <w:rFonts w:ascii="Arial" w:hAnsi="Arial" w:cs="Arial"/>
          <w:sz w:val="22"/>
          <w:szCs w:val="22"/>
        </w:rPr>
        <w:t>. Percent of cells expressing selected markers for T cell biology.</w:t>
      </w:r>
      <w:r w:rsidR="001D7F41">
        <w:rPr>
          <w:rFonts w:ascii="Arial" w:hAnsi="Arial" w:cs="Arial"/>
          <w:sz w:val="22"/>
          <w:szCs w:val="22"/>
        </w:rPr>
        <w:t xml:space="preserve"> </w:t>
      </w:r>
      <w:r w:rsidR="001D7F41">
        <w:rPr>
          <w:rFonts w:ascii="Arial" w:hAnsi="Arial" w:cs="Arial"/>
          <w:b/>
          <w:bCs/>
          <w:sz w:val="22"/>
          <w:szCs w:val="22"/>
        </w:rPr>
        <w:t>E</w:t>
      </w:r>
      <w:r w:rsidR="001D7F41" w:rsidRPr="00DD271C">
        <w:rPr>
          <w:rFonts w:ascii="Arial" w:hAnsi="Arial" w:cs="Arial"/>
          <w:sz w:val="22"/>
          <w:szCs w:val="22"/>
        </w:rPr>
        <w:t>. CD8</w:t>
      </w:r>
      <w:r w:rsidR="001D7F41" w:rsidRPr="00DD271C">
        <w:rPr>
          <w:rFonts w:ascii="Arial" w:hAnsi="Arial" w:cs="Arial"/>
          <w:sz w:val="22"/>
          <w:szCs w:val="22"/>
          <w:vertAlign w:val="superscript"/>
        </w:rPr>
        <w:t>+</w:t>
      </w:r>
      <w:r w:rsidR="001D7F41" w:rsidRPr="00DD271C">
        <w:rPr>
          <w:rFonts w:ascii="Arial" w:hAnsi="Arial" w:cs="Arial"/>
          <w:sz w:val="22"/>
          <w:szCs w:val="22"/>
        </w:rPr>
        <w:t xml:space="preserve"> UMAP of clusters (upper panel) and clonotype frequency (lower panel) overlaid with slingshot-based </w:t>
      </w:r>
      <w:r w:rsidR="001D7F41" w:rsidRPr="00DD271C">
        <w:rPr>
          <w:rFonts w:ascii="Arial" w:hAnsi="Arial" w:cs="Arial"/>
          <w:sz w:val="22"/>
          <w:szCs w:val="22"/>
        </w:rPr>
        <w:fldChar w:fldCharType="begin" w:fldLock="1"/>
      </w:r>
      <w:r w:rsidR="001D7F41">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1D7F41" w:rsidRPr="00DD271C">
        <w:rPr>
          <w:rFonts w:ascii="Arial" w:hAnsi="Arial" w:cs="Arial"/>
          <w:sz w:val="22"/>
          <w:szCs w:val="22"/>
        </w:rPr>
        <w:fldChar w:fldCharType="separate"/>
      </w:r>
      <w:r w:rsidR="001D7F41" w:rsidRPr="00974483">
        <w:rPr>
          <w:rFonts w:ascii="Arial" w:hAnsi="Arial" w:cs="Arial"/>
          <w:noProof/>
          <w:sz w:val="22"/>
          <w:szCs w:val="22"/>
        </w:rPr>
        <w:t>(32)</w:t>
      </w:r>
      <w:r w:rsidR="001D7F41" w:rsidRPr="00DD271C">
        <w:rPr>
          <w:rFonts w:ascii="Arial" w:hAnsi="Arial" w:cs="Arial"/>
          <w:sz w:val="22"/>
          <w:szCs w:val="22"/>
        </w:rPr>
        <w:fldChar w:fldCharType="end"/>
      </w:r>
      <w:r w:rsidR="001D7F41" w:rsidRPr="00DD271C">
        <w:rPr>
          <w:rFonts w:ascii="Arial" w:hAnsi="Arial" w:cs="Arial"/>
          <w:sz w:val="22"/>
          <w:szCs w:val="22"/>
        </w:rPr>
        <w:t xml:space="preserve"> cell trajectory starting at </w:t>
      </w:r>
      <w:r w:rsidR="001D7F41">
        <w:rPr>
          <w:rFonts w:ascii="Arial" w:hAnsi="Arial" w:cs="Arial"/>
          <w:sz w:val="22"/>
          <w:szCs w:val="22"/>
        </w:rPr>
        <w:t>CD8_</w:t>
      </w:r>
      <w:r w:rsidR="001D7F41" w:rsidRPr="00DD271C">
        <w:rPr>
          <w:rFonts w:ascii="Arial" w:hAnsi="Arial" w:cs="Arial"/>
          <w:sz w:val="22"/>
          <w:szCs w:val="22"/>
        </w:rPr>
        <w:t>4 and proceeding into 5 distinct curves: branch 1 (B</w:t>
      </w:r>
      <w:r w:rsidR="001D7F41" w:rsidRPr="00DD271C">
        <w:rPr>
          <w:rFonts w:ascii="Arial" w:hAnsi="Arial" w:cs="Arial"/>
          <w:sz w:val="22"/>
          <w:szCs w:val="22"/>
          <w:vertAlign w:val="subscript"/>
        </w:rPr>
        <w:t>1</w:t>
      </w:r>
      <w:r w:rsidR="001D7F41" w:rsidRPr="00DD271C">
        <w:rPr>
          <w:rFonts w:ascii="Arial" w:hAnsi="Arial" w:cs="Arial"/>
          <w:sz w:val="22"/>
          <w:szCs w:val="22"/>
        </w:rPr>
        <w:t>), B</w:t>
      </w:r>
      <w:r w:rsidR="001D7F41" w:rsidRPr="00DD271C">
        <w:rPr>
          <w:rFonts w:ascii="Arial" w:hAnsi="Arial" w:cs="Arial"/>
          <w:sz w:val="22"/>
          <w:szCs w:val="22"/>
          <w:vertAlign w:val="subscript"/>
        </w:rPr>
        <w:t>2</w:t>
      </w:r>
      <w:r w:rsidR="001D7F41" w:rsidRPr="00DD271C">
        <w:rPr>
          <w:rFonts w:ascii="Arial" w:hAnsi="Arial" w:cs="Arial"/>
          <w:sz w:val="22"/>
          <w:szCs w:val="22"/>
        </w:rPr>
        <w:t>, B</w:t>
      </w:r>
      <w:r w:rsidR="001D7F41" w:rsidRPr="00DD271C">
        <w:rPr>
          <w:rFonts w:ascii="Arial" w:hAnsi="Arial" w:cs="Arial"/>
          <w:sz w:val="22"/>
          <w:szCs w:val="22"/>
          <w:vertAlign w:val="subscript"/>
        </w:rPr>
        <w:t>3</w:t>
      </w:r>
      <w:r w:rsidR="001D7F41" w:rsidRPr="00DD271C">
        <w:rPr>
          <w:rFonts w:ascii="Arial" w:hAnsi="Arial" w:cs="Arial"/>
          <w:sz w:val="22"/>
          <w:szCs w:val="22"/>
        </w:rPr>
        <w:t>, B</w:t>
      </w:r>
      <w:r w:rsidR="001D7F41" w:rsidRPr="00DD271C">
        <w:rPr>
          <w:rFonts w:ascii="Arial" w:hAnsi="Arial" w:cs="Arial"/>
          <w:sz w:val="22"/>
          <w:szCs w:val="22"/>
          <w:vertAlign w:val="subscript"/>
        </w:rPr>
        <w:t>4</w:t>
      </w:r>
      <w:r w:rsidR="001D7F41" w:rsidRPr="00DD271C">
        <w:rPr>
          <w:rFonts w:ascii="Arial" w:hAnsi="Arial" w:cs="Arial"/>
          <w:sz w:val="22"/>
          <w:szCs w:val="22"/>
        </w:rPr>
        <w:t>, and B</w:t>
      </w:r>
      <w:r w:rsidR="001D7F41" w:rsidRPr="00DD271C">
        <w:rPr>
          <w:rFonts w:ascii="Arial" w:hAnsi="Arial" w:cs="Arial"/>
          <w:sz w:val="22"/>
          <w:szCs w:val="22"/>
          <w:vertAlign w:val="subscript"/>
        </w:rPr>
        <w:t>5</w:t>
      </w:r>
      <w:r w:rsidR="001D7F41" w:rsidRPr="00DD271C">
        <w:rPr>
          <w:rFonts w:ascii="Arial" w:hAnsi="Arial" w:cs="Arial"/>
          <w:sz w:val="22"/>
          <w:szCs w:val="22"/>
        </w:rPr>
        <w:t>.</w:t>
      </w:r>
      <w:r w:rsidR="00BF0F9E" w:rsidRPr="00DD271C">
        <w:rPr>
          <w:rFonts w:ascii="Arial" w:hAnsi="Arial" w:cs="Arial"/>
          <w:sz w:val="22"/>
          <w:szCs w:val="22"/>
        </w:rPr>
        <w:t xml:space="preserve"> </w:t>
      </w:r>
      <w:r w:rsidRPr="0030339B">
        <w:rPr>
          <w:rFonts w:ascii="Arial" w:hAnsi="Arial" w:cs="Arial"/>
          <w:b/>
          <w:bCs/>
          <w:sz w:val="22"/>
          <w:szCs w:val="22"/>
        </w:rPr>
        <w:t>F</w:t>
      </w:r>
      <w:r>
        <w:rPr>
          <w:rFonts w:ascii="Arial" w:hAnsi="Arial" w:cs="Arial"/>
          <w:sz w:val="22"/>
          <w:szCs w:val="22"/>
        </w:rPr>
        <w:t xml:space="preserve">. Clonotype overlap coefficients between </w:t>
      </w:r>
      <w:proofErr w:type="spellStart"/>
      <w:r>
        <w:rPr>
          <w:rFonts w:ascii="Arial" w:hAnsi="Arial" w:cs="Arial"/>
          <w:sz w:val="22"/>
          <w:szCs w:val="22"/>
        </w:rPr>
        <w:t>subclusters</w:t>
      </w:r>
      <w:proofErr w:type="spellEnd"/>
      <w:r>
        <w:rPr>
          <w:rFonts w:ascii="Arial" w:hAnsi="Arial" w:cs="Arial"/>
          <w:sz w:val="22"/>
          <w:szCs w:val="22"/>
        </w:rPr>
        <w:t xml:space="preserve">. </w:t>
      </w:r>
      <w:r>
        <w:rPr>
          <w:rFonts w:ascii="Arial" w:hAnsi="Arial" w:cs="Arial"/>
          <w:b/>
          <w:bCs/>
          <w:sz w:val="22"/>
          <w:szCs w:val="22"/>
        </w:rPr>
        <w:t>G</w:t>
      </w:r>
      <w:r w:rsidR="00BF0F9E" w:rsidRPr="00DD271C">
        <w:rPr>
          <w:rFonts w:ascii="Arial" w:hAnsi="Arial" w:cs="Arial"/>
          <w:sz w:val="22"/>
          <w:szCs w:val="22"/>
        </w:rPr>
        <w:t>.</w:t>
      </w:r>
      <w:r w:rsidR="007A2B8C" w:rsidRPr="00DD271C">
        <w:rPr>
          <w:rFonts w:ascii="Arial" w:hAnsi="Arial" w:cs="Arial"/>
          <w:sz w:val="22"/>
          <w:szCs w:val="22"/>
        </w:rPr>
        <w:t xml:space="preserve"> Z-transformed normalized enrichment scores from</w:t>
      </w:r>
      <w:r w:rsidR="00BF0F9E" w:rsidRPr="00DD271C">
        <w:rPr>
          <w:rFonts w:ascii="Arial" w:hAnsi="Arial" w:cs="Arial"/>
          <w:sz w:val="22"/>
          <w:szCs w:val="22"/>
        </w:rPr>
        <w:t xml:space="preserve"> ssGSEA  for </w:t>
      </w:r>
      <w:r w:rsidR="007A2B8C" w:rsidRPr="00DD271C">
        <w:rPr>
          <w:rFonts w:ascii="Arial" w:hAnsi="Arial" w:cs="Arial"/>
          <w:sz w:val="22"/>
          <w:szCs w:val="22"/>
        </w:rPr>
        <w:t xml:space="preserve">selected gene sets by </w:t>
      </w:r>
      <w:proofErr w:type="spellStart"/>
      <w:r w:rsidR="007A2B8C" w:rsidRPr="00DD271C">
        <w:rPr>
          <w:rFonts w:ascii="Arial" w:hAnsi="Arial" w:cs="Arial"/>
          <w:sz w:val="22"/>
          <w:szCs w:val="22"/>
        </w:rPr>
        <w:t>subcluster</w:t>
      </w:r>
      <w:proofErr w:type="spellEnd"/>
      <w:r w:rsidR="007A2B8C" w:rsidRPr="00DD271C">
        <w:rPr>
          <w:rFonts w:ascii="Arial" w:hAnsi="Arial" w:cs="Arial"/>
          <w:sz w:val="22"/>
          <w:szCs w:val="22"/>
        </w:rPr>
        <w:t>.</w:t>
      </w:r>
      <w:r w:rsidR="00BF0F9E" w:rsidRPr="00DD271C">
        <w:rPr>
          <w:rFonts w:ascii="Arial" w:hAnsi="Arial" w:cs="Arial"/>
          <w:sz w:val="22"/>
          <w:szCs w:val="22"/>
        </w:rPr>
        <w:t xml:space="preserve"> </w:t>
      </w:r>
      <w:r>
        <w:rPr>
          <w:rFonts w:ascii="Arial" w:hAnsi="Arial" w:cs="Arial"/>
          <w:b/>
          <w:bCs/>
          <w:sz w:val="22"/>
          <w:szCs w:val="22"/>
        </w:rPr>
        <w:t>H</w:t>
      </w:r>
      <w:r w:rsidR="00BF0F9E" w:rsidRPr="00DD271C">
        <w:rPr>
          <w:rFonts w:ascii="Arial" w:hAnsi="Arial" w:cs="Arial"/>
          <w:sz w:val="22"/>
          <w:szCs w:val="22"/>
        </w:rPr>
        <w:t xml:space="preserve">. </w:t>
      </w:r>
      <w:r w:rsidR="007A2B8C" w:rsidRPr="00DD271C">
        <w:rPr>
          <w:rFonts w:ascii="Arial" w:hAnsi="Arial" w:cs="Arial"/>
          <w:sz w:val="22"/>
          <w:szCs w:val="22"/>
        </w:rPr>
        <w:t>Normalized enrichment scores for therapeutic response or lack of response to anti-PD-1 therapy across the CD8</w:t>
      </w:r>
      <w:r w:rsidR="007A2B8C" w:rsidRPr="0031147A">
        <w:rPr>
          <w:rFonts w:ascii="Arial" w:hAnsi="Arial" w:cs="Arial"/>
          <w:sz w:val="22"/>
          <w:szCs w:val="22"/>
          <w:vertAlign w:val="superscript"/>
        </w:rPr>
        <w:t>+</w:t>
      </w:r>
      <w:r w:rsidR="007A2B8C" w:rsidRPr="00DD271C">
        <w:rPr>
          <w:rFonts w:ascii="Arial" w:hAnsi="Arial" w:cs="Arial"/>
          <w:sz w:val="22"/>
          <w:szCs w:val="22"/>
        </w:rPr>
        <w:t xml:space="preserve"> T cells (upper panel) and by pseudotime of each branch (lower panel).</w:t>
      </w:r>
    </w:p>
    <w:p w14:paraId="22C8775A" w14:textId="0C3B3DD2" w:rsidR="00BF0F9E" w:rsidRDefault="00BF0F9E" w:rsidP="00276C2F">
      <w:pPr>
        <w:spacing w:line="480" w:lineRule="auto"/>
        <w:rPr>
          <w:rFonts w:ascii="Arial" w:hAnsi="Arial" w:cs="Arial"/>
          <w:sz w:val="22"/>
          <w:szCs w:val="22"/>
        </w:rPr>
      </w:pPr>
    </w:p>
    <w:p w14:paraId="57BF69BE" w14:textId="0AE7BAA3" w:rsidR="000A224A" w:rsidRDefault="000A224A" w:rsidP="00276C2F">
      <w:pPr>
        <w:spacing w:line="480" w:lineRule="auto"/>
        <w:rPr>
          <w:rFonts w:ascii="Arial" w:hAnsi="Arial" w:cs="Arial"/>
          <w:sz w:val="22"/>
          <w:szCs w:val="22"/>
        </w:rPr>
      </w:pPr>
      <w:r>
        <w:rPr>
          <w:rFonts w:ascii="Arial" w:hAnsi="Arial" w:cs="Arial"/>
          <w:noProof/>
          <w:sz w:val="22"/>
          <w:szCs w:val="22"/>
        </w:rPr>
        <w:drawing>
          <wp:inline distT="0" distB="0" distL="0" distR="0" wp14:anchorId="76EFBFF3" wp14:editId="7505BA67">
            <wp:extent cx="5943600" cy="3972560"/>
            <wp:effectExtent l="0" t="0" r="0" b="2540"/>
            <wp:docPr id="4" name="Picture 4" descr="A picture containing indoor, sitting,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FD41388" w14:textId="5B177A44" w:rsidR="000A224A" w:rsidRDefault="009E2322" w:rsidP="00276C2F">
      <w:pPr>
        <w:spacing w:line="480" w:lineRule="auto"/>
        <w:rPr>
          <w:rFonts w:ascii="Arial" w:hAnsi="Arial" w:cs="Arial"/>
          <w:sz w:val="22"/>
          <w:szCs w:val="22"/>
        </w:rPr>
      </w:pPr>
      <w:r w:rsidRPr="009E2322">
        <w:rPr>
          <w:rFonts w:ascii="Arial" w:hAnsi="Arial" w:cs="Arial"/>
          <w:b/>
          <w:bCs/>
          <w:sz w:val="22"/>
          <w:szCs w:val="22"/>
        </w:rPr>
        <w:t xml:space="preserve">Figure </w:t>
      </w:r>
      <w:r w:rsidR="00B7078C">
        <w:rPr>
          <w:rFonts w:ascii="Arial" w:hAnsi="Arial" w:cs="Arial"/>
          <w:b/>
          <w:bCs/>
          <w:sz w:val="22"/>
          <w:szCs w:val="22"/>
        </w:rPr>
        <w:t>3</w:t>
      </w:r>
      <w:r w:rsidRPr="009E2322">
        <w:rPr>
          <w:rFonts w:ascii="Arial" w:hAnsi="Arial" w:cs="Arial"/>
          <w:b/>
          <w:bCs/>
          <w:sz w:val="22"/>
          <w:szCs w:val="22"/>
        </w:rPr>
        <w:t xml:space="preserve">: </w:t>
      </w:r>
      <w:r w:rsidR="0044717B">
        <w:rPr>
          <w:rFonts w:ascii="Arial" w:hAnsi="Arial" w:cs="Arial"/>
          <w:b/>
          <w:bCs/>
          <w:sz w:val="22"/>
          <w:szCs w:val="22"/>
        </w:rPr>
        <w:t xml:space="preserve">Single-cell </w:t>
      </w:r>
      <w:r w:rsidRPr="009E2322">
        <w:rPr>
          <w:rFonts w:ascii="Arial" w:hAnsi="Arial" w:cs="Arial"/>
          <w:b/>
          <w:bCs/>
          <w:sz w:val="22"/>
          <w:szCs w:val="22"/>
        </w:rPr>
        <w:t>CD4</w:t>
      </w:r>
      <w:r w:rsidR="0044717B" w:rsidRPr="0044717B">
        <w:rPr>
          <w:rFonts w:ascii="Arial" w:hAnsi="Arial" w:cs="Arial"/>
          <w:b/>
          <w:bCs/>
          <w:sz w:val="22"/>
          <w:szCs w:val="22"/>
          <w:vertAlign w:val="superscript"/>
        </w:rPr>
        <w:t>+</w:t>
      </w:r>
      <w:r w:rsidRPr="009E2322">
        <w:rPr>
          <w:rFonts w:ascii="Arial" w:hAnsi="Arial" w:cs="Arial"/>
          <w:b/>
          <w:bCs/>
          <w:sz w:val="22"/>
          <w:szCs w:val="22"/>
        </w:rPr>
        <w:t xml:space="preserve"> T cell characterization</w:t>
      </w:r>
      <w:r w:rsidR="0044717B">
        <w:rPr>
          <w:rFonts w:ascii="Arial" w:hAnsi="Arial" w:cs="Arial"/>
          <w:b/>
          <w:bCs/>
          <w:sz w:val="22"/>
          <w:szCs w:val="22"/>
        </w:rPr>
        <w:t xml:space="preserve"> in ccRCC</w:t>
      </w:r>
      <w:r w:rsidRPr="009E2322">
        <w:rPr>
          <w:rFonts w:ascii="Arial" w:hAnsi="Arial" w:cs="Arial"/>
          <w:b/>
          <w:bCs/>
          <w:sz w:val="22"/>
          <w:szCs w:val="22"/>
        </w:rPr>
        <w:t xml:space="preserve"> finds disparate intratumoral </w:t>
      </w:r>
      <w:r w:rsidR="0044717B">
        <w:rPr>
          <w:rFonts w:ascii="Arial" w:hAnsi="Arial" w:cs="Arial"/>
          <w:b/>
          <w:bCs/>
          <w:sz w:val="22"/>
          <w:szCs w:val="22"/>
        </w:rPr>
        <w:t>with common endpoints</w:t>
      </w:r>
      <w:r w:rsidRPr="009E2322">
        <w:rPr>
          <w:rFonts w:ascii="Arial" w:hAnsi="Arial" w:cs="Arial"/>
          <w:b/>
          <w:bCs/>
          <w:sz w:val="22"/>
          <w:szCs w:val="22"/>
        </w:rPr>
        <w:t>.</w:t>
      </w:r>
      <w:r>
        <w:rPr>
          <w:rFonts w:ascii="Arial" w:hAnsi="Arial" w:cs="Arial"/>
          <w:sz w:val="22"/>
          <w:szCs w:val="22"/>
        </w:rPr>
        <w:t xml:space="preserve"> </w:t>
      </w:r>
      <w:r w:rsidRPr="009E2322">
        <w:rPr>
          <w:rFonts w:ascii="Arial" w:hAnsi="Arial" w:cs="Arial"/>
          <w:b/>
          <w:bCs/>
          <w:sz w:val="22"/>
          <w:szCs w:val="22"/>
        </w:rPr>
        <w:t>A</w:t>
      </w:r>
      <w:r>
        <w:rPr>
          <w:rFonts w:ascii="Arial" w:hAnsi="Arial" w:cs="Arial"/>
          <w:sz w:val="22"/>
          <w:szCs w:val="22"/>
        </w:rPr>
        <w:t xml:space="preserve">. UMAP </w:t>
      </w:r>
      <w:proofErr w:type="spellStart"/>
      <w:r>
        <w:rPr>
          <w:rFonts w:ascii="Arial" w:hAnsi="Arial" w:cs="Arial"/>
          <w:sz w:val="22"/>
          <w:szCs w:val="22"/>
        </w:rPr>
        <w:t>subclustering</w:t>
      </w:r>
      <w:proofErr w:type="spellEnd"/>
      <w:r>
        <w:rPr>
          <w:rFonts w:ascii="Arial" w:hAnsi="Arial" w:cs="Arial"/>
          <w:sz w:val="22"/>
          <w:szCs w:val="22"/>
        </w:rPr>
        <w:t xml:space="preserve"> of CD4</w:t>
      </w:r>
      <w:r>
        <w:rPr>
          <w:rFonts w:ascii="Arial" w:hAnsi="Arial" w:cs="Arial"/>
          <w:sz w:val="22"/>
          <w:szCs w:val="22"/>
          <w:vertAlign w:val="superscript"/>
        </w:rPr>
        <w:t>+</w:t>
      </w:r>
      <w:r>
        <w:rPr>
          <w:rFonts w:ascii="Arial" w:hAnsi="Arial" w:cs="Arial"/>
          <w:sz w:val="22"/>
          <w:szCs w:val="22"/>
        </w:rPr>
        <w:t xml:space="preserve"> T cells (original clusters 4, 6, 10, 13, 15, and 20). </w:t>
      </w:r>
      <w:r w:rsidRPr="009E2322">
        <w:rPr>
          <w:rFonts w:ascii="Arial" w:hAnsi="Arial" w:cs="Arial"/>
          <w:b/>
          <w:bCs/>
          <w:sz w:val="22"/>
          <w:szCs w:val="22"/>
        </w:rPr>
        <w:t>B</w:t>
      </w:r>
      <w:r>
        <w:rPr>
          <w:rFonts w:ascii="Arial" w:hAnsi="Arial" w:cs="Arial"/>
          <w:sz w:val="22"/>
          <w:szCs w:val="22"/>
        </w:rPr>
        <w:t xml:space="preserve">. UMAP distribution of single cells by tissue type with relative percent of cells by tissue in each cluster. </w:t>
      </w:r>
      <w:r w:rsidR="002D4FB3">
        <w:rPr>
          <w:rFonts w:ascii="Arial" w:hAnsi="Arial" w:cs="Arial"/>
          <w:b/>
          <w:bCs/>
          <w:sz w:val="22"/>
          <w:szCs w:val="22"/>
        </w:rPr>
        <w:t>C</w:t>
      </w:r>
      <w:r>
        <w:rPr>
          <w:rFonts w:ascii="Arial" w:hAnsi="Arial" w:cs="Arial"/>
          <w:sz w:val="22"/>
          <w:szCs w:val="22"/>
        </w:rPr>
        <w:t xml:space="preserve">. Percent of cells expressing selected markers for </w:t>
      </w:r>
      <w:r w:rsidR="000A224A">
        <w:rPr>
          <w:rFonts w:ascii="Arial" w:hAnsi="Arial" w:cs="Arial"/>
          <w:sz w:val="22"/>
          <w:szCs w:val="22"/>
        </w:rPr>
        <w:t>myeloid and macrophage markers</w:t>
      </w:r>
      <w:r>
        <w:rPr>
          <w:rFonts w:ascii="Arial" w:hAnsi="Arial" w:cs="Arial"/>
          <w:sz w:val="22"/>
          <w:szCs w:val="22"/>
        </w:rPr>
        <w:t>.</w:t>
      </w:r>
      <w:r w:rsidR="002D4FB3" w:rsidRPr="002D4FB3">
        <w:rPr>
          <w:rFonts w:ascii="Arial" w:hAnsi="Arial" w:cs="Arial"/>
          <w:b/>
          <w:bCs/>
          <w:sz w:val="22"/>
          <w:szCs w:val="22"/>
        </w:rPr>
        <w:t xml:space="preserve"> </w:t>
      </w:r>
      <w:r w:rsidR="002D4FB3">
        <w:rPr>
          <w:rFonts w:ascii="Arial" w:hAnsi="Arial" w:cs="Arial"/>
          <w:b/>
          <w:bCs/>
          <w:sz w:val="22"/>
          <w:szCs w:val="22"/>
        </w:rPr>
        <w:t>D</w:t>
      </w:r>
      <w:r w:rsidR="002D4FB3">
        <w:rPr>
          <w:rFonts w:ascii="Arial" w:hAnsi="Arial" w:cs="Arial"/>
          <w:sz w:val="22"/>
          <w:szCs w:val="22"/>
        </w:rPr>
        <w:t xml:space="preserve">. </w:t>
      </w:r>
      <w:r w:rsidR="000A224A">
        <w:rPr>
          <w:rFonts w:ascii="Arial" w:hAnsi="Arial" w:cs="Arial"/>
          <w:sz w:val="22"/>
          <w:szCs w:val="22"/>
        </w:rPr>
        <w:t xml:space="preserve">Proportion of assigned cell types compared to total antigen presenting cells by tissue type. </w:t>
      </w:r>
      <w:r w:rsidR="000A224A" w:rsidRPr="000A224A">
        <w:rPr>
          <w:rFonts w:ascii="Arial" w:hAnsi="Arial" w:cs="Arial"/>
          <w:b/>
          <w:bCs/>
          <w:sz w:val="22"/>
          <w:szCs w:val="22"/>
        </w:rPr>
        <w:t>E</w:t>
      </w:r>
      <w:r w:rsidR="000A224A">
        <w:rPr>
          <w:rFonts w:ascii="Arial" w:hAnsi="Arial" w:cs="Arial"/>
          <w:sz w:val="22"/>
          <w:szCs w:val="22"/>
        </w:rPr>
        <w:t xml:space="preserve">. Macrophage </w:t>
      </w:r>
      <w:proofErr w:type="spellStart"/>
      <w:r w:rsidR="000A224A">
        <w:rPr>
          <w:rFonts w:ascii="Arial" w:hAnsi="Arial" w:cs="Arial"/>
          <w:sz w:val="22"/>
          <w:szCs w:val="22"/>
        </w:rPr>
        <w:t>subclusters</w:t>
      </w:r>
      <w:proofErr w:type="spellEnd"/>
      <w:r w:rsidR="000A224A">
        <w:rPr>
          <w:rFonts w:ascii="Arial" w:hAnsi="Arial" w:cs="Arial"/>
          <w:sz w:val="22"/>
          <w:szCs w:val="22"/>
        </w:rPr>
        <w:t>: TAM_1 (</w:t>
      </w:r>
      <w:r w:rsidR="000A224A" w:rsidRPr="000A224A">
        <w:rPr>
          <w:rFonts w:ascii="Arial" w:hAnsi="Arial" w:cs="Arial"/>
          <w:sz w:val="22"/>
          <w:szCs w:val="22"/>
          <w:highlight w:val="yellow"/>
        </w:rPr>
        <w:t>n=</w:t>
      </w:r>
      <w:r w:rsidR="000A224A">
        <w:rPr>
          <w:rFonts w:ascii="Arial" w:hAnsi="Arial" w:cs="Arial"/>
          <w:sz w:val="22"/>
          <w:szCs w:val="22"/>
        </w:rPr>
        <w:t>), TAM_2 (</w:t>
      </w:r>
      <w:r w:rsidR="000A224A" w:rsidRPr="000A224A">
        <w:rPr>
          <w:rFonts w:ascii="Arial" w:hAnsi="Arial" w:cs="Arial"/>
          <w:sz w:val="22"/>
          <w:szCs w:val="22"/>
          <w:highlight w:val="yellow"/>
        </w:rPr>
        <w:t>n=</w:t>
      </w:r>
      <w:r w:rsidR="000A224A">
        <w:rPr>
          <w:rFonts w:ascii="Arial" w:hAnsi="Arial" w:cs="Arial"/>
          <w:sz w:val="22"/>
          <w:szCs w:val="22"/>
        </w:rPr>
        <w:t>)</w:t>
      </w:r>
      <w:r w:rsidR="000A224A">
        <w:rPr>
          <w:rFonts w:ascii="Arial" w:hAnsi="Arial" w:cs="Arial"/>
          <w:sz w:val="22"/>
          <w:szCs w:val="22"/>
        </w:rPr>
        <w:t>, TAM_3 (</w:t>
      </w:r>
      <w:r w:rsidR="000A224A" w:rsidRPr="000A224A">
        <w:rPr>
          <w:rFonts w:ascii="Arial" w:hAnsi="Arial" w:cs="Arial"/>
          <w:sz w:val="22"/>
          <w:szCs w:val="22"/>
          <w:highlight w:val="yellow"/>
        </w:rPr>
        <w:t>n=</w:t>
      </w:r>
      <w:r w:rsidR="000A224A">
        <w:rPr>
          <w:rFonts w:ascii="Arial" w:hAnsi="Arial" w:cs="Arial"/>
          <w:sz w:val="22"/>
          <w:szCs w:val="22"/>
        </w:rPr>
        <w:t>)</w:t>
      </w:r>
      <w:r w:rsidR="000A224A">
        <w:rPr>
          <w:rFonts w:ascii="Arial" w:hAnsi="Arial" w:cs="Arial"/>
          <w:sz w:val="22"/>
          <w:szCs w:val="22"/>
        </w:rPr>
        <w:t xml:space="preserve">, </w:t>
      </w:r>
      <w:proofErr w:type="spellStart"/>
      <w:r w:rsidR="000A224A">
        <w:rPr>
          <w:rFonts w:ascii="Arial" w:hAnsi="Arial" w:cs="Arial"/>
          <w:sz w:val="22"/>
          <w:szCs w:val="22"/>
        </w:rPr>
        <w:t>pM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w:t>
      </w:r>
      <w:r w:rsidR="000A224A">
        <w:rPr>
          <w:rFonts w:ascii="Arial" w:hAnsi="Arial" w:cs="Arial"/>
          <w:sz w:val="22"/>
          <w:szCs w:val="22"/>
        </w:rPr>
        <w:t xml:space="preserve">, and </w:t>
      </w:r>
      <w:proofErr w:type="spellStart"/>
      <w:r w:rsidR="000A224A">
        <w:rPr>
          <w:rFonts w:ascii="Arial" w:hAnsi="Arial" w:cs="Arial"/>
          <w:sz w:val="22"/>
          <w:szCs w:val="22"/>
        </w:rPr>
        <w:t>rM</w:t>
      </w:r>
      <w:proofErr w:type="spellEnd"/>
      <w:r w:rsidR="000A224A">
        <w:rPr>
          <w:rFonts w:ascii="Arial" w:hAnsi="Arial" w:cs="Arial"/>
          <w:sz w:val="22"/>
          <w:szCs w:val="22"/>
        </w:rPr>
        <w:t xml:space="preserve"> (</w:t>
      </w:r>
      <w:r w:rsidR="000A224A" w:rsidRPr="000A224A">
        <w:rPr>
          <w:rFonts w:ascii="Arial" w:hAnsi="Arial" w:cs="Arial"/>
          <w:sz w:val="22"/>
          <w:szCs w:val="22"/>
          <w:highlight w:val="yellow"/>
        </w:rPr>
        <w:t>n=</w:t>
      </w:r>
      <w:r w:rsidR="000A224A">
        <w:rPr>
          <w:rFonts w:ascii="Arial" w:hAnsi="Arial" w:cs="Arial"/>
          <w:sz w:val="22"/>
          <w:szCs w:val="22"/>
        </w:rPr>
        <w:t>)</w:t>
      </w:r>
      <w:r w:rsidR="000A224A">
        <w:rPr>
          <w:rFonts w:ascii="Arial" w:hAnsi="Arial" w:cs="Arial"/>
          <w:sz w:val="22"/>
          <w:szCs w:val="22"/>
        </w:rPr>
        <w:t xml:space="preserve"> with </w:t>
      </w:r>
      <w:r w:rsidR="000A224A">
        <w:rPr>
          <w:rFonts w:ascii="Arial" w:hAnsi="Arial" w:cs="Arial"/>
          <w:sz w:val="22"/>
          <w:szCs w:val="22"/>
        </w:rPr>
        <w:t>relative percent of cells by tissue in each cluster</w:t>
      </w:r>
      <w:r w:rsidR="000A224A">
        <w:rPr>
          <w:rFonts w:ascii="Arial" w:hAnsi="Arial" w:cs="Arial"/>
          <w:sz w:val="22"/>
          <w:szCs w:val="22"/>
        </w:rPr>
        <w:t xml:space="preserve">. F. Differential expression markers for macrophage </w:t>
      </w:r>
      <w:proofErr w:type="spellStart"/>
      <w:r w:rsidR="000A224A">
        <w:rPr>
          <w:rFonts w:ascii="Arial" w:hAnsi="Arial" w:cs="Arial"/>
          <w:sz w:val="22"/>
          <w:szCs w:val="22"/>
        </w:rPr>
        <w:t>subclusters</w:t>
      </w:r>
      <w:proofErr w:type="spellEnd"/>
      <w:r w:rsidR="000A224A">
        <w:rPr>
          <w:rFonts w:ascii="Arial" w:hAnsi="Arial" w:cs="Arial"/>
          <w:sz w:val="22"/>
          <w:szCs w:val="22"/>
        </w:rPr>
        <w:t xml:space="preserve">. </w:t>
      </w:r>
      <w:r w:rsidR="000A224A" w:rsidRPr="000A224A">
        <w:rPr>
          <w:rFonts w:ascii="Arial" w:hAnsi="Arial" w:cs="Arial"/>
          <w:b/>
          <w:bCs/>
          <w:sz w:val="22"/>
          <w:szCs w:val="22"/>
        </w:rPr>
        <w:t>G</w:t>
      </w:r>
      <w:r w:rsidR="000A224A">
        <w:rPr>
          <w:rFonts w:ascii="Arial" w:hAnsi="Arial" w:cs="Arial"/>
          <w:sz w:val="22"/>
          <w:szCs w:val="22"/>
        </w:rPr>
        <w:t>. Macrophage</w:t>
      </w:r>
      <w:r w:rsidR="000A224A" w:rsidRPr="00DD271C">
        <w:rPr>
          <w:rFonts w:ascii="Arial" w:hAnsi="Arial" w:cs="Arial"/>
          <w:sz w:val="22"/>
          <w:szCs w:val="22"/>
        </w:rPr>
        <w:t xml:space="preserve"> UMAP overlaid with slingshot-based </w:t>
      </w:r>
      <w:r w:rsidR="000A224A" w:rsidRPr="00DD271C">
        <w:rPr>
          <w:rFonts w:ascii="Arial" w:hAnsi="Arial" w:cs="Arial"/>
          <w:sz w:val="22"/>
          <w:szCs w:val="22"/>
        </w:rPr>
        <w:fldChar w:fldCharType="begin" w:fldLock="1"/>
      </w:r>
      <w:r w:rsidR="000A224A">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000A224A" w:rsidRPr="00DD271C">
        <w:rPr>
          <w:rFonts w:ascii="Arial" w:hAnsi="Arial" w:cs="Arial"/>
          <w:sz w:val="22"/>
          <w:szCs w:val="22"/>
        </w:rPr>
        <w:fldChar w:fldCharType="separate"/>
      </w:r>
      <w:r w:rsidR="000A224A" w:rsidRPr="00974483">
        <w:rPr>
          <w:rFonts w:ascii="Arial" w:hAnsi="Arial" w:cs="Arial"/>
          <w:noProof/>
          <w:sz w:val="22"/>
          <w:szCs w:val="22"/>
        </w:rPr>
        <w:t>(32)</w:t>
      </w:r>
      <w:r w:rsidR="000A224A" w:rsidRPr="00DD271C">
        <w:rPr>
          <w:rFonts w:ascii="Arial" w:hAnsi="Arial" w:cs="Arial"/>
          <w:sz w:val="22"/>
          <w:szCs w:val="22"/>
        </w:rPr>
        <w:fldChar w:fldCharType="end"/>
      </w:r>
      <w:r w:rsidR="000A224A" w:rsidRPr="00DD271C">
        <w:rPr>
          <w:rFonts w:ascii="Arial" w:hAnsi="Arial" w:cs="Arial"/>
          <w:sz w:val="22"/>
          <w:szCs w:val="22"/>
        </w:rPr>
        <w:t xml:space="preserve"> cell trajector</w:t>
      </w:r>
      <w:r w:rsidR="000A224A">
        <w:rPr>
          <w:rFonts w:ascii="Arial" w:hAnsi="Arial" w:cs="Arial"/>
          <w:sz w:val="22"/>
          <w:szCs w:val="22"/>
        </w:rPr>
        <w:t>ies</w:t>
      </w:r>
      <w:r w:rsidR="000A224A" w:rsidRPr="00DD271C">
        <w:rPr>
          <w:rFonts w:ascii="Arial" w:hAnsi="Arial" w:cs="Arial"/>
          <w:sz w:val="22"/>
          <w:szCs w:val="22"/>
        </w:rPr>
        <w:t xml:space="preserve"> </w:t>
      </w:r>
      <w:r w:rsidR="000A224A">
        <w:rPr>
          <w:rFonts w:ascii="Arial" w:hAnsi="Arial" w:cs="Arial"/>
          <w:sz w:val="22"/>
          <w:szCs w:val="22"/>
        </w:rPr>
        <w:t xml:space="preserve">starting at </w:t>
      </w:r>
      <w:proofErr w:type="spellStart"/>
      <w:r w:rsidR="000A224A">
        <w:rPr>
          <w:rFonts w:ascii="Arial" w:hAnsi="Arial" w:cs="Arial"/>
          <w:sz w:val="22"/>
          <w:szCs w:val="22"/>
        </w:rPr>
        <w:t>rM</w:t>
      </w:r>
      <w:proofErr w:type="spellEnd"/>
      <w:r w:rsidR="000A224A">
        <w:rPr>
          <w:rFonts w:ascii="Arial" w:hAnsi="Arial" w:cs="Arial"/>
          <w:sz w:val="22"/>
          <w:szCs w:val="22"/>
        </w:rPr>
        <w:t xml:space="preserve"> and TAM_2</w:t>
      </w:r>
      <w:r w:rsidR="000A224A" w:rsidRPr="00DD271C">
        <w:rPr>
          <w:rFonts w:ascii="Arial" w:hAnsi="Arial" w:cs="Arial"/>
          <w:sz w:val="22"/>
          <w:szCs w:val="22"/>
        </w:rPr>
        <w:t xml:space="preserve"> </w:t>
      </w:r>
      <w:r w:rsidR="000A224A">
        <w:rPr>
          <w:rFonts w:ascii="Arial" w:hAnsi="Arial" w:cs="Arial"/>
          <w:sz w:val="22"/>
          <w:szCs w:val="22"/>
        </w:rPr>
        <w:t xml:space="preserve">and proceeding into </w:t>
      </w:r>
      <w:proofErr w:type="spellStart"/>
      <w:r w:rsidR="000A224A">
        <w:rPr>
          <w:rFonts w:ascii="Arial" w:hAnsi="Arial" w:cs="Arial"/>
          <w:sz w:val="22"/>
          <w:szCs w:val="22"/>
        </w:rPr>
        <w:t>pM</w:t>
      </w:r>
      <w:proofErr w:type="spellEnd"/>
      <w:r w:rsidR="000A224A">
        <w:rPr>
          <w:rFonts w:ascii="Arial" w:hAnsi="Arial" w:cs="Arial"/>
          <w:sz w:val="22"/>
          <w:szCs w:val="22"/>
        </w:rPr>
        <w:t xml:space="preserve">. Smaller UMAP shows pseudotime created by the cell trajectories. </w:t>
      </w:r>
      <w:r w:rsidR="000A224A" w:rsidRPr="000A224A">
        <w:rPr>
          <w:rFonts w:ascii="Arial" w:hAnsi="Arial" w:cs="Arial"/>
          <w:b/>
          <w:bCs/>
          <w:sz w:val="22"/>
          <w:szCs w:val="22"/>
        </w:rPr>
        <w:t>H</w:t>
      </w:r>
      <w:r w:rsidR="000A224A">
        <w:rPr>
          <w:rFonts w:ascii="Arial" w:hAnsi="Arial" w:cs="Arial"/>
          <w:sz w:val="22"/>
          <w:szCs w:val="22"/>
        </w:rPr>
        <w:t xml:space="preserve">. </w:t>
      </w:r>
      <w:r w:rsidR="000A224A" w:rsidRPr="00DD271C">
        <w:rPr>
          <w:rFonts w:ascii="Arial" w:hAnsi="Arial" w:cs="Arial"/>
          <w:sz w:val="22"/>
          <w:szCs w:val="22"/>
        </w:rPr>
        <w:t xml:space="preserve">Z-transformed normalized enrichment scores from ssGSEA  for selected gene sets by </w:t>
      </w:r>
      <w:proofErr w:type="spellStart"/>
      <w:r w:rsidR="000A224A" w:rsidRPr="00DD271C">
        <w:rPr>
          <w:rFonts w:ascii="Arial" w:hAnsi="Arial" w:cs="Arial"/>
          <w:sz w:val="22"/>
          <w:szCs w:val="22"/>
        </w:rPr>
        <w:t>subcluster</w:t>
      </w:r>
      <w:proofErr w:type="spellEnd"/>
      <w:r w:rsidR="000A224A" w:rsidRPr="00DD271C">
        <w:rPr>
          <w:rFonts w:ascii="Arial" w:hAnsi="Arial" w:cs="Arial"/>
          <w:sz w:val="22"/>
          <w:szCs w:val="22"/>
        </w:rPr>
        <w:t>.</w:t>
      </w:r>
    </w:p>
    <w:p w14:paraId="51F316DE" w14:textId="77777777" w:rsidR="000A224A" w:rsidRDefault="000A224A" w:rsidP="00276C2F">
      <w:pPr>
        <w:spacing w:line="480" w:lineRule="auto"/>
        <w:rPr>
          <w:rFonts w:ascii="Arial" w:hAnsi="Arial" w:cs="Arial"/>
          <w:sz w:val="22"/>
          <w:szCs w:val="22"/>
        </w:rPr>
      </w:pPr>
    </w:p>
    <w:p w14:paraId="0DEFE7C1" w14:textId="77777777" w:rsidR="000A224A" w:rsidRDefault="000A224A" w:rsidP="00276C2F">
      <w:pPr>
        <w:spacing w:line="480" w:lineRule="auto"/>
        <w:rPr>
          <w:rFonts w:ascii="Arial" w:hAnsi="Arial" w:cs="Arial"/>
          <w:sz w:val="22"/>
          <w:szCs w:val="22"/>
        </w:rPr>
      </w:pPr>
    </w:p>
    <w:p w14:paraId="122D6D37" w14:textId="77777777" w:rsidR="000A224A" w:rsidRDefault="000A224A" w:rsidP="00276C2F">
      <w:pPr>
        <w:spacing w:line="480" w:lineRule="auto"/>
        <w:rPr>
          <w:rFonts w:ascii="Arial" w:hAnsi="Arial" w:cs="Arial"/>
          <w:sz w:val="22"/>
          <w:szCs w:val="22"/>
        </w:rPr>
      </w:pPr>
    </w:p>
    <w:p w14:paraId="6D160E61" w14:textId="479AA15E" w:rsidR="009E2322" w:rsidRPr="0044717B" w:rsidRDefault="002D4FB3" w:rsidP="00276C2F">
      <w:pPr>
        <w:spacing w:line="480" w:lineRule="auto"/>
        <w:rPr>
          <w:rFonts w:ascii="Arial" w:hAnsi="Arial" w:cs="Arial"/>
          <w:sz w:val="22"/>
          <w:szCs w:val="22"/>
        </w:rPr>
      </w:pPr>
      <w:r w:rsidRPr="00DD271C">
        <w:rPr>
          <w:rFonts w:ascii="Arial" w:hAnsi="Arial" w:cs="Arial"/>
          <w:sz w:val="22"/>
          <w:szCs w:val="22"/>
        </w:rPr>
        <w:t>CD</w:t>
      </w:r>
      <w:r>
        <w:rPr>
          <w:rFonts w:ascii="Arial" w:hAnsi="Arial" w:cs="Arial"/>
          <w:sz w:val="22"/>
          <w:szCs w:val="22"/>
        </w:rPr>
        <w:t>4</w:t>
      </w:r>
      <w:r w:rsidRPr="00DD271C">
        <w:rPr>
          <w:rFonts w:ascii="Arial" w:hAnsi="Arial" w:cs="Arial"/>
          <w:sz w:val="22"/>
          <w:szCs w:val="22"/>
          <w:vertAlign w:val="superscript"/>
        </w:rPr>
        <w:t>+</w:t>
      </w:r>
      <w:r w:rsidRPr="00DD271C">
        <w:rPr>
          <w:rFonts w:ascii="Arial" w:hAnsi="Arial" w:cs="Arial"/>
          <w:sz w:val="22"/>
          <w:szCs w:val="22"/>
        </w:rPr>
        <w:t xml:space="preserve"> UMAP of </w:t>
      </w:r>
      <w:proofErr w:type="spellStart"/>
      <w:r w:rsidRPr="00DD271C">
        <w:rPr>
          <w:rFonts w:ascii="Arial" w:hAnsi="Arial" w:cs="Arial"/>
          <w:sz w:val="22"/>
          <w:szCs w:val="22"/>
        </w:rPr>
        <w:t>subclusters</w:t>
      </w:r>
      <w:proofErr w:type="spellEnd"/>
      <w:r w:rsidRPr="00DD271C">
        <w:rPr>
          <w:rFonts w:ascii="Arial" w:hAnsi="Arial" w:cs="Arial"/>
          <w:sz w:val="22"/>
          <w:szCs w:val="22"/>
        </w:rPr>
        <w:t xml:space="preserve"> (upper panel) and clonotype frequency (lower panel) overlaid with slingshot-based </w:t>
      </w:r>
      <w:r w:rsidRPr="00DD271C">
        <w:rPr>
          <w:rFonts w:ascii="Arial" w:hAnsi="Arial" w:cs="Arial"/>
          <w:sz w:val="22"/>
          <w:szCs w:val="22"/>
        </w:rPr>
        <w:fldChar w:fldCharType="begin" w:fldLock="1"/>
      </w:r>
      <w:r>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(32)","plainTextFormattedCitation":"(32)","previouslyFormattedCitation":"(32)"},"properties":{"noteIndex":0},"schema":"https://github.com/citation-style-language/schema/raw/master/csl-citation.json"}</w:instrText>
      </w:r>
      <w:r w:rsidRPr="00DD271C">
        <w:rPr>
          <w:rFonts w:ascii="Arial" w:hAnsi="Arial" w:cs="Arial"/>
          <w:sz w:val="22"/>
          <w:szCs w:val="22"/>
        </w:rPr>
        <w:fldChar w:fldCharType="separate"/>
      </w:r>
      <w:r w:rsidRPr="00974483">
        <w:rPr>
          <w:rFonts w:ascii="Arial" w:hAnsi="Arial" w:cs="Arial"/>
          <w:noProof/>
          <w:sz w:val="22"/>
          <w:szCs w:val="22"/>
        </w:rPr>
        <w:t>(32)</w:t>
      </w:r>
      <w:r w:rsidRPr="00DD271C">
        <w:rPr>
          <w:rFonts w:ascii="Arial" w:hAnsi="Arial" w:cs="Arial"/>
          <w:sz w:val="22"/>
          <w:szCs w:val="22"/>
        </w:rPr>
        <w:fldChar w:fldCharType="end"/>
      </w:r>
      <w:r w:rsidRPr="00DD271C">
        <w:rPr>
          <w:rFonts w:ascii="Arial" w:hAnsi="Arial" w:cs="Arial"/>
          <w:sz w:val="22"/>
          <w:szCs w:val="22"/>
        </w:rPr>
        <w:t xml:space="preserve"> cell trajectory</w:t>
      </w:r>
      <w:r>
        <w:rPr>
          <w:rFonts w:ascii="Arial" w:hAnsi="Arial" w:cs="Arial"/>
          <w:sz w:val="22"/>
          <w:szCs w:val="22"/>
        </w:rPr>
        <w:t xml:space="preserve"> starting from CD4_1 (root 1) and CD4_1 (root 2) with relative pseudotime for all curves calculated using slingshot. </w:t>
      </w:r>
      <w:r w:rsidR="0044717B">
        <w:rPr>
          <w:rFonts w:ascii="Arial" w:hAnsi="Arial" w:cs="Arial"/>
          <w:b/>
          <w:bCs/>
          <w:sz w:val="22"/>
          <w:szCs w:val="22"/>
        </w:rPr>
        <w:t>E</w:t>
      </w:r>
      <w:r w:rsidR="009E2322">
        <w:rPr>
          <w:rFonts w:ascii="Arial" w:hAnsi="Arial" w:cs="Arial"/>
          <w:sz w:val="22"/>
          <w:szCs w:val="22"/>
        </w:rPr>
        <w:t xml:space="preserve">. Percentage difference (∆ </w:t>
      </w:r>
      <w:r w:rsidR="00014CCE">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w:t>
      </w:r>
      <w:r w:rsidR="009E2322" w:rsidRPr="00D67B0C">
        <w:rPr>
          <w:rFonts w:ascii="Arial" w:hAnsi="Arial" w:cs="Arial"/>
          <w:sz w:val="22"/>
          <w:szCs w:val="22"/>
          <w:vertAlign w:val="superscript"/>
        </w:rPr>
        <w:t>+</w:t>
      </w:r>
      <w:r w:rsidR="009E2322">
        <w:rPr>
          <w:rFonts w:ascii="Arial" w:hAnsi="Arial" w:cs="Arial"/>
          <w:sz w:val="22"/>
          <w:szCs w:val="22"/>
        </w:rPr>
        <w:t xml:space="preserve"> T cells in ccRCC patients</w:t>
      </w:r>
      <w:r w:rsidR="00014CCE">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sidR="00014CCE">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sidR="00014CCE">
        <w:rPr>
          <w:rFonts w:ascii="Arial" w:hAnsi="Arial" w:cs="Arial"/>
          <w:sz w:val="22"/>
          <w:szCs w:val="22"/>
        </w:rPr>
        <w:t xml:space="preserve">Size of points are relative percent of cells in cluster expressing the indicated mRNA species. </w:t>
      </w:r>
      <w:r>
        <w:rPr>
          <w:rFonts w:ascii="Arial" w:hAnsi="Arial" w:cs="Arial"/>
          <w:b/>
          <w:bCs/>
          <w:sz w:val="22"/>
          <w:szCs w:val="22"/>
        </w:rPr>
        <w:t>F</w:t>
      </w:r>
      <w:r w:rsidRPr="00DD271C">
        <w:rPr>
          <w:rFonts w:ascii="Arial" w:hAnsi="Arial" w:cs="Arial"/>
          <w:sz w:val="22"/>
          <w:szCs w:val="22"/>
        </w:rPr>
        <w:t xml:space="preserve">. Z-transformed normalized enrichment scores from ssGSEA  for selected gene sets by </w:t>
      </w:r>
      <w:proofErr w:type="spellStart"/>
      <w:r w:rsidRPr="00DD271C">
        <w:rPr>
          <w:rFonts w:ascii="Arial" w:hAnsi="Arial" w:cs="Arial"/>
          <w:sz w:val="22"/>
          <w:szCs w:val="22"/>
        </w:rPr>
        <w:t>subcluster</w:t>
      </w:r>
      <w:proofErr w:type="spellEnd"/>
      <w:r w:rsidRPr="00DD271C">
        <w:rPr>
          <w:rFonts w:ascii="Arial" w:hAnsi="Arial" w:cs="Arial"/>
          <w:sz w:val="22"/>
          <w:szCs w:val="22"/>
        </w:rPr>
        <w:t>.</w:t>
      </w:r>
    </w:p>
    <w:sectPr w:rsidR="009E2322" w:rsidRPr="0044717B"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75EA6"/>
    <w:multiLevelType w:val="hybridMultilevel"/>
    <w:tmpl w:val="AA642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19C8"/>
    <w:rsid w:val="00014CCE"/>
    <w:rsid w:val="00015D7C"/>
    <w:rsid w:val="00024358"/>
    <w:rsid w:val="00034385"/>
    <w:rsid w:val="000352EF"/>
    <w:rsid w:val="00040449"/>
    <w:rsid w:val="00045B3F"/>
    <w:rsid w:val="00050C57"/>
    <w:rsid w:val="00074BA2"/>
    <w:rsid w:val="000841A4"/>
    <w:rsid w:val="000928FC"/>
    <w:rsid w:val="000A02B4"/>
    <w:rsid w:val="000A224A"/>
    <w:rsid w:val="000B48A9"/>
    <w:rsid w:val="000B5775"/>
    <w:rsid w:val="000C0095"/>
    <w:rsid w:val="000C164B"/>
    <w:rsid w:val="000C3E81"/>
    <w:rsid w:val="000D5385"/>
    <w:rsid w:val="000F0BCF"/>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1D7F41"/>
    <w:rsid w:val="0020613A"/>
    <w:rsid w:val="00206317"/>
    <w:rsid w:val="0021505D"/>
    <w:rsid w:val="0022606C"/>
    <w:rsid w:val="002355A8"/>
    <w:rsid w:val="0024418D"/>
    <w:rsid w:val="00244E36"/>
    <w:rsid w:val="00247762"/>
    <w:rsid w:val="00250FBC"/>
    <w:rsid w:val="00276C2F"/>
    <w:rsid w:val="00287639"/>
    <w:rsid w:val="002A683B"/>
    <w:rsid w:val="002B3EDD"/>
    <w:rsid w:val="002D4FB3"/>
    <w:rsid w:val="002D7320"/>
    <w:rsid w:val="002D7B10"/>
    <w:rsid w:val="002E3B9B"/>
    <w:rsid w:val="002E4EFB"/>
    <w:rsid w:val="002E5D1B"/>
    <w:rsid w:val="002E735E"/>
    <w:rsid w:val="002F2B04"/>
    <w:rsid w:val="002F32A0"/>
    <w:rsid w:val="002F4160"/>
    <w:rsid w:val="0030339B"/>
    <w:rsid w:val="003064F8"/>
    <w:rsid w:val="0031147A"/>
    <w:rsid w:val="00323FCD"/>
    <w:rsid w:val="003245D3"/>
    <w:rsid w:val="003C4A05"/>
    <w:rsid w:val="003C7C92"/>
    <w:rsid w:val="003D1299"/>
    <w:rsid w:val="003E5B65"/>
    <w:rsid w:val="003E66F1"/>
    <w:rsid w:val="003F20A7"/>
    <w:rsid w:val="00402629"/>
    <w:rsid w:val="00427BD5"/>
    <w:rsid w:val="00436041"/>
    <w:rsid w:val="00436D1A"/>
    <w:rsid w:val="00441217"/>
    <w:rsid w:val="0044717B"/>
    <w:rsid w:val="00452042"/>
    <w:rsid w:val="00477581"/>
    <w:rsid w:val="004838F1"/>
    <w:rsid w:val="004F1798"/>
    <w:rsid w:val="00516F48"/>
    <w:rsid w:val="0052740A"/>
    <w:rsid w:val="00530253"/>
    <w:rsid w:val="00564DB7"/>
    <w:rsid w:val="00570FDC"/>
    <w:rsid w:val="00571916"/>
    <w:rsid w:val="00571DD7"/>
    <w:rsid w:val="005833F0"/>
    <w:rsid w:val="0059724A"/>
    <w:rsid w:val="005A1358"/>
    <w:rsid w:val="005A169F"/>
    <w:rsid w:val="005B69AC"/>
    <w:rsid w:val="005C418C"/>
    <w:rsid w:val="005D0B49"/>
    <w:rsid w:val="005D2880"/>
    <w:rsid w:val="005E7FEE"/>
    <w:rsid w:val="0060404B"/>
    <w:rsid w:val="00614FAF"/>
    <w:rsid w:val="00617F53"/>
    <w:rsid w:val="00666678"/>
    <w:rsid w:val="0068587F"/>
    <w:rsid w:val="006A1B3C"/>
    <w:rsid w:val="006A6770"/>
    <w:rsid w:val="006C01FF"/>
    <w:rsid w:val="006C11C8"/>
    <w:rsid w:val="006C2FF3"/>
    <w:rsid w:val="006F7293"/>
    <w:rsid w:val="0070540D"/>
    <w:rsid w:val="0070740F"/>
    <w:rsid w:val="00707C08"/>
    <w:rsid w:val="00725C18"/>
    <w:rsid w:val="007321D6"/>
    <w:rsid w:val="00732B3F"/>
    <w:rsid w:val="00735CE0"/>
    <w:rsid w:val="00741BCA"/>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35B79"/>
    <w:rsid w:val="0084002C"/>
    <w:rsid w:val="008505A9"/>
    <w:rsid w:val="00853C93"/>
    <w:rsid w:val="00864F4C"/>
    <w:rsid w:val="00880D71"/>
    <w:rsid w:val="008812EB"/>
    <w:rsid w:val="008A56EF"/>
    <w:rsid w:val="008B4725"/>
    <w:rsid w:val="008C1AAF"/>
    <w:rsid w:val="008E746C"/>
    <w:rsid w:val="009060F7"/>
    <w:rsid w:val="0091251A"/>
    <w:rsid w:val="0093266F"/>
    <w:rsid w:val="00941B00"/>
    <w:rsid w:val="00946B48"/>
    <w:rsid w:val="00951227"/>
    <w:rsid w:val="00952E0E"/>
    <w:rsid w:val="00974483"/>
    <w:rsid w:val="00987A75"/>
    <w:rsid w:val="009A5803"/>
    <w:rsid w:val="009B229C"/>
    <w:rsid w:val="009D0802"/>
    <w:rsid w:val="009E2322"/>
    <w:rsid w:val="009F2D06"/>
    <w:rsid w:val="00A03655"/>
    <w:rsid w:val="00A121E2"/>
    <w:rsid w:val="00A75F11"/>
    <w:rsid w:val="00A83491"/>
    <w:rsid w:val="00A84007"/>
    <w:rsid w:val="00A938DB"/>
    <w:rsid w:val="00A95847"/>
    <w:rsid w:val="00AD7303"/>
    <w:rsid w:val="00AE0107"/>
    <w:rsid w:val="00AF201D"/>
    <w:rsid w:val="00AF4358"/>
    <w:rsid w:val="00AF4A9A"/>
    <w:rsid w:val="00B0496F"/>
    <w:rsid w:val="00B210E6"/>
    <w:rsid w:val="00B23181"/>
    <w:rsid w:val="00B32D66"/>
    <w:rsid w:val="00B51CE4"/>
    <w:rsid w:val="00B7078C"/>
    <w:rsid w:val="00BA583B"/>
    <w:rsid w:val="00BB6A39"/>
    <w:rsid w:val="00BE1078"/>
    <w:rsid w:val="00BF0F9E"/>
    <w:rsid w:val="00BF5FC5"/>
    <w:rsid w:val="00C0682E"/>
    <w:rsid w:val="00C20E2A"/>
    <w:rsid w:val="00C47C17"/>
    <w:rsid w:val="00C62787"/>
    <w:rsid w:val="00C639D3"/>
    <w:rsid w:val="00C65816"/>
    <w:rsid w:val="00C770CF"/>
    <w:rsid w:val="00C9004A"/>
    <w:rsid w:val="00C94FB6"/>
    <w:rsid w:val="00CA4320"/>
    <w:rsid w:val="00CB2EE0"/>
    <w:rsid w:val="00CB4F3B"/>
    <w:rsid w:val="00CB7EE2"/>
    <w:rsid w:val="00CC3469"/>
    <w:rsid w:val="00CF33B7"/>
    <w:rsid w:val="00CF5BEC"/>
    <w:rsid w:val="00CF660B"/>
    <w:rsid w:val="00CF7968"/>
    <w:rsid w:val="00D07574"/>
    <w:rsid w:val="00D14B8E"/>
    <w:rsid w:val="00D3132E"/>
    <w:rsid w:val="00D470F4"/>
    <w:rsid w:val="00D56BA4"/>
    <w:rsid w:val="00D67B0C"/>
    <w:rsid w:val="00D80E2B"/>
    <w:rsid w:val="00D83882"/>
    <w:rsid w:val="00D852BD"/>
    <w:rsid w:val="00D8789C"/>
    <w:rsid w:val="00D94EFC"/>
    <w:rsid w:val="00DA5C3C"/>
    <w:rsid w:val="00DA6D17"/>
    <w:rsid w:val="00DB1892"/>
    <w:rsid w:val="00DC5793"/>
    <w:rsid w:val="00DD07C0"/>
    <w:rsid w:val="00DD1941"/>
    <w:rsid w:val="00DD271C"/>
    <w:rsid w:val="00DD2C14"/>
    <w:rsid w:val="00DE15B4"/>
    <w:rsid w:val="00DE7274"/>
    <w:rsid w:val="00DF3E7F"/>
    <w:rsid w:val="00E00C7A"/>
    <w:rsid w:val="00E0780B"/>
    <w:rsid w:val="00E15DF5"/>
    <w:rsid w:val="00E21D97"/>
    <w:rsid w:val="00E26A39"/>
    <w:rsid w:val="00E318BA"/>
    <w:rsid w:val="00E34118"/>
    <w:rsid w:val="00E677C1"/>
    <w:rsid w:val="00E732EF"/>
    <w:rsid w:val="00EB618C"/>
    <w:rsid w:val="00EB7944"/>
    <w:rsid w:val="00EC37F9"/>
    <w:rsid w:val="00EC70F5"/>
    <w:rsid w:val="00EE3E5B"/>
    <w:rsid w:val="00EE5773"/>
    <w:rsid w:val="00EF26C0"/>
    <w:rsid w:val="00F35AF3"/>
    <w:rsid w:val="00F518EE"/>
    <w:rsid w:val="00F72CA7"/>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997924784">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8DFD2-1D69-BB44-9C59-DB0707788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55819</Words>
  <Characters>318170</Characters>
  <Application>Microsoft Office Word</Application>
  <DocSecurity>0</DocSecurity>
  <Lines>2651</Lines>
  <Paragraphs>746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7</cp:revision>
  <cp:lastPrinted>2020-07-12T16:00:00Z</cp:lastPrinted>
  <dcterms:created xsi:type="dcterms:W3CDTF">2020-07-12T16:06:00Z</dcterms:created>
  <dcterms:modified xsi:type="dcterms:W3CDTF">2020-07-12T19:06:00Z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