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72EB1225"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Medicine","id":"ITEM-4","issued":{"date-parts":[["2020"]]},"title":"Interplay of somatic alterations and immune infiltration modulates response to PD-1 blockade in advanced clear cell renal cell carcinoma","type":"article-journal"},"uris":["http://www.mendeley.com/documents/?uuid=54b204e6-ffc5-4c35-a4ba-366baecb1428"]}],"mendeley":{"formattedCitation":"(11–14)","plainTextFormattedCitation":"(11–14)","previouslyFormattedCitation":"(11–14)"},"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(11–14)</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(15,16)","plainTextFormattedCitation":"(15,16)","previouslyFormattedCitation":"(15,16)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(15,16)</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2CC222F6"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(18,19)","plainTextFormattedCitation":"(18,19)","previouslyFormattedCitation":"(18,19)"},"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(18,19)</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(20,21)","plainTextFormattedCitation":"(20,21)","previouslyFormattedCitation":"(20,21)"},"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(20,21)</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(13,17,22)","plainTextFormattedCitation":"(13,17,22)","previouslyFormattedCitation":"(13,17,22)"},"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(13,17,22)</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(23–26)","plainTextFormattedCitation":"(23–26)","previouslyFormattedCitation":"(23–26)"},"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(23–26)</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673B61">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673B61">
        <w:rPr>
          <w:rFonts w:ascii="Cambria Math" w:hAnsi="Cambria Math" w:cs="Cambria Math"/>
          <w:color w:val="000000"/>
          <w:sz w:val="22"/>
          <w:szCs w:val="22"/>
        </w:rPr>
        <w:instrText>∼</w:instrText>
      </w:r>
      <w:r w:rsidR="00673B61">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(27,28)","plainTextFormattedCitation":"(27,28)","previouslyFormattedCitation":"(27,28)"},"properties":{"noteIndex":0},"schema":"https://github.com/citation-style-language/schema/raw/master/csl-citation.json"}</w:instrText>
      </w:r>
      <w:r w:rsidR="007C0FFB">
        <w:rPr>
          <w:rFonts w:ascii="Arial" w:hAnsi="Arial" w:cs="Arial"/>
          <w:color w:val="000000"/>
          <w:sz w:val="22"/>
          <w:szCs w:val="22"/>
        </w:rPr>
        <w:fldChar w:fldCharType="separate"/>
      </w:r>
      <w:r w:rsidR="00C42E13" w:rsidRPr="00C42E13">
        <w:rPr>
          <w:rFonts w:ascii="Arial" w:hAnsi="Arial" w:cs="Arial"/>
          <w:noProof/>
          <w:color w:val="000000"/>
          <w:sz w:val="22"/>
          <w:szCs w:val="22"/>
        </w:rPr>
        <w:t>(27,28)</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5809444F"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(21)</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673B61">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sidR="00CF5BEC" w:rsidRPr="00452042">
        <w:rPr>
          <w:rFonts w:ascii="Arial" w:hAnsi="Arial" w:cs="Arial"/>
          <w:color w:val="000000"/>
          <w:sz w:val="22"/>
          <w:szCs w:val="22"/>
        </w:rPr>
        <w:fldChar w:fldCharType="separate"/>
      </w:r>
      <w:r w:rsidR="00C42E13" w:rsidRPr="00C42E13">
        <w:rPr>
          <w:rFonts w:ascii="Arial" w:hAnsi="Arial" w:cs="Arial"/>
          <w:noProof/>
          <w:color w:val="000000"/>
          <w:sz w:val="22"/>
          <w:szCs w:val="22"/>
        </w:rPr>
        <w:t>(29)</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02557066"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(31)","plainTextFormattedCitation":"(31)","previouslyFormattedCitation":"(31)"},"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(31)</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673B61">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673B61">
        <w:rPr>
          <w:rFonts w:ascii="Cambria Math" w:hAnsi="Cambria Math" w:cs="Cambria Math"/>
          <w:sz w:val="22"/>
          <w:szCs w:val="22"/>
        </w:rPr>
        <w:instrText>‐</w:instrText>
      </w:r>
      <w:r w:rsidR="00673B61">
        <w:rPr>
          <w:rFonts w:ascii="Arial" w:hAnsi="Arial" w:cs="Arial"/>
          <w:sz w:val="22"/>
          <w:szCs w:val="22"/>
        </w:rPr>
        <w:instrText>cell RNA</w:instrText>
      </w:r>
      <w:r w:rsidR="00673B61">
        <w:rPr>
          <w:rFonts w:ascii="Cambria Math" w:hAnsi="Cambria Math" w:cs="Cambria Math"/>
          <w:sz w:val="22"/>
          <w:szCs w:val="22"/>
        </w:rPr>
        <w:instrText>‐</w:instrText>
      </w:r>
      <w:r w:rsidR="00673B61">
        <w:rPr>
          <w:rFonts w:ascii="Arial" w:hAnsi="Arial" w:cs="Arial"/>
          <w:sz w:val="22"/>
          <w:szCs w:val="22"/>
        </w:rPr>
        <w:instrText>seq analysis: a tutorial","type":"article-journal"},"uris":["http://www.mendeley.com/documents/?uuid=61609cd7-7498-484a-938f-07786a85a4aa"]}],"mendeley":{"formattedCitation":"(32)","plainTextFormattedCitation":"(32)","previouslyFormattedCitation":"(32)"},"properties":{"noteIndex":0},"schema":"https://github.com/citation-style-language/schema/raw/master/csl-citation.json"}</w:instrText>
      </w:r>
      <w:r w:rsidR="00F35AF3">
        <w:rPr>
          <w:rFonts w:ascii="Arial" w:hAnsi="Arial" w:cs="Arial"/>
          <w:sz w:val="22"/>
          <w:szCs w:val="22"/>
        </w:rPr>
        <w:fldChar w:fldCharType="separate"/>
      </w:r>
      <w:r w:rsidR="00C42E13" w:rsidRPr="00C42E13">
        <w:rPr>
          <w:rFonts w:ascii="Arial" w:hAnsi="Arial" w:cs="Arial"/>
          <w:noProof/>
          <w:sz w:val="22"/>
          <w:szCs w:val="22"/>
        </w:rPr>
        <w:t>(32)</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7897D28B"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974483">
        <w:rPr>
          <w:rFonts w:ascii="Arial" w:hAnsi="Arial" w:cs="Arial"/>
          <w:sz w:val="22"/>
          <w:szCs w:val="22"/>
        </w:rPr>
        <w:fldChar w:fldCharType="separate"/>
      </w:r>
      <w:r w:rsidR="00C42E13" w:rsidRPr="00C42E13">
        <w:rPr>
          <w:rFonts w:ascii="Arial" w:hAnsi="Arial" w:cs="Arial"/>
          <w:noProof/>
          <w:sz w:val="22"/>
          <w:szCs w:val="22"/>
        </w:rPr>
        <w:t>(33)</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(Figure 2E).</w:t>
      </w:r>
      <w:r w:rsidR="00DE7274">
        <w:rPr>
          <w:rFonts w:ascii="Arial" w:hAnsi="Arial" w:cs="Arial"/>
          <w:sz w:val="22"/>
          <w:szCs w:val="22"/>
        </w:rPr>
        <w:t xml:space="preserve"> This clonotype relationship was also observed in specific clonotype sequences (nucleotide and TCR genes) with overlapping clonotypes seen in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CD8_0, CD8_6, CD8_5 and CD8_3 (Figure 2F). In contrast, CD8_7 had minimal </w:t>
      </w:r>
      <w:proofErr w:type="spellStart"/>
      <w:r w:rsidR="00DE7274">
        <w:rPr>
          <w:rFonts w:ascii="Arial" w:hAnsi="Arial" w:cs="Arial"/>
          <w:sz w:val="22"/>
          <w:szCs w:val="22"/>
        </w:rPr>
        <w:t>overlaping</w:t>
      </w:r>
      <w:proofErr w:type="spellEnd"/>
      <w:r w:rsidR="00DE7274">
        <w:rPr>
          <w:rFonts w:ascii="Arial" w:hAnsi="Arial" w:cs="Arial"/>
          <w:sz w:val="22"/>
          <w:szCs w:val="22"/>
        </w:rPr>
        <w:t xml:space="preserve"> clonotypes with other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(Figure 2F).</w:t>
      </w:r>
      <w:r w:rsidR="009060F7">
        <w:rPr>
          <w:rFonts w:ascii="Arial" w:hAnsi="Arial" w:cs="Arial"/>
          <w:sz w:val="22"/>
          <w:szCs w:val="22"/>
        </w:rPr>
        <w:t xml:space="preserve"> </w:t>
      </w:r>
      <w:r w:rsidR="00D44203">
        <w:rPr>
          <w:rFonts w:ascii="Arial" w:hAnsi="Arial" w:cs="Arial"/>
          <w:sz w:val="22"/>
          <w:szCs w:val="22"/>
        </w:rPr>
        <w:t>This relationship was seen also independent of the individual patient sequenced (</w:t>
      </w:r>
      <w:r w:rsidR="00D44203" w:rsidRPr="00D44203">
        <w:rPr>
          <w:rFonts w:ascii="Arial" w:hAnsi="Arial" w:cs="Arial"/>
          <w:sz w:val="22"/>
          <w:szCs w:val="22"/>
          <w:highlight w:val="yellow"/>
        </w:rPr>
        <w:t>Supplemental Figure X</w:t>
      </w:r>
      <w:r w:rsidR="00D44203">
        <w:rPr>
          <w:rFonts w:ascii="Arial" w:hAnsi="Arial" w:cs="Arial"/>
          <w:sz w:val="22"/>
          <w:szCs w:val="22"/>
        </w:rPr>
        <w:t xml:space="preserve">). </w:t>
      </w:r>
      <w:r w:rsidR="009060F7">
        <w:rPr>
          <w:rFonts w:ascii="Arial" w:hAnsi="Arial" w:cs="Arial"/>
          <w:sz w:val="22"/>
          <w:szCs w:val="22"/>
        </w:rPr>
        <w:t>In order to assess possible functional differences based on these branching, we performed gene set enrichment analysis (Figure 2</w:t>
      </w:r>
      <w:r w:rsidR="00DE7274">
        <w:rPr>
          <w:rFonts w:ascii="Arial" w:hAnsi="Arial" w:cs="Arial"/>
          <w:sz w:val="22"/>
          <w:szCs w:val="22"/>
        </w:rPr>
        <w:t>G</w:t>
      </w:r>
      <w:r w:rsidR="009060F7">
        <w:rPr>
          <w:rFonts w:ascii="Arial" w:hAnsi="Arial" w:cs="Arial"/>
          <w:sz w:val="22"/>
          <w:szCs w:val="22"/>
        </w:rPr>
        <w:t xml:space="preserve">).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w:t>
      </w:r>
      <w:r w:rsidR="00DE7274">
        <w:rPr>
          <w:rFonts w:ascii="Arial" w:hAnsi="Arial" w:cs="Arial"/>
          <w:sz w:val="22"/>
          <w:szCs w:val="22"/>
        </w:rPr>
        <w:t>G</w:t>
      </w:r>
      <w:r w:rsidR="009D0802">
        <w:rPr>
          <w:rFonts w:ascii="Arial" w:hAnsi="Arial" w:cs="Arial"/>
          <w:sz w:val="22"/>
          <w:szCs w:val="22"/>
        </w:rPr>
        <w:t>).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w:t>
      </w:r>
      <w:r w:rsidR="00DE7274">
        <w:rPr>
          <w:rFonts w:ascii="Arial" w:hAnsi="Arial" w:cs="Arial"/>
          <w:sz w:val="22"/>
          <w:szCs w:val="22"/>
        </w:rPr>
        <w:t>G</w:t>
      </w:r>
      <w:r w:rsidR="009D0802">
        <w:rPr>
          <w:rFonts w:ascii="Arial" w:hAnsi="Arial" w:cs="Arial"/>
          <w:sz w:val="22"/>
          <w:szCs w:val="22"/>
        </w:rPr>
        <w:t>). The highly proliferative CD8_6 population was enriched for metabolic activity, such as the tricarboxylic acid cycle and glycolysis, and DNA repair</w:t>
      </w:r>
      <w:r w:rsidR="00EE5773">
        <w:rPr>
          <w:rFonts w:ascii="Arial" w:hAnsi="Arial" w:cs="Arial"/>
          <w:sz w:val="22"/>
          <w:szCs w:val="22"/>
        </w:rPr>
        <w:t xml:space="preserve"> (Figure 2</w:t>
      </w:r>
      <w:r w:rsidR="00DE7274">
        <w:rPr>
          <w:rFonts w:ascii="Arial" w:hAnsi="Arial" w:cs="Arial"/>
          <w:sz w:val="22"/>
          <w:szCs w:val="22"/>
        </w:rPr>
        <w:t>G</w:t>
      </w:r>
      <w:r w:rsidR="00EE5773">
        <w:rPr>
          <w:rFonts w:ascii="Arial" w:hAnsi="Arial" w:cs="Arial"/>
          <w:sz w:val="22"/>
          <w:szCs w:val="22"/>
        </w:rPr>
        <w:t>)</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ype 1 interferons (Figure 2</w:t>
      </w:r>
      <w:r w:rsidR="00DE7274">
        <w:rPr>
          <w:rFonts w:ascii="Arial" w:hAnsi="Arial" w:cs="Arial"/>
          <w:sz w:val="22"/>
          <w:szCs w:val="22"/>
        </w:rPr>
        <w:t>H</w:t>
      </w:r>
      <w:r w:rsidR="009D0802">
        <w:rPr>
          <w:rFonts w:ascii="Arial" w:hAnsi="Arial" w:cs="Arial"/>
          <w:sz w:val="22"/>
          <w:szCs w:val="22"/>
        </w:rPr>
        <w:t xml:space="preserve">). </w:t>
      </w:r>
      <w:r w:rsidR="00853C93">
        <w:rPr>
          <w:rFonts w:ascii="Arial" w:hAnsi="Arial" w:cs="Arial"/>
          <w:sz w:val="22"/>
          <w:szCs w:val="22"/>
        </w:rPr>
        <w:t>With immune checkpoint inhibitor responsiveness associated with distinct CD8</w:t>
      </w:r>
      <w:r w:rsidR="00853C93" w:rsidRPr="0068587F">
        <w:rPr>
          <w:rFonts w:ascii="Arial" w:hAnsi="Arial" w:cs="Arial"/>
          <w:sz w:val="22"/>
          <w:szCs w:val="22"/>
          <w:vertAlign w:val="superscript"/>
        </w:rPr>
        <w:t>+</w:t>
      </w:r>
      <w:r w:rsidR="00853C93">
        <w:rPr>
          <w:rFonts w:ascii="Arial" w:hAnsi="Arial" w:cs="Arial"/>
          <w:sz w:val="22"/>
          <w:szCs w:val="22"/>
        </w:rPr>
        <w:t xml:space="preserve"> T cell populations </w:t>
      </w:r>
      <w:r w:rsidR="00853C93">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853C93">
        <w:rPr>
          <w:rFonts w:ascii="Arial" w:hAnsi="Arial" w:cs="Arial"/>
          <w:sz w:val="22"/>
          <w:szCs w:val="22"/>
        </w:rPr>
        <w:fldChar w:fldCharType="separate"/>
      </w:r>
      <w:r w:rsidR="00C42E13" w:rsidRPr="00C42E13">
        <w:rPr>
          <w:rFonts w:ascii="Arial" w:hAnsi="Arial" w:cs="Arial"/>
          <w:noProof/>
          <w:sz w:val="22"/>
          <w:szCs w:val="22"/>
        </w:rPr>
        <w:t>(21)</w:t>
      </w:r>
      <w:r w:rsidR="00853C93">
        <w:rPr>
          <w:rFonts w:ascii="Arial" w:hAnsi="Arial" w:cs="Arial"/>
          <w:sz w:val="22"/>
          <w:szCs w:val="22"/>
        </w:rPr>
        <w:fldChar w:fldCharType="end"/>
      </w:r>
      <w:r w:rsidR="00853C93">
        <w:rPr>
          <w:rFonts w:ascii="Arial" w:hAnsi="Arial" w:cs="Arial"/>
          <w:sz w:val="22"/>
          <w:szCs w:val="22"/>
        </w:rPr>
        <w:t>, we next examined enrichment of signatures associated with response or nonresponse to anti-PD-1 therapies (Figure 2</w:t>
      </w:r>
      <w:r w:rsidR="00DE7274">
        <w:rPr>
          <w:rFonts w:ascii="Arial" w:hAnsi="Arial" w:cs="Arial"/>
          <w:sz w:val="22"/>
          <w:szCs w:val="22"/>
        </w:rPr>
        <w:t>H</w:t>
      </w:r>
      <w:r w:rsidR="00853C93">
        <w:rPr>
          <w:rFonts w:ascii="Arial" w:hAnsi="Arial" w:cs="Arial"/>
          <w:sz w:val="22"/>
          <w:szCs w:val="22"/>
        </w:rPr>
        <w:t xml:space="preserve">).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w:t>
      </w:r>
      <w:r w:rsidR="00DE7274">
        <w:rPr>
          <w:rFonts w:ascii="Arial" w:hAnsi="Arial" w:cs="Arial"/>
          <w:sz w:val="22"/>
          <w:szCs w:val="22"/>
        </w:rPr>
        <w:t>H</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w:t>
      </w:r>
      <w:r w:rsidR="00DE7274">
        <w:rPr>
          <w:rFonts w:ascii="Arial" w:hAnsi="Arial" w:cs="Arial"/>
          <w:sz w:val="22"/>
          <w:szCs w:val="22"/>
        </w:rPr>
        <w:t>H</w:t>
      </w:r>
      <w:r w:rsidR="00CF33B7">
        <w:rPr>
          <w:rFonts w:ascii="Arial" w:hAnsi="Arial" w:cs="Arial"/>
          <w:sz w:val="22"/>
          <w:szCs w:val="22"/>
        </w:rPr>
        <w:t>, red lines).</w:t>
      </w:r>
      <w:r w:rsidR="00666678">
        <w:rPr>
          <w:rFonts w:ascii="Arial" w:hAnsi="Arial" w:cs="Arial"/>
          <w:sz w:val="22"/>
          <w:szCs w:val="22"/>
        </w:rPr>
        <w:t xml:space="preserve"> </w:t>
      </w:r>
      <w:r w:rsidR="00666678" w:rsidRPr="00666678">
        <w:rPr>
          <w:rFonts w:ascii="Arial" w:hAnsi="Arial" w:cs="Arial"/>
          <w:sz w:val="22"/>
          <w:szCs w:val="22"/>
          <w:highlight w:val="yellow"/>
        </w:rPr>
        <w:t>Concluding thought.</w:t>
      </w:r>
    </w:p>
    <w:p w14:paraId="09418C44" w14:textId="39277FDD" w:rsidR="001D7F41" w:rsidRDefault="001D7F41" w:rsidP="00F72CA7">
      <w:pPr>
        <w:pStyle w:val="Paragraph"/>
        <w:snapToGrid w:val="0"/>
        <w:spacing w:line="480" w:lineRule="auto"/>
        <w:ind w:firstLine="0"/>
      </w:pPr>
    </w:p>
    <w:p w14:paraId="3B61040C" w14:textId="073BE075" w:rsidR="0068587F" w:rsidRPr="00EC37F9" w:rsidRDefault="0068587F" w:rsidP="00F72CA7">
      <w:pPr>
        <w:pStyle w:val="Paragraph"/>
        <w:snapToGrid w:val="0"/>
        <w:spacing w:line="480" w:lineRule="auto"/>
        <w:ind w:firstLine="0"/>
        <w:rPr>
          <w:i/>
          <w:iCs/>
        </w:rPr>
      </w:pPr>
      <w:r w:rsidRPr="00EC37F9">
        <w:rPr>
          <w:i/>
          <w:iCs/>
        </w:rPr>
        <w:lastRenderedPageBreak/>
        <w:t>Prominent infiltration of macrophages in ccRCC</w:t>
      </w:r>
      <w:r w:rsidR="00EC37F9" w:rsidRPr="00EC37F9">
        <w:rPr>
          <w:i/>
          <w:iCs/>
        </w:rPr>
        <w:t xml:space="preserve"> have transcriptional divergence.</w:t>
      </w:r>
    </w:p>
    <w:p w14:paraId="0E76C4F5" w14:textId="1C345247" w:rsidR="0068587F" w:rsidRDefault="0068587F" w:rsidP="00F72CA7">
      <w:pPr>
        <w:pStyle w:val="Paragraph"/>
        <w:snapToGrid w:val="0"/>
        <w:spacing w:line="480" w:lineRule="auto"/>
        <w:ind w:firstLine="0"/>
      </w:pPr>
      <w:r>
        <w:t xml:space="preserve">With the previous observation of an overall increase in macrophages and decreased monocytes in integrated UMAP (Figure 1E), we next focused on differential analyses of the myeloid populations (Figure 3A). Across monocytes, macrophages and dendritic cells, </w:t>
      </w:r>
      <w:proofErr w:type="spellStart"/>
      <w:r>
        <w:t>sublustering</w:t>
      </w:r>
      <w:proofErr w:type="spellEnd"/>
      <w:r>
        <w:t xml:space="preserve"> found 20 distinct clusters (Figure 3A). Tissue-specific distribution was observed, with the majority tumor-infiltrating </w:t>
      </w:r>
      <w:proofErr w:type="spellStart"/>
      <w:r>
        <w:t>myeloids</w:t>
      </w:r>
      <w:proofErr w:type="spellEnd"/>
      <w:r>
        <w:t xml:space="preserve"> cells in </w:t>
      </w:r>
      <w:proofErr w:type="spellStart"/>
      <w:r>
        <w:t>subclusters</w:t>
      </w:r>
      <w:proofErr w:type="spellEnd"/>
      <w:r>
        <w:t xml:space="preserve"> 0, 3, 7, 8 and 15 (Figure 3B). In contrast, </w:t>
      </w:r>
      <w:r w:rsidR="00EC37F9">
        <w:t xml:space="preserve">both normal kidney parenchyma and peripheral blood were comprised of a majority of monocytic </w:t>
      </w:r>
      <w:proofErr w:type="spellStart"/>
      <w:r w:rsidR="00EC37F9">
        <w:t>subclusters</w:t>
      </w:r>
      <w:proofErr w:type="spellEnd"/>
      <w:r w:rsidR="00EC37F9">
        <w:t xml:space="preserve"> (Figure 3B). </w:t>
      </w:r>
      <w:r w:rsidR="008812EB">
        <w:t xml:space="preserve">Populations were assigned using canonical markers and in addition to the previously </w:t>
      </w:r>
      <w:proofErr w:type="spellStart"/>
      <w:r w:rsidR="008812EB">
        <w:t>decribed</w:t>
      </w:r>
      <w:proofErr w:type="spellEnd"/>
      <w:r w:rsidR="008812EB">
        <w:t xml:space="preserve"> singleR approach with macrophage </w:t>
      </w:r>
      <w:proofErr w:type="spellStart"/>
      <w:r w:rsidR="008812EB">
        <w:t>subclusters</w:t>
      </w:r>
      <w:proofErr w:type="spellEnd"/>
      <w:r w:rsidR="008812EB">
        <w:t xml:space="preserve"> (0, 3, 7, 13 and 14) identified using markers such as CD1C, CLECL10A (CD301), FCER1A, and MSR1 (Figure 3C). In total, we observed a decreased the proportion in CD14+ monocytes in tissue-infiltrating myeloid cells compared to peripheral blood and an increase in macrophages (Figure 3D). Normal renal parenchyma had a variable increased in CD14</w:t>
      </w:r>
      <w:r w:rsidR="008812EB" w:rsidRPr="008812EB">
        <w:rPr>
          <w:vertAlign w:val="superscript"/>
        </w:rPr>
        <w:t>-</w:t>
      </w:r>
      <w:r w:rsidR="008812EB">
        <w:t xml:space="preserve"> CD16</w:t>
      </w:r>
      <w:r w:rsidR="008812EB" w:rsidRPr="008812EB">
        <w:rPr>
          <w:vertAlign w:val="superscript"/>
        </w:rPr>
        <w:t>-</w:t>
      </w:r>
      <w:r w:rsidR="008812EB">
        <w:t xml:space="preserve"> monocytes, which was not significant. </w:t>
      </w:r>
      <w:r w:rsidR="00EC37F9">
        <w:t>As previously seen, we found a small number of DC (</w:t>
      </w:r>
      <w:proofErr w:type="spellStart"/>
      <w:r w:rsidR="00EC37F9">
        <w:t>subclusters</w:t>
      </w:r>
      <w:proofErr w:type="spellEnd"/>
      <w:r w:rsidR="00EC37F9">
        <w:t xml:space="preserve"> 15, 16, and 19) with distinct expression profiles associated with conventional  DC 1, plasmacytoid DC, and monocyte-derived DCs, respectively (</w:t>
      </w:r>
      <w:r w:rsidR="00EC37F9" w:rsidRPr="00EC37F9">
        <w:rPr>
          <w:highlight w:val="yellow"/>
        </w:rPr>
        <w:t>Supplemental Figure X</w:t>
      </w:r>
      <w:r w:rsidR="00EC37F9">
        <w:t xml:space="preserve">). </w:t>
      </w:r>
    </w:p>
    <w:p w14:paraId="657F3D7B" w14:textId="77777777" w:rsidR="008812EB" w:rsidRDefault="008812EB" w:rsidP="00F72CA7">
      <w:pPr>
        <w:pStyle w:val="Paragraph"/>
        <w:snapToGrid w:val="0"/>
        <w:spacing w:line="480" w:lineRule="auto"/>
        <w:ind w:firstLine="0"/>
      </w:pPr>
    </w:p>
    <w:p w14:paraId="40DD77BF" w14:textId="36AAD409" w:rsidR="008812EB" w:rsidRDefault="008812EB" w:rsidP="00666678">
      <w:pPr>
        <w:pStyle w:val="Paragraph"/>
        <w:snapToGrid w:val="0"/>
        <w:spacing w:line="480" w:lineRule="auto"/>
        <w:ind w:firstLine="0"/>
      </w:pPr>
      <w:r>
        <w:t xml:space="preserve">Next we isolated the five macrophage </w:t>
      </w:r>
      <w:proofErr w:type="spellStart"/>
      <w:r>
        <w:t>subclusters</w:t>
      </w:r>
      <w:proofErr w:type="spellEnd"/>
      <w:r>
        <w:t>, relabeling them tumor-associated macrophage 1 (TAM_1), TAM_2, TAM_3, resident macrophage (</w:t>
      </w:r>
      <w:proofErr w:type="spellStart"/>
      <w:r>
        <w:t>rM</w:t>
      </w:r>
      <w:proofErr w:type="spellEnd"/>
      <w:r>
        <w:t>) and peripheral macrophage (</w:t>
      </w:r>
      <w:proofErr w:type="spellStart"/>
      <w:r>
        <w:t>pM</w:t>
      </w:r>
      <w:proofErr w:type="spellEnd"/>
      <w:r>
        <w:t xml:space="preserve">) based on the relative percent of cells derived from the respective tissue (Figure 3E). </w:t>
      </w:r>
      <w:r w:rsidR="00050C57">
        <w:t>Alt</w:t>
      </w:r>
      <w:r w:rsidR="00A84007">
        <w:t>h</w:t>
      </w:r>
      <w:r w:rsidR="00050C57">
        <w:t>ough similar expression, these five clusters had distinct expression patterns</w:t>
      </w:r>
      <w:r w:rsidR="00A84007">
        <w:t xml:space="preserve">. For example, the </w:t>
      </w:r>
      <w:r w:rsidR="00A84007" w:rsidRPr="00A84007">
        <w:rPr>
          <w:highlight w:val="yellow"/>
        </w:rPr>
        <w:t>X+ X+</w:t>
      </w:r>
      <w:r w:rsidR="00A84007">
        <w:t xml:space="preserve"> TAM_1 expressed increased levels of chemokines and cytokines, like </w:t>
      </w:r>
      <w:r w:rsidR="00A84007" w:rsidRPr="00A84007">
        <w:rPr>
          <w:i/>
          <w:iCs/>
        </w:rPr>
        <w:t>CCL3</w:t>
      </w:r>
      <w:r w:rsidR="00A84007">
        <w:t xml:space="preserve">, </w:t>
      </w:r>
      <w:r w:rsidR="00A84007" w:rsidRPr="00A84007">
        <w:rPr>
          <w:i/>
          <w:iCs/>
        </w:rPr>
        <w:t>CCL4</w:t>
      </w:r>
      <w:r w:rsidR="00A84007">
        <w:t xml:space="preserve">, </w:t>
      </w:r>
      <w:r w:rsidR="00A84007" w:rsidRPr="00A84007">
        <w:rPr>
          <w:i/>
          <w:iCs/>
        </w:rPr>
        <w:t>CXCL2</w:t>
      </w:r>
      <w:r w:rsidR="00A84007">
        <w:t xml:space="preserve">, and </w:t>
      </w:r>
      <w:r w:rsidR="00A84007" w:rsidRPr="00A84007">
        <w:rPr>
          <w:i/>
          <w:iCs/>
        </w:rPr>
        <w:t>IL10</w:t>
      </w:r>
      <w:r w:rsidR="00A84007">
        <w:t xml:space="preserve">; </w:t>
      </w:r>
      <w:r w:rsidR="00A84007" w:rsidRPr="00A84007">
        <w:rPr>
          <w:highlight w:val="yellow"/>
        </w:rPr>
        <w:t>X+ X+</w:t>
      </w:r>
      <w:r w:rsidR="00A84007">
        <w:t xml:space="preserve"> TAM_2 </w:t>
      </w:r>
      <w:proofErr w:type="spellStart"/>
      <w:r w:rsidR="00A84007">
        <w:t>subcluster</w:t>
      </w:r>
      <w:proofErr w:type="spellEnd"/>
      <w:r w:rsidR="00A84007">
        <w:t xml:space="preserve"> expressed the </w:t>
      </w:r>
      <w:proofErr w:type="spellStart"/>
      <w:r w:rsidR="00A84007">
        <w:t>apolipoporetin</w:t>
      </w:r>
      <w:proofErr w:type="spellEnd"/>
      <w:r w:rsidR="00A84007">
        <w:t xml:space="preserve"> gene </w:t>
      </w:r>
      <w:r w:rsidR="00A84007" w:rsidRPr="00A84007">
        <w:rPr>
          <w:i/>
          <w:iCs/>
        </w:rPr>
        <w:t>APOE</w:t>
      </w:r>
      <w:r w:rsidR="00A84007">
        <w:t>, lysosomal lipase (</w:t>
      </w:r>
      <w:r w:rsidR="00A84007" w:rsidRPr="00A84007">
        <w:rPr>
          <w:i/>
          <w:iCs/>
        </w:rPr>
        <w:t>LIPA</w:t>
      </w:r>
      <w:r w:rsidR="00A84007">
        <w:t xml:space="preserve">), </w:t>
      </w:r>
      <w:r w:rsidR="00A84007">
        <w:lastRenderedPageBreak/>
        <w:t xml:space="preserve">and </w:t>
      </w:r>
      <w:proofErr w:type="spellStart"/>
      <w:r w:rsidR="00A84007">
        <w:t>ferroportin</w:t>
      </w:r>
      <w:proofErr w:type="spellEnd"/>
      <w:r w:rsidR="00A84007">
        <w:t xml:space="preserve"> (</w:t>
      </w:r>
      <w:r w:rsidR="00A84007" w:rsidRPr="00A84007">
        <w:rPr>
          <w:i/>
          <w:iCs/>
        </w:rPr>
        <w:t>SLC40A1</w:t>
      </w:r>
      <w:r w:rsidR="00A84007">
        <w:t xml:space="preserve">); and </w:t>
      </w:r>
      <w:r w:rsidR="00A84007" w:rsidRPr="006C2FF3">
        <w:rPr>
          <w:highlight w:val="yellow"/>
        </w:rPr>
        <w:t>X+ X</w:t>
      </w:r>
      <w:r w:rsidR="00A84007">
        <w:t xml:space="preserve"> TAM_3 had high levels of </w:t>
      </w:r>
      <w:r w:rsidR="00A84007" w:rsidRPr="00A84007">
        <w:rPr>
          <w:i/>
          <w:iCs/>
        </w:rPr>
        <w:t>CD1C</w:t>
      </w:r>
      <w:r w:rsidR="00A84007">
        <w:t xml:space="preserve">, </w:t>
      </w:r>
      <w:r w:rsidR="00A84007" w:rsidRPr="00A84007">
        <w:rPr>
          <w:i/>
          <w:iCs/>
        </w:rPr>
        <w:t>IL1R2</w:t>
      </w:r>
      <w:r w:rsidR="00A84007">
        <w:t xml:space="preserve">, and </w:t>
      </w:r>
      <w:proofErr w:type="spellStart"/>
      <w:r w:rsidR="00A84007">
        <w:t>Langerhin</w:t>
      </w:r>
      <w:proofErr w:type="spellEnd"/>
      <w:r w:rsidR="00A84007">
        <w:t xml:space="preserve"> (</w:t>
      </w:r>
      <w:r w:rsidR="00A84007" w:rsidRPr="00A84007">
        <w:rPr>
          <w:i/>
          <w:iCs/>
        </w:rPr>
        <w:t>CD207</w:t>
      </w:r>
      <w:r w:rsidR="00A84007">
        <w:t xml:space="preserve">), a marker of the skin-resident </w:t>
      </w:r>
      <w:proofErr w:type="spellStart"/>
      <w:r w:rsidR="00A84007">
        <w:t>Langerhan</w:t>
      </w:r>
      <w:proofErr w:type="spellEnd"/>
      <w:r w:rsidR="00A84007">
        <w:t xml:space="preserve"> cells (Figure 3F). </w:t>
      </w:r>
      <w:r w:rsidR="0020613A">
        <w:t xml:space="preserve">The </w:t>
      </w:r>
      <w:proofErr w:type="spellStart"/>
      <w:r w:rsidR="0020613A">
        <w:t>pM</w:t>
      </w:r>
      <w:proofErr w:type="spellEnd"/>
      <w:r w:rsidR="0020613A">
        <w:t xml:space="preserve"> </w:t>
      </w:r>
      <w:proofErr w:type="spellStart"/>
      <w:r w:rsidR="0020613A">
        <w:t>sub</w:t>
      </w:r>
      <w:r w:rsidR="00666678">
        <w:t>c</w:t>
      </w:r>
      <w:r w:rsidR="0020613A">
        <w:t>luster</w:t>
      </w:r>
      <w:proofErr w:type="spellEnd"/>
      <w:r w:rsidR="0020613A">
        <w:t xml:space="preserve"> had the highest level of the cell adhesion molecules </w:t>
      </w:r>
      <w:r w:rsidR="0020613A" w:rsidRPr="0020613A">
        <w:rPr>
          <w:i/>
          <w:iCs/>
        </w:rPr>
        <w:t>CLEC10A</w:t>
      </w:r>
      <w:r w:rsidR="0020613A">
        <w:t xml:space="preserve">, </w:t>
      </w:r>
      <w:r w:rsidR="0020613A" w:rsidRPr="0020613A">
        <w:rPr>
          <w:i/>
          <w:iCs/>
        </w:rPr>
        <w:t>SELL</w:t>
      </w:r>
      <w:r w:rsidR="0020613A">
        <w:t xml:space="preserve"> (CD62L), and </w:t>
      </w:r>
      <w:r w:rsidR="0020613A" w:rsidRPr="0020613A">
        <w:rPr>
          <w:i/>
          <w:iCs/>
        </w:rPr>
        <w:t>ITGB7</w:t>
      </w:r>
      <w:r w:rsidR="0020613A">
        <w:t xml:space="preserve">, which can dimerize with </w:t>
      </w:r>
      <w:r w:rsidR="0020613A" w:rsidRPr="0020613A">
        <w:rPr>
          <w:i/>
          <w:iCs/>
        </w:rPr>
        <w:t>ITGA4</w:t>
      </w:r>
      <w:r w:rsidR="0020613A">
        <w:t xml:space="preserve"> (CD49d) or </w:t>
      </w:r>
      <w:r w:rsidR="0020613A" w:rsidRPr="0020613A">
        <w:rPr>
          <w:i/>
          <w:iCs/>
        </w:rPr>
        <w:t>ITGAE</w:t>
      </w:r>
      <w:r w:rsidR="0020613A">
        <w:t xml:space="preserve"> (CD103).</w:t>
      </w:r>
      <w:r w:rsidR="006C2FF3">
        <w:t xml:space="preserve"> Like the CD8</w:t>
      </w:r>
      <w:r w:rsidR="006C2FF3" w:rsidRPr="00666678">
        <w:rPr>
          <w:vertAlign w:val="superscript"/>
        </w:rPr>
        <w:t>+</w:t>
      </w:r>
      <w:r w:rsidR="006C2FF3">
        <w:t xml:space="preserve"> T cells, we built cell trajectories based on varied genes find two distinct curves converging into TAM_3 and </w:t>
      </w:r>
      <w:proofErr w:type="spellStart"/>
      <w:r w:rsidR="006C2FF3">
        <w:t>pM</w:t>
      </w:r>
      <w:proofErr w:type="spellEnd"/>
      <w:r w:rsidR="006C2FF3">
        <w:t xml:space="preserve"> (Figure 3G). </w:t>
      </w:r>
      <w:r w:rsidR="006C2FF3">
        <w:rPr>
          <w:rFonts w:ascii="Arial" w:hAnsi="Arial" w:cs="Arial"/>
          <w:sz w:val="22"/>
          <w:szCs w:val="22"/>
        </w:rPr>
        <w:t xml:space="preserve">In order to </w:t>
      </w:r>
      <w:r w:rsidR="00666678">
        <w:rPr>
          <w:rFonts w:ascii="Arial" w:hAnsi="Arial" w:cs="Arial"/>
          <w:sz w:val="22"/>
          <w:szCs w:val="22"/>
        </w:rPr>
        <w:t>assess potential</w:t>
      </w:r>
      <w:r w:rsidR="006C2FF3">
        <w:rPr>
          <w:rFonts w:ascii="Arial" w:hAnsi="Arial" w:cs="Arial"/>
          <w:sz w:val="22"/>
          <w:szCs w:val="22"/>
        </w:rPr>
        <w:t xml:space="preserve"> functional difference</w:t>
      </w:r>
      <w:r w:rsidR="00666678">
        <w:rPr>
          <w:rFonts w:ascii="Arial" w:hAnsi="Arial" w:cs="Arial"/>
          <w:sz w:val="22"/>
          <w:szCs w:val="22"/>
        </w:rPr>
        <w:t xml:space="preserve">s for the macrophages, </w:t>
      </w:r>
      <w:r w:rsidR="006C2FF3">
        <w:rPr>
          <w:rFonts w:ascii="Arial" w:hAnsi="Arial" w:cs="Arial"/>
          <w:sz w:val="22"/>
          <w:szCs w:val="22"/>
        </w:rPr>
        <w:t>we performed gene set enrichment analysis (Figure 3H</w:t>
      </w:r>
      <w:r w:rsidR="00666678">
        <w:rPr>
          <w:rFonts w:ascii="Arial" w:hAnsi="Arial" w:cs="Arial"/>
          <w:sz w:val="22"/>
          <w:szCs w:val="22"/>
        </w:rPr>
        <w:t xml:space="preserve">). As previously observed in single-cell data (cite here), no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was distinctly M1 or M2 polarized. For example, TAM_1 had enrichment for gene sets commonly associated with the M2 macrophage compartment, such has angiogenesis and the production of lipid mediators, while also having the highest levels of </w:t>
      </w:r>
      <w:proofErr w:type="spellStart"/>
      <w:r w:rsidR="00666678">
        <w:rPr>
          <w:rFonts w:ascii="Arial" w:hAnsi="Arial" w:cs="Arial"/>
          <w:sz w:val="22"/>
          <w:szCs w:val="22"/>
        </w:rPr>
        <w:t>TNFɑ</w:t>
      </w:r>
      <w:proofErr w:type="spellEnd"/>
      <w:r w:rsidR="00666678">
        <w:rPr>
          <w:rFonts w:ascii="Arial" w:hAnsi="Arial" w:cs="Arial"/>
          <w:sz w:val="22"/>
          <w:szCs w:val="22"/>
        </w:rPr>
        <w:t xml:space="preserve"> signaling enrichment, a common M1 macrophage characteristic. Across the three 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modest enrichment in both type 1 and type 2 interferon signaling was observed (Figure 3H). The non-TAM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t>
      </w:r>
      <w:proofErr w:type="spellStart"/>
      <w:r w:rsidR="00666678">
        <w:rPr>
          <w:rFonts w:ascii="Arial" w:hAnsi="Arial" w:cs="Arial"/>
          <w:sz w:val="22"/>
          <w:szCs w:val="22"/>
        </w:rPr>
        <w:t>rM</w:t>
      </w:r>
      <w:proofErr w:type="spellEnd"/>
      <w:r w:rsidR="00666678">
        <w:rPr>
          <w:rFonts w:ascii="Arial" w:hAnsi="Arial" w:cs="Arial"/>
          <w:sz w:val="22"/>
          <w:szCs w:val="22"/>
        </w:rPr>
        <w:t xml:space="preserve"> and </w:t>
      </w:r>
      <w:proofErr w:type="spellStart"/>
      <w:r w:rsidR="00666678">
        <w:rPr>
          <w:rFonts w:ascii="Arial" w:hAnsi="Arial" w:cs="Arial"/>
          <w:sz w:val="22"/>
          <w:szCs w:val="22"/>
        </w:rPr>
        <w:t>pM</w:t>
      </w:r>
      <w:proofErr w:type="spellEnd"/>
      <w:r w:rsidR="00666678">
        <w:rPr>
          <w:rFonts w:ascii="Arial" w:hAnsi="Arial" w:cs="Arial"/>
          <w:sz w:val="22"/>
          <w:szCs w:val="22"/>
        </w:rPr>
        <w:t xml:space="preserve"> had relatively lower levels of enrichment with the exception of proinflammatory signaling and glycolysis, respectively (Figure 3H). </w:t>
      </w:r>
      <w:r w:rsidR="00666678" w:rsidRPr="00666678">
        <w:rPr>
          <w:rFonts w:ascii="Arial" w:hAnsi="Arial" w:cs="Arial"/>
          <w:sz w:val="22"/>
          <w:szCs w:val="22"/>
          <w:highlight w:val="yellow"/>
        </w:rPr>
        <w:t>Concluding thought</w:t>
      </w:r>
    </w:p>
    <w:p w14:paraId="58FBB8DE" w14:textId="584471E1" w:rsidR="00302E3B" w:rsidRDefault="00C42E13" w:rsidP="008274D0">
      <w:pPr>
        <w:pStyle w:val="Paragraph"/>
        <w:snapToGrid w:val="0"/>
        <w:ind w:firstLine="0"/>
        <w:rPr>
          <w:rFonts w:ascii="Arial" w:hAnsi="Arial" w:cs="Arial"/>
          <w:b/>
          <w:bCs/>
          <w:color w:val="000000"/>
          <w:sz w:val="22"/>
          <w:szCs w:val="22"/>
        </w:rPr>
      </w:pPr>
      <w:proofErr w:type="spellStart"/>
      <w:r>
        <w:rPr>
          <w:rFonts w:ascii="Arial" w:hAnsi="Arial" w:cs="Arial"/>
          <w:b/>
          <w:bCs/>
          <w:color w:val="000000"/>
          <w:sz w:val="22"/>
          <w:szCs w:val="22"/>
        </w:rPr>
        <w:t>Discusion</w:t>
      </w:r>
      <w:proofErr w:type="spellEnd"/>
    </w:p>
    <w:p w14:paraId="3CD9338C" w14:textId="43F87364" w:rsidR="00302E3B" w:rsidRDefault="00302E3B" w:rsidP="00302E3B">
      <w:pPr>
        <w:pStyle w:val="Paragraph"/>
        <w:snapToGrid w:val="0"/>
        <w:ind w:firstLine="0"/>
        <w:rPr>
          <w:rFonts w:ascii="Arial" w:hAnsi="Arial" w:cs="Arial"/>
          <w:color w:val="000000"/>
          <w:sz w:val="22"/>
          <w:szCs w:val="22"/>
        </w:rPr>
      </w:pPr>
      <w:r>
        <w:rPr>
          <w:rFonts w:ascii="Arial" w:hAnsi="Arial" w:cs="Arial"/>
          <w:b/>
          <w:bCs/>
          <w:color w:val="000000"/>
          <w:sz w:val="22"/>
          <w:szCs w:val="22"/>
        </w:rPr>
        <w:t xml:space="preserve">The tumor microenvironment for ccRCC tumors with </w:t>
      </w:r>
      <w:r w:rsidRPr="00665A8D">
        <w:rPr>
          <w:rFonts w:ascii="Arial" w:hAnsi="Arial" w:cs="Arial"/>
          <w:color w:val="000000"/>
          <w:sz w:val="22"/>
          <w:szCs w:val="22"/>
        </w:rPr>
        <w:t xml:space="preserve">ccRCC had the highest T cell infiltration score among tumor types within the TCGA </w:t>
      </w:r>
      <w:r w:rsidRPr="00665A8D">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plainTextFormattedCitation":"(34)","previouslyFormattedCitation":"(34)"},"properties":{"noteIndex":0},"schema":"https://github.com/citation-style-language/schema/raw/master/csl-citation.json"}</w:instrText>
      </w:r>
      <w:r w:rsidRPr="00665A8D">
        <w:rPr>
          <w:rFonts w:ascii="Arial" w:hAnsi="Arial" w:cs="Arial"/>
          <w:color w:val="000000"/>
          <w:sz w:val="22"/>
          <w:szCs w:val="22"/>
        </w:rPr>
        <w:fldChar w:fldCharType="separate"/>
      </w:r>
      <w:r w:rsidRPr="00665A8D">
        <w:rPr>
          <w:rFonts w:ascii="Arial" w:hAnsi="Arial" w:cs="Arial"/>
          <w:noProof/>
          <w:color w:val="000000"/>
          <w:sz w:val="22"/>
          <w:szCs w:val="22"/>
        </w:rPr>
        <w:t>(34)</w:t>
      </w:r>
      <w:r w:rsidRPr="00665A8D">
        <w:rPr>
          <w:rFonts w:ascii="Arial" w:hAnsi="Arial" w:cs="Arial"/>
          <w:color w:val="000000"/>
          <w:sz w:val="22"/>
          <w:szCs w:val="22"/>
        </w:rPr>
        <w:fldChar w:fldCharType="end"/>
      </w:r>
      <w:r w:rsidRPr="00665A8D">
        <w:rPr>
          <w:rFonts w:ascii="Arial" w:hAnsi="Arial" w:cs="Arial"/>
          <w:color w:val="000000"/>
          <w:sz w:val="22"/>
          <w:szCs w:val="22"/>
        </w:rPr>
        <w:t>.</w:t>
      </w:r>
      <w:r>
        <w:rPr>
          <w:rFonts w:ascii="Arial" w:hAnsi="Arial" w:cs="Arial"/>
          <w:color w:val="000000"/>
          <w:sz w:val="22"/>
          <w:szCs w:val="22"/>
        </w:rPr>
        <w:t xml:space="preserve"> </w:t>
      </w:r>
      <w:r w:rsidRPr="00673B61">
        <w:rPr>
          <w:rFonts w:ascii="Arial" w:hAnsi="Arial" w:cs="Arial"/>
          <w:color w:val="000000"/>
          <w:sz w:val="22"/>
          <w:szCs w:val="22"/>
        </w:rPr>
        <w:t xml:space="preserve">Unlike other tumors that respond to immune checkpoint blockade, ccRCC has a relatively low tumor mutational load </w:t>
      </w:r>
      <w:r w:rsidRPr="00673B61">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M.","non-dropping-particle":"Van","parse-names":false,"suffix":""}],"container-title":"Science","id":"ITEM-1","issued":{"date-parts":[["2018"]]},"title":"Genomic correlates of response to immune checkpoint therapies in clear cell renal cell carcinoma","type":"article-journal"},"uris":["http://www.mendeley.com/documents/?uuid=fd49aeb7-c337-4536-9ab3-f616516d0485"]},{"id":"ITEM-2","itemData":{"DOI":"10.1038/nature12222","ISSN":"00280836","PMID":"23792563","abstract":"Genetic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J.","non-dropping-particle":"","parse-names":false,"suffix":""}],"container-title":"Nature","id":"ITEM-2","issued":{"date-parts":[["2013"]]},"title":"Comprehensivemolecular characterization of clear cell renal cell carcinoma","type":"article-journal"},"uris":["http://www.mendeley.com/documents/?uuid=d6020cd7-f897-4ff4-b600-c843bbbf7719"]}],"mendeley":{"formattedCitation":"(18,35)","plainTextFormattedCitation":"(18,35)","previouslyFormattedCitation":"(18,35)"},"properties":{"noteIndex":0},"schema":"https://github.com/citation-style-language/schema/raw/master/csl-citation.json"}</w:instrText>
      </w:r>
      <w:r w:rsidRPr="00673B61">
        <w:rPr>
          <w:rFonts w:ascii="Arial" w:hAnsi="Arial" w:cs="Arial"/>
          <w:color w:val="000000"/>
          <w:sz w:val="22"/>
          <w:szCs w:val="22"/>
        </w:rPr>
        <w:fldChar w:fldCharType="separate"/>
      </w:r>
      <w:r w:rsidRPr="00665A8D">
        <w:rPr>
          <w:rFonts w:ascii="Arial" w:hAnsi="Arial" w:cs="Arial"/>
          <w:noProof/>
          <w:color w:val="000000"/>
          <w:sz w:val="22"/>
          <w:szCs w:val="22"/>
        </w:rPr>
        <w:t>(</w:t>
      </w:r>
      <w:bookmarkStart w:id="0" w:name="_GoBack"/>
      <w:bookmarkEnd w:id="0"/>
      <w:r w:rsidRPr="00665A8D">
        <w:rPr>
          <w:rFonts w:ascii="Arial" w:hAnsi="Arial" w:cs="Arial"/>
          <w:noProof/>
          <w:color w:val="000000"/>
          <w:sz w:val="22"/>
          <w:szCs w:val="22"/>
        </w:rPr>
        <w:t>18,35)</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w:t>
      </w:r>
      <w:r>
        <w:rPr>
          <w:rFonts w:ascii="Arial" w:hAnsi="Arial" w:cs="Arial"/>
          <w:color w:val="000000"/>
          <w:sz w:val="22"/>
          <w:szCs w:val="22"/>
        </w:rPr>
        <w:t xml:space="preserve">and is </w:t>
      </w:r>
      <w:proofErr w:type="spellStart"/>
      <w:r>
        <w:rPr>
          <w:rFonts w:ascii="Arial" w:hAnsi="Arial" w:cs="Arial"/>
          <w:color w:val="000000"/>
          <w:sz w:val="22"/>
          <w:szCs w:val="22"/>
        </w:rPr>
        <w:t xml:space="preserve">not </w:t>
      </w:r>
      <w:proofErr w:type="spellEnd"/>
      <w:r w:rsidRPr="00673B61">
        <w:rPr>
          <w:rFonts w:ascii="Arial" w:hAnsi="Arial" w:cs="Arial"/>
          <w:color w:val="000000"/>
          <w:sz w:val="22"/>
          <w:szCs w:val="22"/>
        </w:rPr>
        <w:t>associated with response to</w:t>
      </w:r>
      <w:r>
        <w:rPr>
          <w:rFonts w:ascii="Arial" w:hAnsi="Arial" w:cs="Arial"/>
          <w:color w:val="000000"/>
          <w:sz w:val="22"/>
          <w:szCs w:val="22"/>
        </w:rPr>
        <w:t xml:space="preserve"> anti-PD-1</w:t>
      </w:r>
      <w:r w:rsidRPr="00673B61">
        <w:rPr>
          <w:rFonts w:ascii="Arial" w:hAnsi="Arial" w:cs="Arial"/>
          <w:color w:val="000000"/>
          <w:sz w:val="22"/>
          <w:szCs w:val="22"/>
        </w:rPr>
        <w:t xml:space="preserve"> therapy </w:t>
      </w:r>
      <w:r w:rsidRPr="00673B61">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Pr="00673B61">
        <w:rPr>
          <w:rFonts w:ascii="Arial" w:hAnsi="Arial" w:cs="Arial"/>
          <w:color w:val="000000"/>
          <w:sz w:val="22"/>
          <w:szCs w:val="22"/>
        </w:rPr>
        <w:fldChar w:fldCharType="separate"/>
      </w:r>
      <w:r w:rsidRPr="00673B61">
        <w:rPr>
          <w:rFonts w:ascii="Arial" w:hAnsi="Arial" w:cs="Arial"/>
          <w:noProof/>
          <w:color w:val="000000"/>
          <w:sz w:val="22"/>
          <w:szCs w:val="22"/>
        </w:rPr>
        <w:t>(14)</w:t>
      </w:r>
      <w:r w:rsidRPr="00673B61">
        <w:rPr>
          <w:rFonts w:ascii="Arial" w:hAnsi="Arial" w:cs="Arial"/>
          <w:color w:val="000000"/>
          <w:sz w:val="22"/>
          <w:szCs w:val="22"/>
        </w:rPr>
        <w:fldChar w:fldCharType="end"/>
      </w:r>
      <w:r w:rsidRPr="00673B61">
        <w:rPr>
          <w:rFonts w:ascii="Arial" w:hAnsi="Arial" w:cs="Arial"/>
          <w:color w:val="000000"/>
          <w:sz w:val="22"/>
          <w:szCs w:val="22"/>
        </w:rPr>
        <w:t xml:space="preserve">. </w:t>
      </w:r>
      <w:r>
        <w:rPr>
          <w:rFonts w:ascii="Arial" w:hAnsi="Arial" w:cs="Arial"/>
          <w:color w:val="000000"/>
          <w:sz w:val="22"/>
          <w:szCs w:val="22"/>
        </w:rPr>
        <w:t xml:space="preserve">Similarly, therapeutic response to anti-PD-1 therapy have been correlated with HLA heterozygosity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A.","non-dropping-particle":"","parse-names":false,"suffix":""}],"container-title":"Science","id":"ITEM-1","issued":{"date-parts":[["2018"]]},"title":"Patient HLA class I genotype influences cancer response to checkpoint blockade immunotherapy","type":"article-journal"},"uris":["http://www.mendeley.com/documents/?uuid=7713df84-bd85-4628-9927-8c8a7a10b51d"]}],"mendeley":{"formattedCitation":"(36)","plainTextFormattedCitation":"(36)","previouslyFormattedCitation":"(36)"},"properties":{"noteIndex":0},"schema":"https://github.com/citation-style-language/schema/raw/master/csl-citation.json"}</w:instrText>
      </w:r>
      <w:r>
        <w:rPr>
          <w:rFonts w:ascii="Arial" w:hAnsi="Arial" w:cs="Arial"/>
          <w:color w:val="000000"/>
          <w:sz w:val="22"/>
          <w:szCs w:val="22"/>
        </w:rPr>
        <w:fldChar w:fldCharType="separate"/>
      </w:r>
      <w:r w:rsidRPr="00665A8D">
        <w:rPr>
          <w:rFonts w:ascii="Arial" w:hAnsi="Arial" w:cs="Arial"/>
          <w:noProof/>
          <w:color w:val="000000"/>
          <w:sz w:val="22"/>
          <w:szCs w:val="22"/>
        </w:rPr>
        <w:t>(36)</w:t>
      </w:r>
      <w:r>
        <w:rPr>
          <w:rFonts w:ascii="Arial" w:hAnsi="Arial" w:cs="Arial"/>
          <w:color w:val="000000"/>
          <w:sz w:val="22"/>
          <w:szCs w:val="22"/>
        </w:rPr>
        <w:fldChar w:fldCharType="end"/>
      </w:r>
      <w:r>
        <w:rPr>
          <w:rFonts w:ascii="Arial" w:hAnsi="Arial" w:cs="Arial"/>
          <w:color w:val="000000"/>
          <w:sz w:val="22"/>
          <w:szCs w:val="22"/>
        </w:rPr>
        <w:t xml:space="preserve">, which does not seem to be the case for ccRCC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Pr>
          <w:rFonts w:ascii="Arial" w:hAnsi="Arial" w:cs="Arial"/>
          <w:color w:val="000000"/>
          <w:sz w:val="22"/>
          <w:szCs w:val="22"/>
        </w:rPr>
        <w:fldChar w:fldCharType="separate"/>
      </w:r>
      <w:r w:rsidRPr="00352D3C">
        <w:rPr>
          <w:rFonts w:ascii="Arial" w:hAnsi="Arial" w:cs="Arial"/>
          <w:noProof/>
          <w:color w:val="000000"/>
          <w:sz w:val="22"/>
          <w:szCs w:val="22"/>
        </w:rPr>
        <w:t>(14)</w:t>
      </w:r>
      <w:r>
        <w:rPr>
          <w:rFonts w:ascii="Arial" w:hAnsi="Arial" w:cs="Arial"/>
          <w:color w:val="000000"/>
          <w:sz w:val="22"/>
          <w:szCs w:val="22"/>
        </w:rPr>
        <w:fldChar w:fldCharType="end"/>
      </w:r>
      <w:r>
        <w:rPr>
          <w:rFonts w:ascii="Arial" w:hAnsi="Arial" w:cs="Arial"/>
          <w:color w:val="000000"/>
          <w:sz w:val="22"/>
          <w:szCs w:val="22"/>
        </w:rPr>
        <w:t xml:space="preserve">. Immunogenicity of ccRCC has been tied to antigen presenting machinery expression through MHC-I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plainTextFormattedCitation":"(34)"},"properties":{"noteIndex":0},"schema":"https://github.com/citation-style-language/schema/raw/master/csl-citation.json"}</w:instrText>
      </w:r>
      <w:r>
        <w:rPr>
          <w:rFonts w:ascii="Arial" w:hAnsi="Arial" w:cs="Arial"/>
          <w:color w:val="000000"/>
          <w:sz w:val="22"/>
          <w:szCs w:val="22"/>
        </w:rPr>
        <w:fldChar w:fldCharType="separate"/>
      </w:r>
      <w:r w:rsidRPr="00302E3B">
        <w:rPr>
          <w:rFonts w:ascii="Arial" w:hAnsi="Arial" w:cs="Arial"/>
          <w:noProof/>
          <w:color w:val="000000"/>
          <w:sz w:val="22"/>
          <w:szCs w:val="22"/>
        </w:rPr>
        <w:t>(34)</w:t>
      </w:r>
      <w:r>
        <w:rPr>
          <w:rFonts w:ascii="Arial" w:hAnsi="Arial" w:cs="Arial"/>
          <w:color w:val="000000"/>
          <w:sz w:val="22"/>
          <w:szCs w:val="22"/>
        </w:rPr>
        <w:fldChar w:fldCharType="end"/>
      </w:r>
      <w:r>
        <w:rPr>
          <w:rFonts w:ascii="Arial" w:hAnsi="Arial" w:cs="Arial"/>
          <w:color w:val="000000"/>
          <w:sz w:val="22"/>
          <w:szCs w:val="22"/>
        </w:rPr>
        <w:t xml:space="preserve">. This may be a result of apparent differential immune infiltration, which has been closely linked to tumor stage and histological grade </w:t>
      </w:r>
      <w:r>
        <w:rPr>
          <w:rFonts w:ascii="Arial" w:hAnsi="Arial" w:cs="Arial"/>
          <w:color w:val="000000"/>
          <w:sz w:val="22"/>
          <w:szCs w:val="22"/>
        </w:rPr>
        <w:fldChar w:fldCharType="begin" w:fldLock="1"/>
      </w:r>
      <w:r>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(14,34)","plainTextFormattedCitation":"(14,34)","previouslyFormattedCitation":"(14,34)"},"properties":{"noteIndex":0},"schema":"https://github.com/citation-style-language/schema/raw/master/csl-citation.json"}</w:instrText>
      </w:r>
      <w:r>
        <w:rPr>
          <w:rFonts w:ascii="Arial" w:hAnsi="Arial" w:cs="Arial"/>
          <w:color w:val="000000"/>
          <w:sz w:val="22"/>
          <w:szCs w:val="22"/>
        </w:rPr>
        <w:fldChar w:fldCharType="separate"/>
      </w:r>
      <w:r w:rsidRPr="00665A8D">
        <w:rPr>
          <w:rFonts w:ascii="Arial" w:hAnsi="Arial" w:cs="Arial"/>
          <w:noProof/>
          <w:color w:val="000000"/>
          <w:sz w:val="22"/>
          <w:szCs w:val="22"/>
        </w:rPr>
        <w:t>(14,34)</w:t>
      </w:r>
      <w:r>
        <w:rPr>
          <w:rFonts w:ascii="Arial" w:hAnsi="Arial" w:cs="Arial"/>
          <w:color w:val="000000"/>
          <w:sz w:val="22"/>
          <w:szCs w:val="22"/>
        </w:rPr>
        <w:fldChar w:fldCharType="end"/>
      </w:r>
      <w:r>
        <w:rPr>
          <w:rFonts w:ascii="Arial" w:hAnsi="Arial" w:cs="Arial"/>
          <w:color w:val="000000"/>
          <w:sz w:val="22"/>
          <w:szCs w:val="22"/>
        </w:rPr>
        <w:t>.</w:t>
      </w:r>
    </w:p>
    <w:p w14:paraId="2D30F44E" w14:textId="11A51C97" w:rsidR="00C42E13" w:rsidRDefault="00C42E13" w:rsidP="008274D0">
      <w:pPr>
        <w:pStyle w:val="Paragraph"/>
        <w:snapToGrid w:val="0"/>
        <w:ind w:firstLine="0"/>
        <w:rPr>
          <w:rFonts w:ascii="Arial" w:hAnsi="Arial" w:cs="Arial"/>
          <w:b/>
          <w:bCs/>
          <w:color w:val="000000"/>
          <w:sz w:val="22"/>
          <w:szCs w:val="22"/>
        </w:rPr>
      </w:pPr>
    </w:p>
    <w:p w14:paraId="301EF132" w14:textId="2E17C5C3" w:rsidR="00352D3C" w:rsidRDefault="00352D3C" w:rsidP="008274D0">
      <w:pPr>
        <w:pStyle w:val="Paragraph"/>
        <w:snapToGrid w:val="0"/>
        <w:ind w:firstLine="0"/>
        <w:rPr>
          <w:rFonts w:ascii="Arial" w:hAnsi="Arial" w:cs="Arial"/>
          <w:color w:val="000000"/>
          <w:sz w:val="22"/>
          <w:szCs w:val="22"/>
        </w:rPr>
      </w:pPr>
    </w:p>
    <w:p w14:paraId="3D1155DD" w14:textId="07EABA2C" w:rsidR="00496F98" w:rsidRDefault="00352D3C" w:rsidP="008274D0">
      <w:pPr>
        <w:pStyle w:val="Paragraph"/>
        <w:snapToGrid w:val="0"/>
        <w:ind w:firstLine="0"/>
        <w:rPr>
          <w:rFonts w:ascii="Arial" w:hAnsi="Arial" w:cs="Arial"/>
          <w:color w:val="000000"/>
          <w:sz w:val="22"/>
          <w:szCs w:val="22"/>
        </w:rPr>
      </w:pPr>
      <w:r>
        <w:rPr>
          <w:rFonts w:ascii="Arial" w:hAnsi="Arial" w:cs="Arial"/>
          <w:color w:val="000000"/>
          <w:sz w:val="22"/>
          <w:szCs w:val="22"/>
        </w:rPr>
        <w:t xml:space="preserve">CD8+ T cells </w:t>
      </w:r>
      <w:r w:rsidR="00072B81">
        <w:rPr>
          <w:rFonts w:ascii="Arial" w:hAnsi="Arial" w:cs="Arial"/>
          <w:color w:val="000000"/>
          <w:sz w:val="22"/>
          <w:szCs w:val="22"/>
        </w:rPr>
        <w:t xml:space="preserve">with lower activation and exhausted expression patterns were associated with improved anti-PD-1 responses in melanoma. Unlike the more exhausted cells, these responsive T cells had minimal clonotypes shared between the more activated CD8+ subsets </w:t>
      </w:r>
      <w:r w:rsidR="00072B81">
        <w:rPr>
          <w:rFonts w:ascii="Arial" w:hAnsi="Arial" w:cs="Arial"/>
          <w:color w:val="000000"/>
          <w:sz w:val="22"/>
          <w:szCs w:val="22"/>
        </w:rPr>
        <w:fldChar w:fldCharType="begin" w:fldLock="1"/>
      </w:r>
      <w:r w:rsidR="00496F98">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072B81">
        <w:rPr>
          <w:rFonts w:ascii="Arial" w:hAnsi="Arial" w:cs="Arial"/>
          <w:color w:val="000000"/>
          <w:sz w:val="22"/>
          <w:szCs w:val="22"/>
        </w:rPr>
        <w:fldChar w:fldCharType="separate"/>
      </w:r>
      <w:r w:rsidR="00072B81" w:rsidRPr="00072B81">
        <w:rPr>
          <w:rFonts w:ascii="Arial" w:hAnsi="Arial" w:cs="Arial"/>
          <w:noProof/>
          <w:color w:val="000000"/>
          <w:sz w:val="22"/>
          <w:szCs w:val="22"/>
        </w:rPr>
        <w:t>(21)</w:t>
      </w:r>
      <w:r w:rsidR="00072B81">
        <w:rPr>
          <w:rFonts w:ascii="Arial" w:hAnsi="Arial" w:cs="Arial"/>
          <w:color w:val="000000"/>
          <w:sz w:val="22"/>
          <w:szCs w:val="22"/>
        </w:rPr>
        <w:fldChar w:fldCharType="end"/>
      </w:r>
      <w:r w:rsidR="00072B81">
        <w:rPr>
          <w:rFonts w:ascii="Arial" w:hAnsi="Arial" w:cs="Arial"/>
          <w:color w:val="000000"/>
          <w:sz w:val="22"/>
          <w:szCs w:val="22"/>
        </w:rPr>
        <w:t>.</w:t>
      </w:r>
    </w:p>
    <w:p w14:paraId="74EC0993" w14:textId="77777777" w:rsidR="00496F98" w:rsidRDefault="00496F98" w:rsidP="008274D0">
      <w:pPr>
        <w:pStyle w:val="Paragraph"/>
        <w:snapToGrid w:val="0"/>
        <w:ind w:firstLine="0"/>
        <w:rPr>
          <w:rFonts w:ascii="Arial" w:hAnsi="Arial" w:cs="Arial"/>
          <w:color w:val="000000"/>
          <w:sz w:val="22"/>
          <w:szCs w:val="22"/>
        </w:rPr>
      </w:pPr>
    </w:p>
    <w:p w14:paraId="783DA2DC" w14:textId="68449B52" w:rsidR="009E37AE" w:rsidRDefault="00496F98" w:rsidP="009E37AE">
      <w:pPr>
        <w:pStyle w:val="Paragraph"/>
        <w:snapToGrid w:val="0"/>
        <w:ind w:firstLine="0"/>
        <w:rPr>
          <w:rFonts w:ascii="Arial" w:hAnsi="Arial" w:cs="Arial"/>
          <w:color w:val="000000"/>
          <w:sz w:val="22"/>
          <w:szCs w:val="22"/>
        </w:rPr>
      </w:pPr>
      <w:r>
        <w:rPr>
          <w:rFonts w:ascii="Arial" w:hAnsi="Arial" w:cs="Arial"/>
          <w:color w:val="000000"/>
          <w:sz w:val="22"/>
          <w:szCs w:val="22"/>
        </w:rPr>
        <w:lastRenderedPageBreak/>
        <w:t>Immune-regulated subtype asso</w:t>
      </w:r>
      <w:r w:rsidR="00303FAC">
        <w:rPr>
          <w:rFonts w:ascii="Arial" w:hAnsi="Arial" w:cs="Arial"/>
          <w:color w:val="000000"/>
          <w:sz w:val="22"/>
          <w:szCs w:val="22"/>
        </w:rPr>
        <w:t>ci</w:t>
      </w:r>
      <w:r>
        <w:rPr>
          <w:rFonts w:ascii="Arial" w:hAnsi="Arial" w:cs="Arial"/>
          <w:color w:val="000000"/>
          <w:sz w:val="22"/>
          <w:szCs w:val="22"/>
        </w:rPr>
        <w:t xml:space="preserve">ated with infiltration of polyclonal </w:t>
      </w:r>
      <w:r w:rsidR="00303FAC">
        <w:rPr>
          <w:rFonts w:ascii="Arial" w:hAnsi="Arial" w:cs="Arial"/>
          <w:color w:val="000000"/>
          <w:sz w:val="22"/>
          <w:szCs w:val="22"/>
        </w:rPr>
        <w:t>exhausted</w:t>
      </w:r>
      <w:r>
        <w:rPr>
          <w:rFonts w:ascii="Arial" w:hAnsi="Arial" w:cs="Arial"/>
          <w:color w:val="000000"/>
          <w:sz w:val="22"/>
          <w:szCs w:val="22"/>
        </w:rPr>
        <w:t xml:space="preserve"> T cells, Tregs, and dysfunctional DC associated with advanced histological features and </w:t>
      </w:r>
      <w:r w:rsidR="00303FAC">
        <w:rPr>
          <w:rFonts w:ascii="Arial" w:hAnsi="Arial" w:cs="Arial"/>
          <w:color w:val="000000"/>
          <w:sz w:val="22"/>
          <w:szCs w:val="22"/>
        </w:rPr>
        <w:t>increased</w:t>
      </w:r>
      <w:r>
        <w:rPr>
          <w:rFonts w:ascii="Arial" w:hAnsi="Arial" w:cs="Arial"/>
          <w:color w:val="000000"/>
          <w:sz w:val="22"/>
          <w:szCs w:val="22"/>
        </w:rPr>
        <w:t xml:space="preserve"> risk of disease progression </w:t>
      </w:r>
      <w:r>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Research","id":"ITEM-1","issued":{"date-parts":[["2017"]]},"title":"Tumor-infiltrating and peripheral blood T-cell immunophenotypes predict early relapse in localized clear cell renal cell carcinoma","type":"article-journal"},"uris":["http://www.mendeley.com/documents/?uuid=20c9d997-3de2-4bb5-8279-f69c2b319dba"]},{"id":"ITEM-2","itemData":{"DOI":"10.1186/s13059-016-1092-z","ISSN":"1474760X","PMID":"27855702","abstract":"Background: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(34,37)","plainTextFormattedCitation":"(34,37)","previouslyFormattedCitation":"(34,37)"},"properties":{"noteIndex":0},"schema":"https://github.com/citation-style-language/schema/raw/master/csl-citation.json"}</w:instrText>
      </w:r>
      <w:r>
        <w:rPr>
          <w:rFonts w:ascii="Arial" w:hAnsi="Arial" w:cs="Arial"/>
          <w:color w:val="000000"/>
          <w:sz w:val="22"/>
          <w:szCs w:val="22"/>
        </w:rPr>
        <w:fldChar w:fldCharType="separate"/>
      </w:r>
      <w:r w:rsidR="00665A8D" w:rsidRPr="00665A8D">
        <w:rPr>
          <w:rFonts w:ascii="Arial" w:hAnsi="Arial" w:cs="Arial"/>
          <w:noProof/>
          <w:color w:val="000000"/>
          <w:sz w:val="22"/>
          <w:szCs w:val="22"/>
        </w:rPr>
        <w:t>(34,37)</w:t>
      </w:r>
      <w:r>
        <w:rPr>
          <w:rFonts w:ascii="Arial" w:hAnsi="Arial" w:cs="Arial"/>
          <w:color w:val="000000"/>
          <w:sz w:val="22"/>
          <w:szCs w:val="22"/>
        </w:rPr>
        <w:fldChar w:fldCharType="end"/>
      </w:r>
      <w:r>
        <w:rPr>
          <w:rFonts w:ascii="Arial" w:hAnsi="Arial" w:cs="Arial"/>
          <w:color w:val="000000"/>
          <w:sz w:val="22"/>
          <w:szCs w:val="22"/>
        </w:rPr>
        <w:t>.</w:t>
      </w:r>
      <w:r w:rsidR="009E37AE">
        <w:rPr>
          <w:rFonts w:ascii="Arial" w:hAnsi="Arial" w:cs="Arial"/>
          <w:color w:val="000000"/>
          <w:sz w:val="22"/>
          <w:szCs w:val="22"/>
        </w:rPr>
        <w:t xml:space="preserve"> This same exhausted CD8+ T cell phenotype have been associated with increased dysfunctional DC </w:t>
      </w:r>
      <w:r w:rsidR="009E37AE">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Research","id":"ITEM-1","issued":{"date-parts":[["2015"]]},"title":"Orchestration and prognostic significance of immune checkpoints in the microenvironment of primary and metastatic renal cell cancer","type":"article-journal"},"uris":["http://www.mendeley.com/documents/?uuid=ec3302ef-5ce4-4969-9eec-dd95284e1655"]}],"mendeley":{"formattedCitation":"(6)","plainTextFormattedCitation":"(6)","previouslyFormattedCitation":"(6)"},"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(6)</w:t>
      </w:r>
      <w:r w:rsidR="009E37AE">
        <w:rPr>
          <w:rFonts w:ascii="Arial" w:hAnsi="Arial" w:cs="Arial"/>
          <w:color w:val="000000"/>
          <w:sz w:val="22"/>
          <w:szCs w:val="22"/>
        </w:rPr>
        <w:fldChar w:fldCharType="end"/>
      </w:r>
      <w:r w:rsidR="009E37AE">
        <w:rPr>
          <w:rFonts w:ascii="Arial" w:hAnsi="Arial" w:cs="Arial"/>
          <w:color w:val="000000"/>
          <w:sz w:val="22"/>
          <w:szCs w:val="22"/>
        </w:rPr>
        <w:t xml:space="preserve"> and macrophage populations </w:t>
      </w:r>
      <w:r w:rsidR="009E37AE">
        <w:rPr>
          <w:rFonts w:ascii="Arial" w:hAnsi="Arial" w:cs="Arial"/>
          <w:color w:val="000000"/>
          <w:sz w:val="22"/>
          <w:szCs w:val="22"/>
        </w:rPr>
        <w:fldChar w:fldCharType="begin" w:fldLock="1"/>
      </w:r>
      <w:r w:rsidR="009E37AE">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9E37AE">
        <w:rPr>
          <w:rFonts w:ascii="Arial" w:hAnsi="Arial" w:cs="Arial"/>
          <w:color w:val="000000"/>
          <w:sz w:val="22"/>
          <w:szCs w:val="22"/>
        </w:rPr>
        <w:fldChar w:fldCharType="separate"/>
      </w:r>
      <w:r w:rsidR="009E37AE" w:rsidRPr="009E37AE">
        <w:rPr>
          <w:rFonts w:ascii="Arial" w:hAnsi="Arial" w:cs="Arial"/>
          <w:noProof/>
          <w:color w:val="000000"/>
          <w:sz w:val="22"/>
          <w:szCs w:val="22"/>
        </w:rPr>
        <w:t>(17)</w:t>
      </w:r>
      <w:r w:rsidR="009E37AE">
        <w:rPr>
          <w:rFonts w:ascii="Arial" w:hAnsi="Arial" w:cs="Arial"/>
          <w:color w:val="000000"/>
          <w:sz w:val="22"/>
          <w:szCs w:val="22"/>
        </w:rPr>
        <w:fldChar w:fldCharType="end"/>
      </w:r>
      <w:r w:rsidR="009E37AE">
        <w:rPr>
          <w:rFonts w:ascii="Arial" w:hAnsi="Arial" w:cs="Arial"/>
          <w:color w:val="000000"/>
          <w:sz w:val="22"/>
          <w:szCs w:val="22"/>
        </w:rPr>
        <w:t xml:space="preserve">. </w:t>
      </w:r>
    </w:p>
    <w:p w14:paraId="7CF4E260" w14:textId="6F9DCD2D" w:rsidR="00352D3C" w:rsidRDefault="00352D3C" w:rsidP="00496F98">
      <w:pPr>
        <w:pStyle w:val="Paragraph"/>
        <w:snapToGrid w:val="0"/>
        <w:ind w:firstLine="0"/>
        <w:rPr>
          <w:rFonts w:ascii="Arial" w:hAnsi="Arial" w:cs="Arial"/>
          <w:color w:val="000000"/>
          <w:sz w:val="22"/>
          <w:szCs w:val="22"/>
        </w:rPr>
      </w:pPr>
    </w:p>
    <w:p w14:paraId="40B311E0" w14:textId="30C1A434" w:rsidR="00496F98" w:rsidRDefault="00496F98" w:rsidP="00496F98">
      <w:pPr>
        <w:pStyle w:val="Paragraph"/>
        <w:snapToGrid w:val="0"/>
        <w:ind w:firstLine="0"/>
        <w:rPr>
          <w:rFonts w:ascii="Arial" w:hAnsi="Arial" w:cs="Arial"/>
          <w:color w:val="000000"/>
          <w:sz w:val="22"/>
          <w:szCs w:val="22"/>
        </w:rPr>
      </w:pPr>
    </w:p>
    <w:p w14:paraId="2E9ADA94" w14:textId="132B3DF7"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 xml:space="preserve">Primary tumor stage for Patient 1 and Patient 2 </w:t>
      </w:r>
      <w:r w:rsidR="00CA4320" w:rsidRPr="00352D3C">
        <w:rPr>
          <w:rFonts w:ascii="Arial" w:hAnsi="Arial" w:cs="Arial"/>
          <w:color w:val="000000"/>
          <w:sz w:val="22"/>
          <w:szCs w:val="22"/>
          <w:highlight w:val="yellow"/>
        </w:rPr>
        <w:t>were reported as pT1b with</w:t>
      </w:r>
      <w:r w:rsidR="00614FAF" w:rsidRPr="00352D3C">
        <w:rPr>
          <w:rFonts w:ascii="Arial" w:hAnsi="Arial" w:cs="Arial"/>
          <w:color w:val="000000"/>
          <w:sz w:val="22"/>
          <w:szCs w:val="22"/>
          <w:highlight w:val="yellow"/>
        </w:rPr>
        <w:t>out extension, while Patient 3 was reported</w:t>
      </w:r>
      <w:r w:rsidR="00614FAF">
        <w:rPr>
          <w:rFonts w:ascii="Arial" w:hAnsi="Arial" w:cs="Arial"/>
          <w:color w:val="000000"/>
          <w:sz w:val="22"/>
          <w:szCs w:val="22"/>
        </w:rPr>
        <w:t xml:space="preserve">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3BF093E5"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665A8D">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(38)","plainTextFormattedCitation":"(38)","previouslyFormattedCitation":"(38)"},"properties":{"noteIndex":0},"schema":"https://github.com/citation-style-language/schema/raw/master/csl-citation.json"}</w:instrText>
      </w:r>
      <w:r w:rsidR="003245D3">
        <w:rPr>
          <w:rFonts w:ascii="Arial" w:hAnsi="Arial" w:cs="Arial"/>
          <w:color w:val="000000"/>
          <w:sz w:val="22"/>
          <w:szCs w:val="22"/>
        </w:rPr>
        <w:fldChar w:fldCharType="separate"/>
      </w:r>
      <w:r w:rsidR="00665A8D" w:rsidRPr="00665A8D">
        <w:rPr>
          <w:rFonts w:ascii="Arial" w:hAnsi="Arial" w:cs="Arial"/>
          <w:noProof/>
          <w:color w:val="000000"/>
          <w:sz w:val="22"/>
          <w:szCs w:val="22"/>
        </w:rPr>
        <w:t>(38)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 xml:space="preserve">cells for 20 min at </w:t>
      </w:r>
      <w:r w:rsidRPr="00761DC0">
        <w:rPr>
          <w:rFonts w:ascii="Arial" w:hAnsi="Arial" w:cs="Arial"/>
          <w:color w:val="000000"/>
          <w:sz w:val="22"/>
          <w:szCs w:val="22"/>
        </w:rPr>
        <w:lastRenderedPageBreak/>
        <w:t>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w:t>
      </w:r>
      <w:r w:rsidRPr="00761DC0">
        <w:rPr>
          <w:rFonts w:ascii="Arial" w:hAnsi="Arial" w:cs="Arial"/>
          <w:color w:val="000000"/>
          <w:sz w:val="22"/>
          <w:szCs w:val="22"/>
        </w:rPr>
        <w:lastRenderedPageBreak/>
        <w:t>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3EE22DB9"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665A8D">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(39)","plainTextFormattedCitation":"(39)","previouslyFormattedCitation":"(39)"},"properties":{"noteIndex":0},"schema":"https://github.com/citation-style-language/schema/raw/master/csl-citation.json"}</w:instrText>
      </w:r>
      <w:r w:rsidRPr="004F1798">
        <w:rPr>
          <w:rFonts w:ascii="Arial" w:hAnsi="Arial" w:cs="Arial"/>
          <w:color w:val="000000" w:themeColor="text1"/>
          <w:sz w:val="22"/>
          <w:szCs w:val="22"/>
        </w:rPr>
        <w:fldChar w:fldCharType="separate"/>
      </w:r>
      <w:r w:rsidR="00665A8D" w:rsidRPr="00665A8D">
        <w:rPr>
          <w:rFonts w:ascii="Arial" w:hAnsi="Arial" w:cs="Arial"/>
          <w:noProof/>
          <w:color w:val="000000" w:themeColor="text1"/>
          <w:sz w:val="22"/>
          <w:szCs w:val="22"/>
        </w:rPr>
        <w:t>(39)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5A508B88"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(40,41)","plainTextFormattedCitation":"(40,41)","previouslyFormattedCitation":"(40,41)"},"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(40,41)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(42)","plainTextFormattedCitation":"(42)","previouslyFormattedCitation":"(42)"},"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lastRenderedPageBreak/>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3DB4569"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(43)","plainTextFormattedCitation":"(43)","previouslyFormattedCitation":"(43)"},"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159CA39E"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665A8D">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(44)","plainTextFormattedCitation":"(44)","previouslyFormattedCitation":"(44)"},"properties":{"noteIndex":0},"schema":"https://github.com/citation-style-language/schema/raw/master/csl-citation.json"}</w:instrText>
      </w:r>
      <w:r>
        <w:rPr>
          <w:rFonts w:ascii="Arial" w:hAnsi="Arial" w:cs="Arial"/>
          <w:sz w:val="22"/>
          <w:szCs w:val="22"/>
        </w:rPr>
        <w:fldChar w:fldCharType="separate"/>
      </w:r>
      <w:r w:rsidR="00665A8D" w:rsidRPr="00665A8D">
        <w:rPr>
          <w:rFonts w:ascii="Arial" w:hAnsi="Arial" w:cs="Arial"/>
          <w:noProof/>
          <w:sz w:val="22"/>
          <w:szCs w:val="22"/>
        </w:rPr>
        <w:t>(44)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673B61">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00C42E13" w:rsidRPr="00C42E13">
        <w:rPr>
          <w:rFonts w:ascii="Arial" w:hAnsi="Arial" w:cs="Arial"/>
          <w:noProof/>
          <w:sz w:val="22"/>
          <w:szCs w:val="22"/>
        </w:rPr>
        <w:t>(29)</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w:t>
      </w:r>
      <w:r w:rsidR="007A2B8C">
        <w:rPr>
          <w:rFonts w:ascii="Arial" w:hAnsi="Arial" w:cs="Arial"/>
          <w:sz w:val="22"/>
          <w:szCs w:val="22"/>
        </w:rPr>
        <w:lastRenderedPageBreak/>
        <w:t xml:space="preserve">Molecular Signature Database and from previous publications </w:t>
      </w:r>
      <w:r w:rsidR="007A2B8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(21,24)","plainTextFormattedCitation":"(21,24)","previouslyFormattedCitation":"(21,24)"},"properties":{"noteIndex":0},"schema":"https://github.com/citation-style-language/schema/raw/master/csl-citation.json"}</w:instrText>
      </w:r>
      <w:r w:rsidR="007A2B8C">
        <w:rPr>
          <w:rFonts w:ascii="Arial" w:hAnsi="Arial" w:cs="Arial"/>
          <w:sz w:val="22"/>
          <w:szCs w:val="22"/>
        </w:rPr>
        <w:fldChar w:fldCharType="separate"/>
      </w:r>
      <w:r w:rsidR="00C42E13" w:rsidRPr="00C42E13">
        <w:rPr>
          <w:rFonts w:ascii="Arial" w:hAnsi="Arial" w:cs="Arial"/>
          <w:noProof/>
          <w:sz w:val="22"/>
          <w:szCs w:val="22"/>
        </w:rPr>
        <w:t>(21,24)</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673B61">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250FBC">
        <w:rPr>
          <w:rFonts w:ascii="Arial" w:hAnsi="Arial" w:cs="Arial"/>
          <w:sz w:val="22"/>
          <w:szCs w:val="22"/>
        </w:rPr>
        <w:fldChar w:fldCharType="separate"/>
      </w:r>
      <w:r w:rsidR="00C42E13" w:rsidRPr="00C42E13">
        <w:rPr>
          <w:rFonts w:ascii="Arial" w:hAnsi="Arial" w:cs="Arial"/>
          <w:noProof/>
          <w:sz w:val="22"/>
          <w:szCs w:val="22"/>
        </w:rPr>
        <w:t>(21)</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665A8D">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(45)","plainTextFormattedCitation":"(45)","previouslyFormattedCitation":"(45)"},"properties":{"noteIndex":0},"schema":"https://github.com/citation-style-language/schema/raw/master/csl-citation.json"}</w:instrText>
      </w:r>
      <w:r w:rsidR="003245D3">
        <w:rPr>
          <w:rFonts w:ascii="Arial" w:hAnsi="Arial" w:cs="Arial"/>
          <w:sz w:val="22"/>
          <w:szCs w:val="22"/>
        </w:rPr>
        <w:fldChar w:fldCharType="separate"/>
      </w:r>
      <w:r w:rsidR="00665A8D" w:rsidRPr="00665A8D">
        <w:rPr>
          <w:rFonts w:ascii="Arial" w:hAnsi="Arial" w:cs="Arial"/>
          <w:noProof/>
          <w:sz w:val="22"/>
          <w:szCs w:val="22"/>
        </w:rPr>
        <w:t>(45)</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70740F">
        <w:rPr>
          <w:rFonts w:ascii="Arial" w:hAnsi="Arial" w:cs="Arial"/>
          <w:sz w:val="22"/>
          <w:szCs w:val="22"/>
        </w:rPr>
        <w:fldChar w:fldCharType="separate"/>
      </w:r>
      <w:r w:rsidR="00C42E13" w:rsidRPr="00C42E13">
        <w:rPr>
          <w:rFonts w:ascii="Arial" w:hAnsi="Arial" w:cs="Arial"/>
          <w:noProof/>
          <w:sz w:val="22"/>
          <w:szCs w:val="22"/>
        </w:rPr>
        <w:t>(33)</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lastRenderedPageBreak/>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lastRenderedPageBreak/>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43C79395" w14:textId="0C68B47D" w:rsidR="00302E3B" w:rsidRPr="00302E3B" w:rsidRDefault="002E4EFB" w:rsidP="00302E3B">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302E3B" w:rsidRPr="00302E3B">
        <w:rPr>
          <w:rFonts w:ascii="Arial" w:hAnsi="Arial" w:cs="Arial"/>
          <w:noProof/>
          <w:sz w:val="22"/>
        </w:rPr>
        <w:t xml:space="preserve">1. </w:t>
      </w:r>
      <w:r w:rsidR="00302E3B" w:rsidRPr="00302E3B">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5A75A18E"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 </w:t>
      </w:r>
      <w:r w:rsidRPr="00302E3B">
        <w:rPr>
          <w:rFonts w:ascii="Arial" w:hAnsi="Arial" w:cs="Arial"/>
          <w:noProof/>
          <w:sz w:val="22"/>
        </w:rPr>
        <w:tab/>
        <w:t xml:space="preserve">Koneru R, Hotte SJ. Role of cytokine therapy for renal cell carcinoma in the era of targeted agents. Curr Oncol. Multimed Inc.; 2009;16:S40. </w:t>
      </w:r>
    </w:p>
    <w:p w14:paraId="6DC3AA09"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 </w:t>
      </w:r>
      <w:r w:rsidRPr="00302E3B">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065F193A"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 </w:t>
      </w:r>
      <w:r w:rsidRPr="00302E3B">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w:t>
      </w:r>
      <w:r w:rsidRPr="00302E3B">
        <w:rPr>
          <w:rFonts w:ascii="Arial" w:hAnsi="Arial" w:cs="Arial"/>
          <w:noProof/>
          <w:sz w:val="22"/>
        </w:rPr>
        <w:lastRenderedPageBreak/>
        <w:t xml:space="preserve">Consortium (IMDC). J Clin Oncol. American Society of Clinical Oncology; 2019;37:584–584. </w:t>
      </w:r>
    </w:p>
    <w:p w14:paraId="0957869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5. </w:t>
      </w:r>
      <w:r w:rsidRPr="00302E3B">
        <w:rPr>
          <w:rFonts w:ascii="Arial" w:hAnsi="Arial" w:cs="Arial"/>
          <w:noProof/>
          <w:sz w:val="22"/>
        </w:rPr>
        <w:tab/>
        <w:t xml:space="preserve">Sharma P, Allison JP. Immune checkpoint targeting in cancer therapy: Toward combination strategies with curative potential. Cell. 2015. </w:t>
      </w:r>
    </w:p>
    <w:p w14:paraId="7DD2EB0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6. </w:t>
      </w:r>
      <w:r w:rsidRPr="00302E3B">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1F8F50C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7. </w:t>
      </w:r>
      <w:r w:rsidRPr="00302E3B">
        <w:rPr>
          <w:rFonts w:ascii="Arial" w:hAnsi="Arial" w:cs="Arial"/>
          <w:noProof/>
          <w:sz w:val="22"/>
        </w:rPr>
        <w:tab/>
        <w:t xml:space="preserve">Tumeh PC, Harview CL, Yearley JH, Shintaku IP, Taylor EJM, Robert L, et al. PD-1 blockade induces responses by inhibiting adaptive immune resistance. Nature. 2014; </w:t>
      </w:r>
    </w:p>
    <w:p w14:paraId="581A7EB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8. </w:t>
      </w:r>
      <w:r w:rsidRPr="00302E3B">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0B7B2013"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9. </w:t>
      </w:r>
      <w:r w:rsidRPr="00302E3B">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0D8A2F3B"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10. </w:t>
      </w:r>
      <w:r w:rsidRPr="00302E3B">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09429200"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11. </w:t>
      </w:r>
      <w:r w:rsidRPr="00302E3B">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59E7B9E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12. </w:t>
      </w:r>
      <w:r w:rsidRPr="00302E3B">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29D2C934"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13. </w:t>
      </w:r>
      <w:r w:rsidRPr="00302E3B">
        <w:rPr>
          <w:rFonts w:ascii="Arial" w:hAnsi="Arial" w:cs="Arial"/>
          <w:noProof/>
          <w:sz w:val="22"/>
        </w:rPr>
        <w:tab/>
        <w:t xml:space="preserve">Baine MK, Turcu G, Zito CR, Adeniran AJ, Camp RL, Chen L, et al. Characterization of tumor infiltrating lymphocytes in paired primary and metastatic renal cell carcinoma </w:t>
      </w:r>
      <w:r w:rsidRPr="00302E3B">
        <w:rPr>
          <w:rFonts w:ascii="Arial" w:hAnsi="Arial" w:cs="Arial"/>
          <w:noProof/>
          <w:sz w:val="22"/>
        </w:rPr>
        <w:lastRenderedPageBreak/>
        <w:t xml:space="preserve">specimens. Oncotarget. 2015; </w:t>
      </w:r>
    </w:p>
    <w:p w14:paraId="167D88EA"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14. </w:t>
      </w:r>
      <w:r w:rsidRPr="00302E3B">
        <w:rPr>
          <w:rFonts w:ascii="Arial" w:hAnsi="Arial" w:cs="Arial"/>
          <w:noProof/>
          <w:sz w:val="22"/>
        </w:rPr>
        <w:tab/>
        <w:t xml:space="preserve">Braun DA, Hou Y, Bakouny Z, Ficial M, Sant’ Angelo M, Forman J, et al. Interplay of somatic alterations and immune infiltration modulates response to PD-1 blockade in advanced clear cell renal cell carcinoma. Nat Med. 2020; </w:t>
      </w:r>
    </w:p>
    <w:p w14:paraId="68FA353F"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15. </w:t>
      </w:r>
      <w:r w:rsidRPr="00302E3B">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61D9B39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16. </w:t>
      </w:r>
      <w:r w:rsidRPr="00302E3B">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77CB6B70"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17. </w:t>
      </w:r>
      <w:r w:rsidRPr="00302E3B">
        <w:rPr>
          <w:rFonts w:ascii="Arial" w:hAnsi="Arial" w:cs="Arial"/>
          <w:noProof/>
          <w:sz w:val="22"/>
        </w:rPr>
        <w:tab/>
        <w:t xml:space="preserve">Chevrier S, Levine JH, Zanotelli VRT, Silina K, Schulz D, Bacac M, et al. An Immune Atlas of Clear Cell Renal Cell Carcinoma. Cell. 2017; </w:t>
      </w:r>
    </w:p>
    <w:p w14:paraId="51E5A1BF"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18. </w:t>
      </w:r>
      <w:r w:rsidRPr="00302E3B">
        <w:rPr>
          <w:rFonts w:ascii="Arial" w:hAnsi="Arial" w:cs="Arial"/>
          <w:noProof/>
          <w:sz w:val="22"/>
        </w:rPr>
        <w:tab/>
        <w:t xml:space="preserve">Creighton CJ, Morgan M, Gunaratne PH, Wheeler DA, Gibbs RA, Robertson G, et al. Comprehensivemolecular characterization of clear cell renal cell carcinoma. Nature. 2013; </w:t>
      </w:r>
    </w:p>
    <w:p w14:paraId="717AF22D"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19. </w:t>
      </w:r>
      <w:r w:rsidRPr="00302E3B">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14A9A7BB"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20. </w:t>
      </w:r>
      <w:r w:rsidRPr="00302E3B">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4B945C5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21. </w:t>
      </w:r>
      <w:r w:rsidRPr="00302E3B">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15A66FC9"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22. </w:t>
      </w:r>
      <w:r w:rsidRPr="00302E3B">
        <w:rPr>
          <w:rFonts w:ascii="Arial" w:hAnsi="Arial" w:cs="Arial"/>
          <w:noProof/>
          <w:sz w:val="22"/>
        </w:rPr>
        <w:tab/>
        <w:t xml:space="preserve">Geissler K, Fornara P, Lautenschläger C, Holzhausen HJ, Seliger B, Riemann D. </w:t>
      </w:r>
      <w:r w:rsidRPr="00302E3B">
        <w:rPr>
          <w:rFonts w:ascii="Arial" w:hAnsi="Arial" w:cs="Arial"/>
          <w:noProof/>
          <w:sz w:val="22"/>
        </w:rPr>
        <w:lastRenderedPageBreak/>
        <w:t xml:space="preserve">Immune signature of tumor infiltrating immune cells in renal cancer. Oncoimmunology. 2015; </w:t>
      </w:r>
    </w:p>
    <w:p w14:paraId="2D1B3C20"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23. </w:t>
      </w:r>
      <w:r w:rsidRPr="00302E3B">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08DE63C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24. </w:t>
      </w:r>
      <w:r w:rsidRPr="00302E3B">
        <w:rPr>
          <w:rFonts w:ascii="Arial" w:hAnsi="Arial" w:cs="Arial"/>
          <w:noProof/>
          <w:sz w:val="22"/>
        </w:rPr>
        <w:tab/>
        <w:t xml:space="preserve">Azizi E, Carr AJ, Plitas G, Cornish AE, Konopacki C, Prabhakaran S, et al. Single-Cell Map of Diverse Immune Phenotypes in the Breast Tumor Microenvironment. Cell. 2018; </w:t>
      </w:r>
    </w:p>
    <w:p w14:paraId="56A5AB9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25. </w:t>
      </w:r>
      <w:r w:rsidRPr="00302E3B">
        <w:rPr>
          <w:rFonts w:ascii="Arial" w:hAnsi="Arial" w:cs="Arial"/>
          <w:noProof/>
          <w:sz w:val="22"/>
        </w:rPr>
        <w:tab/>
        <w:t xml:space="preserve">Guo X, Zhang Y, Zheng L, Zheng C, Song J, Zhang Q, et al. Global characterization of T cells in non-small-cell lung cancer by single-cell sequencing. Nat Med. 2018; </w:t>
      </w:r>
    </w:p>
    <w:p w14:paraId="2CB3CC51"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26. </w:t>
      </w:r>
      <w:r w:rsidRPr="00302E3B">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08B215D2"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27. </w:t>
      </w:r>
      <w:r w:rsidRPr="00302E3B">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32FBDD53"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28. </w:t>
      </w:r>
      <w:r w:rsidRPr="00302E3B">
        <w:rPr>
          <w:rFonts w:ascii="Arial" w:hAnsi="Arial" w:cs="Arial"/>
          <w:noProof/>
          <w:sz w:val="22"/>
        </w:rPr>
        <w:tab/>
        <w:t xml:space="preserve">Zheng C, Zheng L, Yoo JK, Guo H, Zhang Y, Guo X, et al. Landscape of Infiltrating T Cells in Liver Cancer Revealed by Single-Cell Sequencing. Cell. 2017; </w:t>
      </w:r>
    </w:p>
    <w:p w14:paraId="0366904C"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29. </w:t>
      </w:r>
      <w:r w:rsidRPr="00302E3B">
        <w:rPr>
          <w:rFonts w:ascii="Arial" w:hAnsi="Arial" w:cs="Arial"/>
          <w:noProof/>
          <w:sz w:val="22"/>
        </w:rPr>
        <w:tab/>
        <w:t xml:space="preserve">Dunham I, Kundaje A, Aldred SF, Collins PJ, Davis CA, Doyle F, et al. An integrated encyclopedia of DNA elements in the human genome. Nature. 2012; </w:t>
      </w:r>
    </w:p>
    <w:p w14:paraId="10BA709B"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30. </w:t>
      </w:r>
      <w:r w:rsidRPr="00302E3B">
        <w:rPr>
          <w:rFonts w:ascii="Arial" w:hAnsi="Arial" w:cs="Arial"/>
          <w:noProof/>
          <w:sz w:val="22"/>
        </w:rPr>
        <w:tab/>
        <w:t xml:space="preserve">Apetoh L, Smyth MJ, Drake CG, Abastado JP, Apte RN, Ayyoub M, et al. Consensus nomenclature for CD8+ T cell phenotypes in cancer. Oncoimmunology. 2015; </w:t>
      </w:r>
    </w:p>
    <w:p w14:paraId="5B7E983D"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31. </w:t>
      </w:r>
      <w:r w:rsidRPr="00302E3B">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22A34343"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32. </w:t>
      </w:r>
      <w:r w:rsidRPr="00302E3B">
        <w:rPr>
          <w:rFonts w:ascii="Arial" w:hAnsi="Arial" w:cs="Arial"/>
          <w:noProof/>
          <w:sz w:val="22"/>
        </w:rPr>
        <w:tab/>
        <w:t>Luecken MD, Theis FJ. Current best practices in single</w:t>
      </w:r>
      <w:r w:rsidRPr="00302E3B">
        <w:rPr>
          <w:rFonts w:ascii="Cambria Math" w:hAnsi="Cambria Math" w:cs="Cambria Math"/>
          <w:noProof/>
          <w:sz w:val="22"/>
        </w:rPr>
        <w:t>‐</w:t>
      </w:r>
      <w:r w:rsidRPr="00302E3B">
        <w:rPr>
          <w:rFonts w:ascii="Arial" w:hAnsi="Arial" w:cs="Arial"/>
          <w:noProof/>
          <w:sz w:val="22"/>
        </w:rPr>
        <w:t>cell RNA</w:t>
      </w:r>
      <w:r w:rsidRPr="00302E3B">
        <w:rPr>
          <w:rFonts w:ascii="Cambria Math" w:hAnsi="Cambria Math" w:cs="Cambria Math"/>
          <w:noProof/>
          <w:sz w:val="22"/>
        </w:rPr>
        <w:t>‐</w:t>
      </w:r>
      <w:r w:rsidRPr="00302E3B">
        <w:rPr>
          <w:rFonts w:ascii="Arial" w:hAnsi="Arial" w:cs="Arial"/>
          <w:noProof/>
          <w:sz w:val="22"/>
        </w:rPr>
        <w:t xml:space="preserve">seq analysis: a tutorial. Mol Syst Biol. 2019; </w:t>
      </w:r>
    </w:p>
    <w:p w14:paraId="6C5838C7"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lastRenderedPageBreak/>
        <w:t xml:space="preserve">33. </w:t>
      </w:r>
      <w:r w:rsidRPr="00302E3B">
        <w:rPr>
          <w:rFonts w:ascii="Arial" w:hAnsi="Arial" w:cs="Arial"/>
          <w:noProof/>
          <w:sz w:val="22"/>
        </w:rPr>
        <w:tab/>
        <w:t xml:space="preserve">Street K, Risso D, Fletcher RB, Das D, Ngai J, Yosef N, et al. Slingshot: Cell lineage and pseudotime inference for single-cell transcriptomics. BMC Genomics. 2018; </w:t>
      </w:r>
    </w:p>
    <w:p w14:paraId="0F87298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34. </w:t>
      </w:r>
      <w:r w:rsidRPr="00302E3B">
        <w:rPr>
          <w:rFonts w:ascii="Arial" w:hAnsi="Arial" w:cs="Arial"/>
          <w:noProof/>
          <w:sz w:val="22"/>
        </w:rPr>
        <w:tab/>
        <w:t xml:space="preserve">Şenbabaoğlu Y, Gejman RS, Winer AG, Liu M, Van Allen EM, de Velasco G, et al. Tumor immune microenvironment characterization in clear cell renal cell carcinoma identifies prognostic and immunotherapeutically relevant messenger RNA signatures. Genome Biol. 2016; </w:t>
      </w:r>
    </w:p>
    <w:p w14:paraId="4F50BDA4"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35. </w:t>
      </w:r>
      <w:r w:rsidRPr="00302E3B">
        <w:rPr>
          <w:rFonts w:ascii="Arial" w:hAnsi="Arial" w:cs="Arial"/>
          <w:noProof/>
          <w:sz w:val="22"/>
        </w:rPr>
        <w:tab/>
        <w:t xml:space="preserve">Miao D, Margolis CA, Gao W, Voss MH, Li W, Martini DJ, et al. Genomic correlates of response to immune checkpoint therapies in clear cell renal cell carcinoma. Science (80- ). 2018; </w:t>
      </w:r>
    </w:p>
    <w:p w14:paraId="67880CC0"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36. </w:t>
      </w:r>
      <w:r w:rsidRPr="00302E3B">
        <w:rPr>
          <w:rFonts w:ascii="Arial" w:hAnsi="Arial" w:cs="Arial"/>
          <w:noProof/>
          <w:sz w:val="22"/>
        </w:rPr>
        <w:tab/>
        <w:t xml:space="preserve">Chowell D, Morris LGT, Grigg CM, Weber JK, Samstein RM, Makarov V, et al. Patient HLA class I genotype influences cancer response to checkpoint blockade immunotherapy. Science (80- ). 2018; </w:t>
      </w:r>
    </w:p>
    <w:p w14:paraId="695E0939"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37. </w:t>
      </w:r>
      <w:r w:rsidRPr="00302E3B">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 </w:t>
      </w:r>
    </w:p>
    <w:p w14:paraId="5794C9FD"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38. </w:t>
      </w:r>
      <w:r w:rsidRPr="00302E3B">
        <w:rPr>
          <w:rFonts w:ascii="Arial" w:hAnsi="Arial" w:cs="Arial"/>
          <w:noProof/>
          <w:sz w:val="22"/>
        </w:rPr>
        <w:tab/>
        <w:t xml:space="preserve">Baldan V, Griffiths R, Hawkins RE, Gilham DE. Efficient and reproducible generation of tumour-infiltrating lymphocytes for renal cell carcinoma. Br J Cancer. 2015; </w:t>
      </w:r>
    </w:p>
    <w:p w14:paraId="0215D98A"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39. </w:t>
      </w:r>
      <w:r w:rsidRPr="00302E3B">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1B472275"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40. </w:t>
      </w:r>
      <w:r w:rsidRPr="00302E3B">
        <w:rPr>
          <w:rFonts w:ascii="Arial" w:hAnsi="Arial" w:cs="Arial"/>
          <w:noProof/>
          <w:sz w:val="22"/>
        </w:rPr>
        <w:tab/>
        <w:t xml:space="preserve">Stuart T, Butler A, Hoffman P, Hafemeister C, Papalexi E, Mauck WM, et al. Comprehensive Integration of Single-Cell Data. Cell. 2019; </w:t>
      </w:r>
    </w:p>
    <w:p w14:paraId="13019323"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41. </w:t>
      </w:r>
      <w:r w:rsidRPr="00302E3B">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3E766BC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42. </w:t>
      </w:r>
      <w:r w:rsidRPr="00302E3B">
        <w:rPr>
          <w:rFonts w:ascii="Arial" w:hAnsi="Arial" w:cs="Arial"/>
          <w:noProof/>
          <w:sz w:val="22"/>
        </w:rPr>
        <w:tab/>
        <w:t xml:space="preserve">Hafemeister C, Satija R. Normalization and variance stabilization of single-cell RNA-seq </w:t>
      </w:r>
      <w:r w:rsidRPr="00302E3B">
        <w:rPr>
          <w:rFonts w:ascii="Arial" w:hAnsi="Arial" w:cs="Arial"/>
          <w:noProof/>
          <w:sz w:val="22"/>
        </w:rPr>
        <w:lastRenderedPageBreak/>
        <w:t xml:space="preserve">data using regularized negative binomial regression. Genome Biol. 2019; </w:t>
      </w:r>
    </w:p>
    <w:p w14:paraId="60115E66"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43. </w:t>
      </w:r>
      <w:r w:rsidRPr="00302E3B">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155F563C"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44. </w:t>
      </w:r>
      <w:r w:rsidRPr="00302E3B">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057BF3D9" w14:textId="77777777" w:rsidR="00302E3B" w:rsidRPr="00302E3B" w:rsidRDefault="00302E3B" w:rsidP="00302E3B">
      <w:pPr>
        <w:widowControl w:val="0"/>
        <w:autoSpaceDE w:val="0"/>
        <w:autoSpaceDN w:val="0"/>
        <w:adjustRightInd w:val="0"/>
        <w:spacing w:line="480" w:lineRule="auto"/>
        <w:ind w:left="640" w:hanging="640"/>
        <w:rPr>
          <w:rFonts w:ascii="Arial" w:hAnsi="Arial" w:cs="Arial"/>
          <w:noProof/>
          <w:sz w:val="22"/>
        </w:rPr>
      </w:pPr>
      <w:r w:rsidRPr="00302E3B">
        <w:rPr>
          <w:rFonts w:ascii="Arial" w:hAnsi="Arial" w:cs="Arial"/>
          <w:noProof/>
          <w:sz w:val="22"/>
        </w:rPr>
        <w:t xml:space="preserve">45. </w:t>
      </w:r>
      <w:r w:rsidRPr="00302E3B">
        <w:rPr>
          <w:rFonts w:ascii="Arial" w:hAnsi="Arial" w:cs="Arial"/>
          <w:noProof/>
          <w:sz w:val="22"/>
        </w:rPr>
        <w:tab/>
        <w:t xml:space="preserve">Borcherding N, Bormann NL. scRepertoire: An R-based toolkit for single-cell immune receptor analysis. F1000Research. 2020; </w:t>
      </w:r>
    </w:p>
    <w:p w14:paraId="25CAF47A" w14:textId="7F467A36" w:rsidR="002E4EFB" w:rsidRPr="002E4EFB" w:rsidRDefault="002E4EFB" w:rsidP="00302E3B">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68A16865" w14:textId="1C3ADD18" w:rsidR="001D7F41" w:rsidRDefault="001D7F41" w:rsidP="00276C2F">
      <w:pPr>
        <w:spacing w:line="480" w:lineRule="auto"/>
        <w:rPr>
          <w:rFonts w:ascii="Arial" w:hAnsi="Arial" w:cs="Arial"/>
          <w:sz w:val="22"/>
          <w:szCs w:val="22"/>
        </w:rPr>
      </w:pPr>
    </w:p>
    <w:p w14:paraId="6BFBF397" w14:textId="017A12D1" w:rsidR="00BF0F9E" w:rsidRPr="00DD271C" w:rsidRDefault="0030339B"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DD271C">
        <w:rPr>
          <w:rFonts w:ascii="Arial" w:hAnsi="Arial" w:cs="Arial"/>
          <w:b/>
          <w:bCs/>
          <w:sz w:val="22"/>
          <w:szCs w:val="22"/>
        </w:rPr>
        <w:t>Figure 2: CD8</w:t>
      </w:r>
      <w:r w:rsidR="00AF201D">
        <w:rPr>
          <w:rFonts w:ascii="Arial" w:hAnsi="Arial" w:cs="Arial"/>
          <w:b/>
          <w:bCs/>
          <w:sz w:val="22"/>
          <w:szCs w:val="22"/>
          <w:vertAlign w:val="superscript"/>
        </w:rPr>
        <w:t>+</w:t>
      </w:r>
      <w:r w:rsidR="00BF0F9E" w:rsidRPr="00DD271C">
        <w:rPr>
          <w:rFonts w:ascii="Arial" w:hAnsi="Arial" w:cs="Arial"/>
          <w:b/>
          <w:bCs/>
          <w:sz w:val="22"/>
          <w:szCs w:val="22"/>
        </w:rPr>
        <w:t xml:space="preserve"> T cells in ccRCC tumors exhibit a transcriptional continuum with distinct populations. A. </w:t>
      </w:r>
      <w:r w:rsidR="00BF0F9E" w:rsidRPr="00DD271C">
        <w:rPr>
          <w:rFonts w:ascii="Arial" w:hAnsi="Arial" w:cs="Arial"/>
          <w:sz w:val="22"/>
          <w:szCs w:val="22"/>
        </w:rPr>
        <w:t xml:space="preserve">UMAP </w:t>
      </w:r>
      <w:proofErr w:type="spellStart"/>
      <w:r w:rsidR="00BF0F9E" w:rsidRPr="00DD271C">
        <w:rPr>
          <w:rFonts w:ascii="Arial" w:hAnsi="Arial" w:cs="Arial"/>
          <w:sz w:val="22"/>
          <w:szCs w:val="22"/>
        </w:rPr>
        <w:t>subclustering</w:t>
      </w:r>
      <w:proofErr w:type="spellEnd"/>
      <w:r w:rsidR="00BF0F9E" w:rsidRPr="00DD271C">
        <w:rPr>
          <w:rFonts w:ascii="Arial" w:hAnsi="Arial" w:cs="Arial"/>
          <w:sz w:val="22"/>
          <w:szCs w:val="22"/>
        </w:rPr>
        <w:t xml:space="preserve"> of CD</w:t>
      </w:r>
      <w:r w:rsidR="007A2B8C" w:rsidRPr="00DD271C">
        <w:rPr>
          <w:rFonts w:ascii="Arial" w:hAnsi="Arial" w:cs="Arial"/>
          <w:sz w:val="22"/>
          <w:szCs w:val="22"/>
        </w:rPr>
        <w:t>8</w:t>
      </w:r>
      <w:r w:rsidR="00BF0F9E" w:rsidRPr="00DD271C">
        <w:rPr>
          <w:rFonts w:ascii="Arial" w:hAnsi="Arial" w:cs="Arial"/>
          <w:sz w:val="22"/>
          <w:szCs w:val="22"/>
          <w:vertAlign w:val="superscript"/>
        </w:rPr>
        <w:t>+</w:t>
      </w:r>
      <w:r w:rsidR="00BF0F9E" w:rsidRPr="00DD271C">
        <w:rPr>
          <w:rFonts w:ascii="Arial" w:hAnsi="Arial" w:cs="Arial"/>
          <w:sz w:val="22"/>
          <w:szCs w:val="22"/>
        </w:rPr>
        <w:t xml:space="preserve"> T cells (original clusters 1, 8</w:t>
      </w:r>
      <w:r w:rsidR="00DD271C">
        <w:rPr>
          <w:rFonts w:ascii="Arial" w:hAnsi="Arial" w:cs="Arial"/>
          <w:sz w:val="22"/>
          <w:szCs w:val="22"/>
        </w:rPr>
        <w:t xml:space="preserve">, </w:t>
      </w:r>
      <w:r w:rsidR="00BF0F9E" w:rsidRPr="00DD271C">
        <w:rPr>
          <w:rFonts w:ascii="Arial" w:hAnsi="Arial" w:cs="Arial"/>
          <w:sz w:val="22"/>
          <w:szCs w:val="22"/>
        </w:rPr>
        <w:t>9</w:t>
      </w:r>
      <w:r w:rsidR="00DD271C">
        <w:rPr>
          <w:rFonts w:ascii="Arial" w:hAnsi="Arial" w:cs="Arial"/>
          <w:sz w:val="22"/>
          <w:szCs w:val="22"/>
        </w:rPr>
        <w:t>, and 17</w:t>
      </w:r>
      <w:r w:rsidR="00BF0F9E" w:rsidRPr="00DD271C">
        <w:rPr>
          <w:rFonts w:ascii="Arial" w:hAnsi="Arial" w:cs="Arial"/>
          <w:sz w:val="22"/>
          <w:szCs w:val="22"/>
        </w:rPr>
        <w:t xml:space="preserve">). </w:t>
      </w:r>
      <w:r w:rsidR="00BF0F9E" w:rsidRPr="00DD271C">
        <w:rPr>
          <w:rFonts w:ascii="Arial" w:hAnsi="Arial" w:cs="Arial"/>
          <w:b/>
          <w:bCs/>
          <w:sz w:val="22"/>
          <w:szCs w:val="22"/>
        </w:rPr>
        <w:t>B</w:t>
      </w:r>
      <w:r w:rsidR="00BF0F9E" w:rsidRPr="00DD271C">
        <w:rPr>
          <w:rFonts w:ascii="Arial" w:hAnsi="Arial" w:cs="Arial"/>
          <w:sz w:val="22"/>
          <w:szCs w:val="22"/>
        </w:rPr>
        <w:t xml:space="preserve">. UMAP distribution of single cells by tissue type with relative percent of cells by tissue in each cluster. </w:t>
      </w:r>
      <w:r w:rsidR="00BF0F9E" w:rsidRPr="00DD271C">
        <w:rPr>
          <w:rFonts w:ascii="Arial" w:hAnsi="Arial" w:cs="Arial"/>
          <w:b/>
          <w:bCs/>
          <w:sz w:val="22"/>
          <w:szCs w:val="22"/>
        </w:rPr>
        <w:t>C</w:t>
      </w:r>
      <w:r w:rsidR="00BF0F9E" w:rsidRPr="00DD271C">
        <w:rPr>
          <w:rFonts w:ascii="Arial" w:hAnsi="Arial" w:cs="Arial"/>
          <w:sz w:val="22"/>
          <w:szCs w:val="22"/>
        </w:rPr>
        <w:t>. Cell cycle regression assignments for CD8</w:t>
      </w:r>
      <w:r w:rsidR="00BF0F9E" w:rsidRPr="001D7F41">
        <w:rPr>
          <w:rFonts w:ascii="Arial" w:hAnsi="Arial" w:cs="Arial"/>
          <w:sz w:val="22"/>
          <w:szCs w:val="22"/>
          <w:vertAlign w:val="superscript"/>
        </w:rPr>
        <w:t>+</w:t>
      </w:r>
      <w:r w:rsidR="00BF0F9E" w:rsidRPr="00DD271C">
        <w:rPr>
          <w:rFonts w:ascii="Arial" w:hAnsi="Arial" w:cs="Arial"/>
          <w:sz w:val="22"/>
          <w:szCs w:val="22"/>
        </w:rPr>
        <w:t xml:space="preserve"> T cells by cluster assignment. </w:t>
      </w:r>
      <w:r w:rsidR="00BF0F9E" w:rsidRPr="00DD271C">
        <w:rPr>
          <w:rFonts w:ascii="Arial" w:hAnsi="Arial" w:cs="Arial"/>
          <w:b/>
          <w:bCs/>
          <w:sz w:val="22"/>
          <w:szCs w:val="22"/>
        </w:rPr>
        <w:t>D</w:t>
      </w:r>
      <w:r w:rsidR="00BF0F9E"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1D7F41" w:rsidRPr="00DD271C">
        <w:rPr>
          <w:rFonts w:ascii="Arial" w:hAnsi="Arial" w:cs="Arial"/>
          <w:sz w:val="22"/>
          <w:szCs w:val="22"/>
        </w:rPr>
        <w:fldChar w:fldCharType="separate"/>
      </w:r>
      <w:r w:rsidR="00C42E13" w:rsidRPr="00C42E13">
        <w:rPr>
          <w:rFonts w:ascii="Arial" w:hAnsi="Arial" w:cs="Arial"/>
          <w:noProof/>
          <w:sz w:val="22"/>
          <w:szCs w:val="22"/>
        </w:rPr>
        <w:t>(33)</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00BF0F9E" w:rsidRPr="00DD271C">
        <w:rPr>
          <w:rFonts w:ascii="Arial" w:hAnsi="Arial" w:cs="Arial"/>
          <w:sz w:val="22"/>
          <w:szCs w:val="22"/>
        </w:rPr>
        <w:t xml:space="preserve"> </w:t>
      </w:r>
      <w:r w:rsidRPr="0030339B">
        <w:rPr>
          <w:rFonts w:ascii="Arial" w:hAnsi="Arial" w:cs="Arial"/>
          <w:b/>
          <w:bCs/>
          <w:sz w:val="22"/>
          <w:szCs w:val="22"/>
        </w:rPr>
        <w:t>F</w:t>
      </w:r>
      <w:r>
        <w:rPr>
          <w:rFonts w:ascii="Arial" w:hAnsi="Arial" w:cs="Arial"/>
          <w:sz w:val="22"/>
          <w:szCs w:val="22"/>
        </w:rPr>
        <w:t xml:space="preserve">. Clonotype overlap coefficients between </w:t>
      </w:r>
      <w:proofErr w:type="spellStart"/>
      <w:r>
        <w:rPr>
          <w:rFonts w:ascii="Arial" w:hAnsi="Arial" w:cs="Arial"/>
          <w:sz w:val="22"/>
          <w:szCs w:val="22"/>
        </w:rPr>
        <w:t>subclusters</w:t>
      </w:r>
      <w:proofErr w:type="spellEnd"/>
      <w:r>
        <w:rPr>
          <w:rFonts w:ascii="Arial" w:hAnsi="Arial" w:cs="Arial"/>
          <w:sz w:val="22"/>
          <w:szCs w:val="22"/>
        </w:rPr>
        <w:t xml:space="preserve">. </w:t>
      </w:r>
      <w:r>
        <w:rPr>
          <w:rFonts w:ascii="Arial" w:hAnsi="Arial" w:cs="Arial"/>
          <w:b/>
          <w:bCs/>
          <w:sz w:val="22"/>
          <w:szCs w:val="22"/>
        </w:rPr>
        <w:t>G</w:t>
      </w:r>
      <w:r w:rsidR="00BF0F9E"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00BF0F9E"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00BF0F9E" w:rsidRPr="00DD271C">
        <w:rPr>
          <w:rFonts w:ascii="Arial" w:hAnsi="Arial" w:cs="Arial"/>
          <w:sz w:val="22"/>
          <w:szCs w:val="22"/>
        </w:rPr>
        <w:t xml:space="preserve"> </w:t>
      </w:r>
      <w:r>
        <w:rPr>
          <w:rFonts w:ascii="Arial" w:hAnsi="Arial" w:cs="Arial"/>
          <w:b/>
          <w:bCs/>
          <w:sz w:val="22"/>
          <w:szCs w:val="22"/>
        </w:rPr>
        <w:t>H</w:t>
      </w:r>
      <w:r w:rsidR="00BF0F9E"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C3B3DD2" w:rsidR="00BF0F9E" w:rsidRDefault="00BF0F9E" w:rsidP="00276C2F">
      <w:pPr>
        <w:spacing w:line="480" w:lineRule="auto"/>
        <w:rPr>
          <w:rFonts w:ascii="Arial" w:hAnsi="Arial" w:cs="Arial"/>
          <w:sz w:val="22"/>
          <w:szCs w:val="22"/>
        </w:rPr>
      </w:pPr>
    </w:p>
    <w:p w14:paraId="57BF69BE" w14:textId="0AE7BAA3" w:rsidR="000A224A" w:rsidRDefault="000A224A" w:rsidP="00276C2F">
      <w:pPr>
        <w:spacing w:line="480" w:lineRule="auto"/>
        <w:rPr>
          <w:rFonts w:ascii="Arial" w:hAnsi="Arial" w:cs="Arial"/>
          <w:sz w:val="22"/>
          <w:szCs w:val="22"/>
        </w:rPr>
      </w:pPr>
      <w:r>
        <w:rPr>
          <w:rFonts w:ascii="Arial" w:hAnsi="Arial" w:cs="Arial"/>
          <w:noProof/>
          <w:sz w:val="22"/>
          <w:szCs w:val="22"/>
        </w:rPr>
        <w:drawing>
          <wp:inline distT="0" distB="0" distL="0" distR="0" wp14:anchorId="76EFBFF3" wp14:editId="7505BA67">
            <wp:extent cx="5943600" cy="3972560"/>
            <wp:effectExtent l="0" t="0" r="0" b="2540"/>
            <wp:docPr id="4" name="Picture 4" descr="A picture containing indoor, sitting,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344E0345" w:rsidR="000A224A"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xml:space="preserve">. Percent of cells expressing selected markers for </w:t>
      </w:r>
      <w:r w:rsidR="000A224A">
        <w:rPr>
          <w:rFonts w:ascii="Arial" w:hAnsi="Arial" w:cs="Arial"/>
          <w:sz w:val="22"/>
          <w:szCs w:val="22"/>
        </w:rPr>
        <w:t>myeloid and macrophage markers</w:t>
      </w:r>
      <w:r>
        <w:rPr>
          <w:rFonts w:ascii="Arial" w:hAnsi="Arial" w:cs="Arial"/>
          <w:sz w:val="22"/>
          <w:szCs w:val="22"/>
        </w:rPr>
        <w:t>.</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0A224A">
        <w:rPr>
          <w:rFonts w:ascii="Arial" w:hAnsi="Arial" w:cs="Arial"/>
          <w:sz w:val="22"/>
          <w:szCs w:val="22"/>
        </w:rPr>
        <w:t xml:space="preserve">Proportion of assigned cell types compared to total antigen presenting cells by tissue type. </w:t>
      </w:r>
      <w:r w:rsidR="000A224A" w:rsidRPr="000A224A">
        <w:rPr>
          <w:rFonts w:ascii="Arial" w:hAnsi="Arial" w:cs="Arial"/>
          <w:b/>
          <w:bCs/>
          <w:sz w:val="22"/>
          <w:szCs w:val="22"/>
        </w:rPr>
        <w:t>E</w:t>
      </w:r>
      <w:r w:rsidR="000A224A">
        <w:rPr>
          <w:rFonts w:ascii="Arial" w:hAnsi="Arial" w:cs="Arial"/>
          <w:sz w:val="22"/>
          <w:szCs w:val="22"/>
        </w:rPr>
        <w:t xml:space="preserve">. Macrophage </w:t>
      </w:r>
      <w:proofErr w:type="spellStart"/>
      <w:r w:rsidR="000A224A">
        <w:rPr>
          <w:rFonts w:ascii="Arial" w:hAnsi="Arial" w:cs="Arial"/>
          <w:sz w:val="22"/>
          <w:szCs w:val="22"/>
        </w:rPr>
        <w:t>subclusters</w:t>
      </w:r>
      <w:proofErr w:type="spellEnd"/>
      <w:r w:rsidR="000A224A">
        <w:rPr>
          <w:rFonts w:ascii="Arial" w:hAnsi="Arial" w:cs="Arial"/>
          <w:sz w:val="22"/>
          <w:szCs w:val="22"/>
        </w:rPr>
        <w:t>: TAM_1 (</w:t>
      </w:r>
      <w:r w:rsidR="000A224A" w:rsidRPr="000A224A">
        <w:rPr>
          <w:rFonts w:ascii="Arial" w:hAnsi="Arial" w:cs="Arial"/>
          <w:sz w:val="22"/>
          <w:szCs w:val="22"/>
          <w:highlight w:val="yellow"/>
        </w:rPr>
        <w:t>n=</w:t>
      </w:r>
      <w:r w:rsidR="000A224A">
        <w:rPr>
          <w:rFonts w:ascii="Arial" w:hAnsi="Arial" w:cs="Arial"/>
          <w:sz w:val="22"/>
          <w:szCs w:val="22"/>
        </w:rPr>
        <w:t>), TAM_2 (</w:t>
      </w:r>
      <w:r w:rsidR="000A224A" w:rsidRPr="000A224A">
        <w:rPr>
          <w:rFonts w:ascii="Arial" w:hAnsi="Arial" w:cs="Arial"/>
          <w:sz w:val="22"/>
          <w:szCs w:val="22"/>
          <w:highlight w:val="yellow"/>
        </w:rPr>
        <w:t>n=</w:t>
      </w:r>
      <w:r w:rsidR="000A224A">
        <w:rPr>
          <w:rFonts w:ascii="Arial" w:hAnsi="Arial" w:cs="Arial"/>
          <w:sz w:val="22"/>
          <w:szCs w:val="22"/>
        </w:rPr>
        <w:t>), TAM_3 (</w:t>
      </w:r>
      <w:r w:rsidR="000A224A" w:rsidRPr="000A224A">
        <w:rPr>
          <w:rFonts w:ascii="Arial" w:hAnsi="Arial" w:cs="Arial"/>
          <w:sz w:val="22"/>
          <w:szCs w:val="22"/>
          <w:highlight w:val="yellow"/>
        </w:rPr>
        <w:t>n=</w:t>
      </w:r>
      <w:r w:rsidR="000A224A">
        <w:rPr>
          <w:rFonts w:ascii="Arial" w:hAnsi="Arial" w:cs="Arial"/>
          <w:sz w:val="22"/>
          <w:szCs w:val="22"/>
        </w:rPr>
        <w:t xml:space="preserve">), </w:t>
      </w:r>
      <w:proofErr w:type="spellStart"/>
      <w:r w:rsidR="000A224A">
        <w:rPr>
          <w:rFonts w:ascii="Arial" w:hAnsi="Arial" w:cs="Arial"/>
          <w:sz w:val="22"/>
          <w:szCs w:val="22"/>
        </w:rPr>
        <w:t>pM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and </w:t>
      </w:r>
      <w:proofErr w:type="spellStart"/>
      <w:r w:rsidR="000A224A">
        <w:rPr>
          <w:rFonts w:ascii="Arial" w:hAnsi="Arial" w:cs="Arial"/>
          <w:sz w:val="22"/>
          <w:szCs w:val="22"/>
        </w:rPr>
        <w:t>rM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 xml:space="preserve">) with relative percent of cells by tissue in each cluster. F. Differential expression markers for macrophage </w:t>
      </w:r>
      <w:proofErr w:type="spellStart"/>
      <w:r w:rsidR="000A224A">
        <w:rPr>
          <w:rFonts w:ascii="Arial" w:hAnsi="Arial" w:cs="Arial"/>
          <w:sz w:val="22"/>
          <w:szCs w:val="22"/>
        </w:rPr>
        <w:t>subclusters</w:t>
      </w:r>
      <w:proofErr w:type="spellEnd"/>
      <w:r w:rsidR="000A224A">
        <w:rPr>
          <w:rFonts w:ascii="Arial" w:hAnsi="Arial" w:cs="Arial"/>
          <w:sz w:val="22"/>
          <w:szCs w:val="22"/>
        </w:rPr>
        <w:t xml:space="preserve">. </w:t>
      </w:r>
      <w:r w:rsidR="000A224A" w:rsidRPr="000A224A">
        <w:rPr>
          <w:rFonts w:ascii="Arial" w:hAnsi="Arial" w:cs="Arial"/>
          <w:b/>
          <w:bCs/>
          <w:sz w:val="22"/>
          <w:szCs w:val="22"/>
        </w:rPr>
        <w:t>G</w:t>
      </w:r>
      <w:r w:rsidR="000A224A">
        <w:rPr>
          <w:rFonts w:ascii="Arial" w:hAnsi="Arial" w:cs="Arial"/>
          <w:sz w:val="22"/>
          <w:szCs w:val="22"/>
        </w:rPr>
        <w:t>. Macrophage</w:t>
      </w:r>
      <w:r w:rsidR="000A224A" w:rsidRPr="00DD271C">
        <w:rPr>
          <w:rFonts w:ascii="Arial" w:hAnsi="Arial" w:cs="Arial"/>
          <w:sz w:val="22"/>
          <w:szCs w:val="22"/>
        </w:rPr>
        <w:t xml:space="preserve"> UMAP overlaid with slingshot-based </w:t>
      </w:r>
      <w:r w:rsidR="000A224A"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0A224A" w:rsidRPr="00DD271C">
        <w:rPr>
          <w:rFonts w:ascii="Arial" w:hAnsi="Arial" w:cs="Arial"/>
          <w:sz w:val="22"/>
          <w:szCs w:val="22"/>
        </w:rPr>
        <w:fldChar w:fldCharType="separate"/>
      </w:r>
      <w:r w:rsidR="00C42E13" w:rsidRPr="00C42E13">
        <w:rPr>
          <w:rFonts w:ascii="Arial" w:hAnsi="Arial" w:cs="Arial"/>
          <w:noProof/>
          <w:sz w:val="22"/>
          <w:szCs w:val="22"/>
        </w:rPr>
        <w:t>(33)</w:t>
      </w:r>
      <w:r w:rsidR="000A224A" w:rsidRPr="00DD271C">
        <w:rPr>
          <w:rFonts w:ascii="Arial" w:hAnsi="Arial" w:cs="Arial"/>
          <w:sz w:val="22"/>
          <w:szCs w:val="22"/>
        </w:rPr>
        <w:fldChar w:fldCharType="end"/>
      </w:r>
      <w:r w:rsidR="000A224A" w:rsidRPr="00DD271C">
        <w:rPr>
          <w:rFonts w:ascii="Arial" w:hAnsi="Arial" w:cs="Arial"/>
          <w:sz w:val="22"/>
          <w:szCs w:val="22"/>
        </w:rPr>
        <w:t xml:space="preserve"> cell trajector</w:t>
      </w:r>
      <w:r w:rsidR="000A224A">
        <w:rPr>
          <w:rFonts w:ascii="Arial" w:hAnsi="Arial" w:cs="Arial"/>
          <w:sz w:val="22"/>
          <w:szCs w:val="22"/>
        </w:rPr>
        <w:t>ies</w:t>
      </w:r>
      <w:r w:rsidR="000A224A" w:rsidRPr="00DD271C">
        <w:rPr>
          <w:rFonts w:ascii="Arial" w:hAnsi="Arial" w:cs="Arial"/>
          <w:sz w:val="22"/>
          <w:szCs w:val="22"/>
        </w:rPr>
        <w:t xml:space="preserve"> </w:t>
      </w:r>
      <w:r w:rsidR="000A224A">
        <w:rPr>
          <w:rFonts w:ascii="Arial" w:hAnsi="Arial" w:cs="Arial"/>
          <w:sz w:val="22"/>
          <w:szCs w:val="22"/>
        </w:rPr>
        <w:t xml:space="preserve">starting at </w:t>
      </w:r>
      <w:proofErr w:type="spellStart"/>
      <w:r w:rsidR="000A224A">
        <w:rPr>
          <w:rFonts w:ascii="Arial" w:hAnsi="Arial" w:cs="Arial"/>
          <w:sz w:val="22"/>
          <w:szCs w:val="22"/>
        </w:rPr>
        <w:t>rM</w:t>
      </w:r>
      <w:proofErr w:type="spellEnd"/>
      <w:r w:rsidR="000A224A">
        <w:rPr>
          <w:rFonts w:ascii="Arial" w:hAnsi="Arial" w:cs="Arial"/>
          <w:sz w:val="22"/>
          <w:szCs w:val="22"/>
        </w:rPr>
        <w:t xml:space="preserve"> and TAM_2</w:t>
      </w:r>
      <w:r w:rsidR="000A224A" w:rsidRPr="00DD271C">
        <w:rPr>
          <w:rFonts w:ascii="Arial" w:hAnsi="Arial" w:cs="Arial"/>
          <w:sz w:val="22"/>
          <w:szCs w:val="22"/>
        </w:rPr>
        <w:t xml:space="preserve"> </w:t>
      </w:r>
      <w:r w:rsidR="000A224A">
        <w:rPr>
          <w:rFonts w:ascii="Arial" w:hAnsi="Arial" w:cs="Arial"/>
          <w:sz w:val="22"/>
          <w:szCs w:val="22"/>
        </w:rPr>
        <w:t xml:space="preserve">and proceeding into </w:t>
      </w:r>
      <w:proofErr w:type="spellStart"/>
      <w:r w:rsidR="000A224A">
        <w:rPr>
          <w:rFonts w:ascii="Arial" w:hAnsi="Arial" w:cs="Arial"/>
          <w:sz w:val="22"/>
          <w:szCs w:val="22"/>
        </w:rPr>
        <w:t>pM</w:t>
      </w:r>
      <w:proofErr w:type="spellEnd"/>
      <w:r w:rsidR="000A224A">
        <w:rPr>
          <w:rFonts w:ascii="Arial" w:hAnsi="Arial" w:cs="Arial"/>
          <w:sz w:val="22"/>
          <w:szCs w:val="22"/>
        </w:rPr>
        <w:t xml:space="preserve">. Smaller UMAP shows pseudotime created by the cell trajectories. </w:t>
      </w:r>
      <w:r w:rsidR="000A224A" w:rsidRPr="000A224A">
        <w:rPr>
          <w:rFonts w:ascii="Arial" w:hAnsi="Arial" w:cs="Arial"/>
          <w:b/>
          <w:bCs/>
          <w:sz w:val="22"/>
          <w:szCs w:val="22"/>
        </w:rPr>
        <w:t>H</w:t>
      </w:r>
      <w:r w:rsidR="000A224A">
        <w:rPr>
          <w:rFonts w:ascii="Arial" w:hAnsi="Arial" w:cs="Arial"/>
          <w:sz w:val="22"/>
          <w:szCs w:val="22"/>
        </w:rPr>
        <w:t xml:space="preserve">. </w:t>
      </w:r>
      <w:r w:rsidR="000A224A" w:rsidRPr="00DD271C">
        <w:rPr>
          <w:rFonts w:ascii="Arial" w:hAnsi="Arial" w:cs="Arial"/>
          <w:sz w:val="22"/>
          <w:szCs w:val="22"/>
        </w:rPr>
        <w:t xml:space="preserve">Z-transformed normalized enrichment scores from ssGSEA  for selected gene sets by </w:t>
      </w:r>
      <w:proofErr w:type="spellStart"/>
      <w:r w:rsidR="000A224A" w:rsidRPr="00DD271C">
        <w:rPr>
          <w:rFonts w:ascii="Arial" w:hAnsi="Arial" w:cs="Arial"/>
          <w:sz w:val="22"/>
          <w:szCs w:val="22"/>
        </w:rPr>
        <w:t>subcluster</w:t>
      </w:r>
      <w:proofErr w:type="spellEnd"/>
      <w:r w:rsidR="000A224A" w:rsidRPr="00DD271C">
        <w:rPr>
          <w:rFonts w:ascii="Arial" w:hAnsi="Arial" w:cs="Arial"/>
          <w:sz w:val="22"/>
          <w:szCs w:val="22"/>
        </w:rPr>
        <w:t>.</w:t>
      </w:r>
    </w:p>
    <w:p w14:paraId="51F316DE" w14:textId="77777777" w:rsidR="000A224A" w:rsidRDefault="000A224A" w:rsidP="00276C2F">
      <w:pPr>
        <w:spacing w:line="480" w:lineRule="auto"/>
        <w:rPr>
          <w:rFonts w:ascii="Arial" w:hAnsi="Arial" w:cs="Arial"/>
          <w:sz w:val="22"/>
          <w:szCs w:val="22"/>
        </w:rPr>
      </w:pPr>
    </w:p>
    <w:p w14:paraId="0DEFE7C1" w14:textId="77777777" w:rsidR="000A224A" w:rsidRDefault="000A224A" w:rsidP="00276C2F">
      <w:pPr>
        <w:spacing w:line="480" w:lineRule="auto"/>
        <w:rPr>
          <w:rFonts w:ascii="Arial" w:hAnsi="Arial" w:cs="Arial"/>
          <w:sz w:val="22"/>
          <w:szCs w:val="22"/>
        </w:rPr>
      </w:pPr>
    </w:p>
    <w:p w14:paraId="122D6D37" w14:textId="77777777" w:rsidR="000A224A" w:rsidRDefault="000A224A" w:rsidP="00276C2F">
      <w:pPr>
        <w:spacing w:line="480" w:lineRule="auto"/>
        <w:rPr>
          <w:rFonts w:ascii="Arial" w:hAnsi="Arial" w:cs="Arial"/>
          <w:sz w:val="22"/>
          <w:szCs w:val="22"/>
        </w:rPr>
      </w:pPr>
    </w:p>
    <w:p w14:paraId="6D160E61" w14:textId="34B8A5D6" w:rsidR="009E2322" w:rsidRPr="0044717B" w:rsidRDefault="002D4FB3" w:rsidP="00276C2F">
      <w:pPr>
        <w:spacing w:line="480" w:lineRule="auto"/>
        <w:rPr>
          <w:rFonts w:ascii="Arial" w:hAnsi="Arial" w:cs="Arial"/>
          <w:sz w:val="22"/>
          <w:szCs w:val="22"/>
        </w:rPr>
      </w:pP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w:t>
      </w:r>
      <w:proofErr w:type="spellStart"/>
      <w:r w:rsidRPr="00DD271C">
        <w:rPr>
          <w:rFonts w:ascii="Arial" w:hAnsi="Arial" w:cs="Arial"/>
          <w:sz w:val="22"/>
          <w:szCs w:val="22"/>
        </w:rPr>
        <w:t>subclusters</w:t>
      </w:r>
      <w:proofErr w:type="spellEnd"/>
      <w:r w:rsidRPr="00DD271C">
        <w:rPr>
          <w:rFonts w:ascii="Arial" w:hAnsi="Arial" w:cs="Arial"/>
          <w:sz w:val="22"/>
          <w:szCs w:val="22"/>
        </w:rPr>
        <w:t xml:space="preserve"> (upper panel) and clonotype frequency (lower panel) overlaid with slingshot-based </w:t>
      </w:r>
      <w:r w:rsidRPr="00DD271C">
        <w:rPr>
          <w:rFonts w:ascii="Arial" w:hAnsi="Arial" w:cs="Arial"/>
          <w:sz w:val="22"/>
          <w:szCs w:val="22"/>
        </w:rPr>
        <w:fldChar w:fldCharType="begin" w:fldLock="1"/>
      </w:r>
      <w:r w:rsidR="00673B6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Pr="00DD271C">
        <w:rPr>
          <w:rFonts w:ascii="Arial" w:hAnsi="Arial" w:cs="Arial"/>
          <w:sz w:val="22"/>
          <w:szCs w:val="22"/>
        </w:rPr>
        <w:fldChar w:fldCharType="separate"/>
      </w:r>
      <w:r w:rsidR="00C42E13" w:rsidRPr="00C42E13">
        <w:rPr>
          <w:rFonts w:ascii="Arial" w:hAnsi="Arial" w:cs="Arial"/>
          <w:noProof/>
          <w:sz w:val="22"/>
          <w:szCs w:val="22"/>
        </w:rPr>
        <w:t>(33)</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CD4_1 (root 2) with relative pseudotime for all curves calculated using slingshot. </w:t>
      </w:r>
      <w:r w:rsidR="0044717B">
        <w:rPr>
          <w:rFonts w:ascii="Arial" w:hAnsi="Arial" w:cs="Arial"/>
          <w:b/>
          <w:bCs/>
          <w:sz w:val="22"/>
          <w:szCs w:val="22"/>
        </w:rPr>
        <w:t>E</w:t>
      </w:r>
      <w:r w:rsidR="009E2322">
        <w:rPr>
          <w:rFonts w:ascii="Arial" w:hAnsi="Arial" w:cs="Arial"/>
          <w:sz w:val="22"/>
          <w:szCs w:val="22"/>
        </w:rPr>
        <w:t xml:space="preserve">. Percentage difference (∆ </w:t>
      </w:r>
      <w:r w:rsidR="00014CCE">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w:t>
      </w:r>
      <w:r w:rsidR="009E2322" w:rsidRPr="00D67B0C">
        <w:rPr>
          <w:rFonts w:ascii="Arial" w:hAnsi="Arial" w:cs="Arial"/>
          <w:sz w:val="22"/>
          <w:szCs w:val="22"/>
          <w:vertAlign w:val="superscript"/>
        </w:rPr>
        <w:t>+</w:t>
      </w:r>
      <w:r w:rsidR="009E2322">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sidR="00014CCE">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Pr>
          <w:rFonts w:ascii="Arial" w:hAnsi="Arial" w:cs="Arial"/>
          <w:b/>
          <w:bCs/>
          <w:sz w:val="22"/>
          <w:szCs w:val="22"/>
        </w:rPr>
        <w:t>F</w:t>
      </w:r>
      <w:r w:rsidRPr="00DD271C">
        <w:rPr>
          <w:rFonts w:ascii="Arial" w:hAnsi="Arial" w:cs="Arial"/>
          <w:sz w:val="22"/>
          <w:szCs w:val="22"/>
        </w:rPr>
        <w:t xml:space="preserve">. Z-transformed normalized enrichment scores from ssGSEA  for selected gene sets by </w:t>
      </w:r>
      <w:proofErr w:type="spellStart"/>
      <w:r w:rsidRPr="00DD271C">
        <w:rPr>
          <w:rFonts w:ascii="Arial" w:hAnsi="Arial" w:cs="Arial"/>
          <w:sz w:val="22"/>
          <w:szCs w:val="22"/>
        </w:rPr>
        <w:t>subcluster</w:t>
      </w:r>
      <w:proofErr w:type="spellEnd"/>
      <w:r w:rsidRPr="00DD271C">
        <w:rPr>
          <w:rFonts w:ascii="Arial" w:hAnsi="Arial" w:cs="Arial"/>
          <w:sz w:val="22"/>
          <w:szCs w:val="22"/>
        </w:rPr>
        <w: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50C57"/>
    <w:rsid w:val="00072B81"/>
    <w:rsid w:val="00074BA2"/>
    <w:rsid w:val="000841A4"/>
    <w:rsid w:val="000928FC"/>
    <w:rsid w:val="000A02B4"/>
    <w:rsid w:val="000A224A"/>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13A"/>
    <w:rsid w:val="00206317"/>
    <w:rsid w:val="0021505D"/>
    <w:rsid w:val="0022606C"/>
    <w:rsid w:val="002355A8"/>
    <w:rsid w:val="0024418D"/>
    <w:rsid w:val="00244E36"/>
    <w:rsid w:val="00247762"/>
    <w:rsid w:val="00250FBC"/>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2E3B"/>
    <w:rsid w:val="0030339B"/>
    <w:rsid w:val="00303FAC"/>
    <w:rsid w:val="003064F8"/>
    <w:rsid w:val="0031147A"/>
    <w:rsid w:val="00323FCD"/>
    <w:rsid w:val="003245D3"/>
    <w:rsid w:val="00352D3C"/>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96F98"/>
    <w:rsid w:val="004F1798"/>
    <w:rsid w:val="00516F48"/>
    <w:rsid w:val="0052740A"/>
    <w:rsid w:val="00530253"/>
    <w:rsid w:val="00564DB7"/>
    <w:rsid w:val="00570FDC"/>
    <w:rsid w:val="00571916"/>
    <w:rsid w:val="00571DD7"/>
    <w:rsid w:val="005833F0"/>
    <w:rsid w:val="0059724A"/>
    <w:rsid w:val="005A1358"/>
    <w:rsid w:val="005A169F"/>
    <w:rsid w:val="005B69AC"/>
    <w:rsid w:val="005C418C"/>
    <w:rsid w:val="005D0B49"/>
    <w:rsid w:val="005D2880"/>
    <w:rsid w:val="005E7FEE"/>
    <w:rsid w:val="0060404B"/>
    <w:rsid w:val="00614FAF"/>
    <w:rsid w:val="00617F53"/>
    <w:rsid w:val="00665A8D"/>
    <w:rsid w:val="00666678"/>
    <w:rsid w:val="00673B61"/>
    <w:rsid w:val="0068587F"/>
    <w:rsid w:val="006A1B3C"/>
    <w:rsid w:val="006A6770"/>
    <w:rsid w:val="006C01FF"/>
    <w:rsid w:val="006C11C8"/>
    <w:rsid w:val="006C2FF3"/>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A56EF"/>
    <w:rsid w:val="008B4725"/>
    <w:rsid w:val="008C1AAF"/>
    <w:rsid w:val="008C4BC2"/>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E37AE"/>
    <w:rsid w:val="009F2D06"/>
    <w:rsid w:val="00A03655"/>
    <w:rsid w:val="00A121E2"/>
    <w:rsid w:val="00A75F11"/>
    <w:rsid w:val="00A83491"/>
    <w:rsid w:val="00A84007"/>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2E13"/>
    <w:rsid w:val="00C47C17"/>
    <w:rsid w:val="00C62787"/>
    <w:rsid w:val="00C639D3"/>
    <w:rsid w:val="00C65816"/>
    <w:rsid w:val="00C770CF"/>
    <w:rsid w:val="00C9004A"/>
    <w:rsid w:val="00C94FB6"/>
    <w:rsid w:val="00CA4320"/>
    <w:rsid w:val="00CB2EE0"/>
    <w:rsid w:val="00CB4F3B"/>
    <w:rsid w:val="00CB7EE2"/>
    <w:rsid w:val="00CC3469"/>
    <w:rsid w:val="00CF33B7"/>
    <w:rsid w:val="00CF5BEC"/>
    <w:rsid w:val="00CF660B"/>
    <w:rsid w:val="00CF7968"/>
    <w:rsid w:val="00D07574"/>
    <w:rsid w:val="00D14B8E"/>
    <w:rsid w:val="00D3132E"/>
    <w:rsid w:val="00D44203"/>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5DF5"/>
    <w:rsid w:val="00E21D97"/>
    <w:rsid w:val="00E26A39"/>
    <w:rsid w:val="00E318BA"/>
    <w:rsid w:val="00E34118"/>
    <w:rsid w:val="00E677C1"/>
    <w:rsid w:val="00E732EF"/>
    <w:rsid w:val="00EB618C"/>
    <w:rsid w:val="00EB7944"/>
    <w:rsid w:val="00EC37F9"/>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1668F-DD1E-5F48-B15F-C4324966F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25</Pages>
  <Words>72293</Words>
  <Characters>412076</Characters>
  <Application>Microsoft Office Word</Application>
  <DocSecurity>0</DocSecurity>
  <Lines>3433</Lines>
  <Paragraphs>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14</cp:revision>
  <cp:lastPrinted>2020-07-12T16:00:00Z</cp:lastPrinted>
  <dcterms:created xsi:type="dcterms:W3CDTF">2020-07-12T16:06:00Z</dcterms:created>
  <dcterms:modified xsi:type="dcterms:W3CDTF">2020-07-13T18:20:00Z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