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Pr="0002326A" w:rsidRDefault="00952E0E" w:rsidP="00952E0E">
      <w:pPr>
        <w:pStyle w:val="Head"/>
        <w:jc w:val="left"/>
        <w:rPr>
          <w:rFonts w:ascii="Arial" w:hAnsi="Arial" w:cs="Arial"/>
          <w:b w:val="0"/>
          <w:sz w:val="22"/>
          <w:szCs w:val="22"/>
        </w:rPr>
      </w:pPr>
      <w:r w:rsidRPr="0002326A">
        <w:rPr>
          <w:rFonts w:ascii="Arial" w:hAnsi="Arial" w:cs="Arial"/>
          <w:sz w:val="22"/>
          <w:szCs w:val="22"/>
        </w:rPr>
        <w:t xml:space="preserve">Title:  </w:t>
      </w:r>
      <w:r w:rsidRPr="0002326A">
        <w:rPr>
          <w:rFonts w:ascii="Arial" w:hAnsi="Arial" w:cs="Arial"/>
          <w:b w:val="0"/>
          <w:sz w:val="22"/>
          <w:szCs w:val="22"/>
        </w:rPr>
        <w:t>Mapping Immune Landscape in Clear Cell Renal Carcinoma by Single-Cell Genomics</w:t>
      </w:r>
    </w:p>
    <w:p w14:paraId="1D2E6B6C" w14:textId="77777777" w:rsidR="00952E0E" w:rsidRPr="0002326A" w:rsidRDefault="00952E0E" w:rsidP="00952E0E">
      <w:pPr>
        <w:pStyle w:val="Head"/>
        <w:jc w:val="left"/>
        <w:rPr>
          <w:rFonts w:ascii="Arial" w:hAnsi="Arial" w:cs="Arial"/>
          <w:b w:val="0"/>
          <w:sz w:val="22"/>
          <w:szCs w:val="22"/>
        </w:rPr>
      </w:pPr>
    </w:p>
    <w:p w14:paraId="0138DAF1" w14:textId="3B0481FF" w:rsidR="00952E0E" w:rsidRPr="0002326A" w:rsidRDefault="00952E0E" w:rsidP="00952E0E">
      <w:pPr>
        <w:pStyle w:val="Teaser"/>
        <w:jc w:val="both"/>
        <w:rPr>
          <w:rFonts w:ascii="Arial" w:hAnsi="Arial" w:cs="Arial"/>
          <w:sz w:val="22"/>
          <w:szCs w:val="22"/>
        </w:rPr>
      </w:pPr>
      <w:r w:rsidRPr="0002326A">
        <w:rPr>
          <w:rFonts w:ascii="Arial" w:hAnsi="Arial" w:cs="Arial"/>
          <w:b/>
          <w:sz w:val="22"/>
          <w:szCs w:val="22"/>
        </w:rPr>
        <w:t>Authors:</w:t>
      </w:r>
      <w:r w:rsidRPr="0002326A">
        <w:rPr>
          <w:rFonts w:ascii="Arial" w:hAnsi="Arial" w:cs="Arial"/>
          <w:sz w:val="22"/>
          <w:szCs w:val="22"/>
        </w:rPr>
        <w:t xml:space="preserve"> Ajaykumar Vishwakarma?, Nick Bocherding</w:t>
      </w:r>
      <w:r w:rsidRPr="0002326A">
        <w:rPr>
          <w:rFonts w:ascii="Arial" w:hAnsi="Arial" w:cs="Arial"/>
          <w:sz w:val="22"/>
          <w:szCs w:val="22"/>
          <w:vertAlign w:val="superscript"/>
        </w:rPr>
        <w:t>7</w:t>
      </w:r>
      <w:r w:rsidRPr="0002326A">
        <w:rPr>
          <w:rFonts w:ascii="Arial" w:hAnsi="Arial" w:cs="Arial"/>
          <w:sz w:val="22"/>
          <w:szCs w:val="22"/>
        </w:rPr>
        <w:t xml:space="preserve">, </w:t>
      </w:r>
      <w:r w:rsidR="00596923">
        <w:rPr>
          <w:rFonts w:ascii="Arial" w:hAnsi="Arial" w:cs="Arial"/>
          <w:sz w:val="22"/>
          <w:szCs w:val="22"/>
        </w:rPr>
        <w:t xml:space="preserve">Andrew </w:t>
      </w:r>
      <w:proofErr w:type="spellStart"/>
      <w:r w:rsidR="00596923">
        <w:rPr>
          <w:rFonts w:ascii="Arial" w:hAnsi="Arial" w:cs="Arial"/>
          <w:sz w:val="22"/>
          <w:szCs w:val="22"/>
        </w:rPr>
        <w:t>Bellizzi</w:t>
      </w:r>
      <w:proofErr w:type="spellEnd"/>
      <w:r w:rsidR="00596923">
        <w:rPr>
          <w:rFonts w:ascii="Arial" w:hAnsi="Arial" w:cs="Arial"/>
          <w:sz w:val="22"/>
          <w:szCs w:val="22"/>
        </w:rPr>
        <w:t xml:space="preserve">, Jacob Kaplan, </w:t>
      </w:r>
      <w:r w:rsidRPr="0002326A">
        <w:rPr>
          <w:rFonts w:ascii="Arial" w:hAnsi="Arial" w:cs="Arial"/>
          <w:sz w:val="22"/>
          <w:szCs w:val="22"/>
        </w:rPr>
        <w:t>Kenneth Nepple</w:t>
      </w:r>
      <w:r w:rsidRPr="0002326A">
        <w:rPr>
          <w:rFonts w:ascii="Arial" w:hAnsi="Arial" w:cs="Arial"/>
          <w:sz w:val="22"/>
          <w:szCs w:val="22"/>
          <w:vertAlign w:val="superscript"/>
        </w:rPr>
        <w:t>10</w:t>
      </w:r>
      <w:r w:rsidRPr="0002326A">
        <w:rPr>
          <w:rFonts w:ascii="Arial" w:hAnsi="Arial" w:cs="Arial"/>
          <w:sz w:val="22"/>
          <w:szCs w:val="22"/>
        </w:rPr>
        <w:t>, Aliasger Salem</w:t>
      </w:r>
      <w:r w:rsidRPr="0002326A">
        <w:rPr>
          <w:rFonts w:ascii="Arial" w:hAnsi="Arial" w:cs="Arial"/>
          <w:sz w:val="22"/>
          <w:szCs w:val="22"/>
          <w:vertAlign w:val="superscript"/>
        </w:rPr>
        <w:t>5,6</w:t>
      </w:r>
      <w:r w:rsidRPr="0002326A">
        <w:rPr>
          <w:rFonts w:ascii="Arial" w:hAnsi="Arial" w:cs="Arial"/>
          <w:sz w:val="22"/>
          <w:szCs w:val="22"/>
        </w:rPr>
        <w:t>, Russell W. Jenkins</w:t>
      </w:r>
      <w:r w:rsidRPr="0002326A">
        <w:rPr>
          <w:rFonts w:ascii="Arial" w:hAnsi="Arial" w:cs="Arial"/>
          <w:sz w:val="22"/>
          <w:szCs w:val="22"/>
          <w:vertAlign w:val="superscript"/>
        </w:rPr>
        <w:t>1, 2, 3 *</w:t>
      </w:r>
      <w:r w:rsidRPr="0002326A">
        <w:rPr>
          <w:rFonts w:ascii="Arial" w:hAnsi="Arial" w:cs="Arial"/>
          <w:sz w:val="22"/>
          <w:szCs w:val="22"/>
        </w:rPr>
        <w:t>, Weizhou Zhang</w:t>
      </w:r>
      <w:r w:rsidRPr="0002326A">
        <w:rPr>
          <w:rFonts w:ascii="Arial" w:hAnsi="Arial" w:cs="Arial"/>
          <w:sz w:val="22"/>
          <w:szCs w:val="22"/>
          <w:vertAlign w:val="superscript"/>
        </w:rPr>
        <w:t xml:space="preserve"> 5, 11 *</w:t>
      </w:r>
      <w:r w:rsidRPr="0002326A">
        <w:rPr>
          <w:rFonts w:ascii="Arial" w:hAnsi="Arial" w:cs="Arial"/>
          <w:sz w:val="22"/>
          <w:szCs w:val="22"/>
        </w:rPr>
        <w:t>, Yousef Zakharia</w:t>
      </w:r>
      <w:r w:rsidRPr="0002326A">
        <w:rPr>
          <w:rFonts w:ascii="Arial" w:hAnsi="Arial" w:cs="Arial"/>
          <w:sz w:val="22"/>
          <w:szCs w:val="22"/>
          <w:vertAlign w:val="superscript"/>
        </w:rPr>
        <w:t>5, 10, 12 *</w:t>
      </w:r>
    </w:p>
    <w:p w14:paraId="7D33FEAD" w14:textId="104F9CDB" w:rsidR="00952E0E" w:rsidRPr="0002326A" w:rsidRDefault="00952E0E" w:rsidP="00952E0E">
      <w:pPr>
        <w:jc w:val="both"/>
        <w:outlineLvl w:val="0"/>
        <w:rPr>
          <w:rFonts w:ascii="Arial" w:hAnsi="Arial" w:cs="Arial"/>
          <w:color w:val="000000"/>
          <w:sz w:val="22"/>
          <w:szCs w:val="22"/>
        </w:rPr>
      </w:pPr>
    </w:p>
    <w:p w14:paraId="4EBE3CB7" w14:textId="77777777" w:rsidR="00952E0E" w:rsidRPr="0002326A" w:rsidRDefault="00952E0E" w:rsidP="00952E0E">
      <w:pPr>
        <w:pStyle w:val="Paragraph"/>
        <w:ind w:firstLine="0"/>
        <w:rPr>
          <w:rFonts w:ascii="Arial" w:hAnsi="Arial" w:cs="Arial"/>
          <w:b/>
          <w:sz w:val="22"/>
          <w:szCs w:val="22"/>
        </w:rPr>
      </w:pPr>
      <w:bookmarkStart w:id="0" w:name="_GoBack"/>
      <w:bookmarkEnd w:id="0"/>
      <w:r w:rsidRPr="0002326A">
        <w:rPr>
          <w:rFonts w:ascii="Arial" w:hAnsi="Arial" w:cs="Arial"/>
          <w:b/>
          <w:sz w:val="22"/>
          <w:szCs w:val="22"/>
        </w:rPr>
        <w:t>Affiliations:</w:t>
      </w:r>
    </w:p>
    <w:p w14:paraId="732C263F" w14:textId="4C663433"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1</w:t>
      </w:r>
      <w:r w:rsidRPr="0002326A">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2</w:t>
      </w:r>
      <w:r w:rsidRPr="0002326A">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02326A" w:rsidRDefault="00952E0E" w:rsidP="00952E0E">
      <w:pPr>
        <w:jc w:val="both"/>
        <w:rPr>
          <w:rFonts w:ascii="Arial" w:hAnsi="Arial" w:cs="Arial"/>
          <w:spacing w:val="3"/>
          <w:sz w:val="22"/>
          <w:szCs w:val="22"/>
          <w:highlight w:val="yellow"/>
        </w:rPr>
      </w:pPr>
      <w:r w:rsidRPr="0002326A">
        <w:rPr>
          <w:rFonts w:ascii="Arial" w:hAnsi="Arial" w:cs="Arial"/>
          <w:sz w:val="22"/>
          <w:szCs w:val="22"/>
          <w:highlight w:val="yellow"/>
          <w:vertAlign w:val="superscript"/>
        </w:rPr>
        <w:t>3</w:t>
      </w:r>
      <w:r w:rsidRPr="0002326A">
        <w:rPr>
          <w:rFonts w:ascii="Arial" w:hAnsi="Arial" w:cs="Arial"/>
          <w:sz w:val="22"/>
          <w:szCs w:val="22"/>
          <w:highlight w:val="yellow"/>
        </w:rPr>
        <w:t xml:space="preserve"> </w:t>
      </w:r>
      <w:r w:rsidRPr="0002326A">
        <w:rPr>
          <w:rFonts w:ascii="Arial" w:hAnsi="Arial" w:cs="Arial"/>
          <w:spacing w:val="3"/>
          <w:sz w:val="22"/>
          <w:szCs w:val="22"/>
          <w:highlight w:val="yellow"/>
        </w:rPr>
        <w:t>Broad Institute of Harvard and Massachusetts Institute of Technology, Cambridge, MA</w:t>
      </w:r>
    </w:p>
    <w:p w14:paraId="633AFD36" w14:textId="7D746186"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4</w:t>
      </w:r>
      <w:r w:rsidRPr="0002326A">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5</w:t>
      </w:r>
      <w:r w:rsidRPr="0002326A">
        <w:rPr>
          <w:rFonts w:ascii="Arial" w:hAnsi="Arial" w:cs="Arial"/>
          <w:color w:val="000000"/>
          <w:sz w:val="22"/>
          <w:szCs w:val="22"/>
          <w:highlight w:val="yellow"/>
        </w:rPr>
        <w:t xml:space="preserve"> Holden Comprehensive Cancer Center, University of Iowa, Iowa City, IA</w:t>
      </w:r>
    </w:p>
    <w:p w14:paraId="5607F60F" w14:textId="5AD2BD4C" w:rsidR="00F918C1"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highlight w:val="yellow"/>
          <w:vertAlign w:val="superscript"/>
        </w:rPr>
        <w:t>6</w:t>
      </w:r>
      <w:r w:rsidRPr="0002326A">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3CC791EA"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7</w:t>
      </w:r>
      <w:r w:rsidRPr="0002326A">
        <w:rPr>
          <w:rFonts w:ascii="Arial" w:hAnsi="Arial" w:cs="Arial"/>
          <w:color w:val="000000"/>
          <w:sz w:val="22"/>
          <w:szCs w:val="22"/>
        </w:rPr>
        <w:t xml:space="preserve"> </w:t>
      </w:r>
      <w:r w:rsidR="003F2CF0">
        <w:rPr>
          <w:rFonts w:ascii="Arial" w:hAnsi="Arial" w:cs="Arial"/>
          <w:color w:val="000000"/>
          <w:sz w:val="22"/>
          <w:szCs w:val="22"/>
        </w:rPr>
        <w:t xml:space="preserve"> </w:t>
      </w:r>
      <w:r w:rsidRPr="0002326A">
        <w:rPr>
          <w:rFonts w:ascii="Arial" w:hAnsi="Arial" w:cs="Arial"/>
          <w:color w:val="000000"/>
          <w:sz w:val="22"/>
          <w:szCs w:val="22"/>
        </w:rPr>
        <w:t xml:space="preserve">Department of Pathology and Immunology, Washington University School of Medicine, St Louis, MO </w:t>
      </w:r>
    </w:p>
    <w:p w14:paraId="1C040D34" w14:textId="6A35E6CB"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10</w:t>
      </w:r>
      <w:r w:rsidR="00323FCD" w:rsidRPr="0002326A">
        <w:rPr>
          <w:rFonts w:ascii="Arial" w:hAnsi="Arial" w:cs="Arial"/>
          <w:color w:val="000000"/>
          <w:sz w:val="22"/>
          <w:szCs w:val="22"/>
        </w:rPr>
        <w:t xml:space="preserve"> </w:t>
      </w:r>
      <w:r w:rsidRPr="0002326A">
        <w:rPr>
          <w:rFonts w:ascii="Arial" w:hAnsi="Arial" w:cs="Arial"/>
          <w:color w:val="000000"/>
          <w:sz w:val="22"/>
          <w:szCs w:val="22"/>
        </w:rPr>
        <w:t>Department of Urology, University of Iowa Hospitals and Clinics, Iowa City, IA</w:t>
      </w:r>
    </w:p>
    <w:p w14:paraId="627B3711" w14:textId="6548E82F"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11</w:t>
      </w:r>
      <w:r w:rsidR="003F2CF0">
        <w:rPr>
          <w:rFonts w:ascii="Arial" w:hAnsi="Arial" w:cs="Arial"/>
          <w:sz w:val="22"/>
          <w:szCs w:val="22"/>
        </w:rPr>
        <w:t xml:space="preserve"> </w:t>
      </w:r>
      <w:r w:rsidRPr="0002326A">
        <w:rPr>
          <w:rFonts w:ascii="Arial" w:hAnsi="Arial" w:cs="Arial"/>
          <w:sz w:val="22"/>
          <w:szCs w:val="22"/>
        </w:rPr>
        <w:t>Department of Pathology, Immunology, and Laboratory Medicine, University of Florida,</w:t>
      </w:r>
      <w:r w:rsidRPr="0002326A">
        <w:rPr>
          <w:rFonts w:ascii="Arial" w:eastAsia="MS Mincho" w:hAnsi="Arial" w:cs="Arial"/>
          <w:sz w:val="22"/>
          <w:szCs w:val="22"/>
        </w:rPr>
        <w:t xml:space="preserve"> </w:t>
      </w:r>
      <w:r w:rsidRPr="0002326A">
        <w:rPr>
          <w:rFonts w:ascii="Arial" w:hAnsi="Arial" w:cs="Arial"/>
          <w:sz w:val="22"/>
          <w:szCs w:val="22"/>
        </w:rPr>
        <w:t>Gainesville, FL</w:t>
      </w:r>
    </w:p>
    <w:p w14:paraId="2BFC6357" w14:textId="5016C029"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12</w:t>
      </w:r>
      <w:r w:rsidRPr="0002326A">
        <w:rPr>
          <w:rFonts w:ascii="Arial" w:hAnsi="Arial" w:cs="Arial"/>
          <w:sz w:val="22"/>
          <w:szCs w:val="22"/>
        </w:rPr>
        <w:t xml:space="preserve"> Department of Internal Medicine, University of Iowa Hospitals and Clinics, Iowa City, IA</w:t>
      </w:r>
    </w:p>
    <w:p w14:paraId="0C7BC41F" w14:textId="77777777" w:rsidR="00952E0E" w:rsidRPr="0002326A" w:rsidRDefault="00952E0E" w:rsidP="00952E0E">
      <w:pPr>
        <w:widowControl w:val="0"/>
        <w:autoSpaceDE w:val="0"/>
        <w:autoSpaceDN w:val="0"/>
        <w:adjustRightInd w:val="0"/>
        <w:spacing w:after="240"/>
        <w:rPr>
          <w:rFonts w:ascii="Arial" w:hAnsi="Arial" w:cs="Arial"/>
          <w:b/>
          <w:sz w:val="22"/>
          <w:szCs w:val="22"/>
        </w:rPr>
      </w:pPr>
      <w:r w:rsidRPr="0002326A">
        <w:rPr>
          <w:rFonts w:ascii="Arial" w:hAnsi="Arial" w:cs="Arial"/>
          <w:sz w:val="22"/>
          <w:szCs w:val="22"/>
        </w:rPr>
        <w:t>* Correspondence</w:t>
      </w:r>
      <w:r w:rsidRPr="0002326A">
        <w:rPr>
          <w:rFonts w:ascii="Arial" w:hAnsi="Arial" w:cs="Arial"/>
          <w:color w:val="000000"/>
          <w:sz w:val="22"/>
          <w:szCs w:val="22"/>
        </w:rPr>
        <w:t xml:space="preserve">: </w:t>
      </w:r>
      <w:hyperlink r:id="rId6" w:history="1">
        <w:r w:rsidRPr="0002326A">
          <w:rPr>
            <w:rStyle w:val="Hyperlink"/>
            <w:rFonts w:ascii="Arial" w:hAnsi="Arial" w:cs="Arial"/>
            <w:sz w:val="22"/>
            <w:szCs w:val="22"/>
          </w:rPr>
          <w:t>rwjenkins@partners.org</w:t>
        </w:r>
      </w:hyperlink>
      <w:r w:rsidRPr="0002326A">
        <w:rPr>
          <w:rFonts w:ascii="Arial" w:hAnsi="Arial" w:cs="Arial"/>
          <w:color w:val="000000"/>
          <w:sz w:val="22"/>
          <w:szCs w:val="22"/>
        </w:rPr>
        <w:t xml:space="preserve"> (R.W.J),</w:t>
      </w:r>
      <w:r w:rsidRPr="0002326A">
        <w:rPr>
          <w:rFonts w:ascii="Arial" w:hAnsi="Arial" w:cs="Arial"/>
          <w:sz w:val="22"/>
          <w:szCs w:val="22"/>
        </w:rPr>
        <w:t xml:space="preserve"> </w:t>
      </w:r>
      <w:hyperlink r:id="rId7" w:history="1">
        <w:r w:rsidRPr="0002326A">
          <w:rPr>
            <w:rStyle w:val="Hyperlink"/>
            <w:rFonts w:ascii="Arial" w:hAnsi="Arial" w:cs="Arial"/>
            <w:sz w:val="22"/>
            <w:szCs w:val="22"/>
          </w:rPr>
          <w:t>zhangw@ufl.edu</w:t>
        </w:r>
      </w:hyperlink>
      <w:r w:rsidRPr="0002326A">
        <w:rPr>
          <w:rFonts w:ascii="Arial" w:hAnsi="Arial" w:cs="Arial"/>
          <w:color w:val="000000"/>
          <w:sz w:val="22"/>
          <w:szCs w:val="22"/>
        </w:rPr>
        <w:t xml:space="preserve"> (W.Z) and </w:t>
      </w:r>
      <w:hyperlink r:id="rId8" w:history="1">
        <w:r w:rsidRPr="0002326A">
          <w:rPr>
            <w:rStyle w:val="Hyperlink"/>
            <w:rFonts w:ascii="Arial" w:hAnsi="Arial" w:cs="Arial"/>
            <w:sz w:val="22"/>
            <w:szCs w:val="22"/>
          </w:rPr>
          <w:t>yousef-zakharia@uiowa.edu</w:t>
        </w:r>
      </w:hyperlink>
      <w:r w:rsidRPr="0002326A">
        <w:rPr>
          <w:rFonts w:ascii="Arial" w:hAnsi="Arial" w:cs="Arial"/>
          <w:color w:val="000000"/>
          <w:sz w:val="22"/>
          <w:szCs w:val="22"/>
        </w:rPr>
        <w:t xml:space="preserve"> (Y.Z)</w:t>
      </w:r>
    </w:p>
    <w:p w14:paraId="6A6FF6F6" w14:textId="77777777" w:rsidR="00952E0E" w:rsidRPr="0002326A" w:rsidRDefault="00952E0E" w:rsidP="008274D0">
      <w:pPr>
        <w:pStyle w:val="Paragraph"/>
        <w:snapToGrid w:val="0"/>
        <w:ind w:firstLine="0"/>
        <w:rPr>
          <w:rFonts w:ascii="Arial" w:hAnsi="Arial" w:cs="Arial"/>
          <w:b/>
          <w:bCs/>
          <w:color w:val="000000"/>
          <w:sz w:val="22"/>
          <w:szCs w:val="22"/>
        </w:rPr>
      </w:pPr>
    </w:p>
    <w:p w14:paraId="265AE6D0" w14:textId="77777777" w:rsidR="00952E0E" w:rsidRPr="0002326A" w:rsidRDefault="00952E0E" w:rsidP="008274D0">
      <w:pPr>
        <w:pStyle w:val="Paragraph"/>
        <w:snapToGrid w:val="0"/>
        <w:ind w:firstLine="0"/>
        <w:rPr>
          <w:rFonts w:ascii="Arial" w:hAnsi="Arial" w:cs="Arial"/>
          <w:b/>
          <w:bCs/>
          <w:color w:val="000000"/>
          <w:sz w:val="22"/>
          <w:szCs w:val="22"/>
        </w:rPr>
      </w:pPr>
    </w:p>
    <w:p w14:paraId="52EB4BC8" w14:textId="77777777" w:rsidR="00952E0E" w:rsidRPr="0002326A" w:rsidRDefault="00952E0E" w:rsidP="008274D0">
      <w:pPr>
        <w:pStyle w:val="Paragraph"/>
        <w:snapToGrid w:val="0"/>
        <w:ind w:firstLine="0"/>
        <w:rPr>
          <w:rFonts w:ascii="Arial" w:hAnsi="Arial" w:cs="Arial"/>
          <w:b/>
          <w:bCs/>
          <w:color w:val="000000"/>
          <w:sz w:val="22"/>
          <w:szCs w:val="22"/>
        </w:rPr>
      </w:pPr>
    </w:p>
    <w:p w14:paraId="1EA01CA7" w14:textId="77777777" w:rsidR="00952E0E" w:rsidRPr="0002326A" w:rsidRDefault="00952E0E" w:rsidP="008274D0">
      <w:pPr>
        <w:pStyle w:val="Paragraph"/>
        <w:snapToGrid w:val="0"/>
        <w:ind w:firstLine="0"/>
        <w:rPr>
          <w:rFonts w:ascii="Arial" w:hAnsi="Arial" w:cs="Arial"/>
          <w:b/>
          <w:bCs/>
          <w:color w:val="000000"/>
          <w:sz w:val="22"/>
          <w:szCs w:val="22"/>
        </w:rPr>
      </w:pPr>
    </w:p>
    <w:p w14:paraId="3596ED2F" w14:textId="77777777" w:rsidR="00952E0E" w:rsidRPr="0002326A" w:rsidRDefault="00952E0E" w:rsidP="008274D0">
      <w:pPr>
        <w:pStyle w:val="Paragraph"/>
        <w:snapToGrid w:val="0"/>
        <w:ind w:firstLine="0"/>
        <w:rPr>
          <w:rFonts w:ascii="Arial" w:hAnsi="Arial" w:cs="Arial"/>
          <w:b/>
          <w:bCs/>
          <w:color w:val="000000"/>
          <w:sz w:val="22"/>
          <w:szCs w:val="22"/>
        </w:rPr>
      </w:pPr>
    </w:p>
    <w:p w14:paraId="37115ED2" w14:textId="77777777" w:rsidR="00952E0E" w:rsidRPr="0002326A" w:rsidRDefault="00952E0E" w:rsidP="008274D0">
      <w:pPr>
        <w:pStyle w:val="Paragraph"/>
        <w:snapToGrid w:val="0"/>
        <w:ind w:firstLine="0"/>
        <w:rPr>
          <w:rFonts w:ascii="Arial" w:hAnsi="Arial" w:cs="Arial"/>
          <w:b/>
          <w:bCs/>
          <w:color w:val="000000"/>
          <w:sz w:val="22"/>
          <w:szCs w:val="22"/>
        </w:rPr>
      </w:pPr>
    </w:p>
    <w:p w14:paraId="3EBF62E7" w14:textId="77777777" w:rsidR="00952E0E" w:rsidRPr="0002326A" w:rsidRDefault="00952E0E" w:rsidP="008274D0">
      <w:pPr>
        <w:pStyle w:val="Paragraph"/>
        <w:snapToGrid w:val="0"/>
        <w:ind w:firstLine="0"/>
        <w:rPr>
          <w:rFonts w:ascii="Arial" w:hAnsi="Arial" w:cs="Arial"/>
          <w:b/>
          <w:bCs/>
          <w:color w:val="000000"/>
          <w:sz w:val="22"/>
          <w:szCs w:val="22"/>
        </w:rPr>
      </w:pPr>
    </w:p>
    <w:p w14:paraId="34B5D0E4" w14:textId="77777777" w:rsidR="00952E0E" w:rsidRPr="0002326A" w:rsidRDefault="00952E0E" w:rsidP="008274D0">
      <w:pPr>
        <w:pStyle w:val="Paragraph"/>
        <w:snapToGrid w:val="0"/>
        <w:ind w:firstLine="0"/>
        <w:rPr>
          <w:rFonts w:ascii="Arial" w:hAnsi="Arial" w:cs="Arial"/>
          <w:b/>
          <w:bCs/>
          <w:color w:val="000000"/>
          <w:sz w:val="22"/>
          <w:szCs w:val="22"/>
        </w:rPr>
      </w:pPr>
    </w:p>
    <w:p w14:paraId="41D5C4CC" w14:textId="77777777" w:rsidR="00952E0E" w:rsidRPr="0002326A" w:rsidRDefault="00952E0E" w:rsidP="008274D0">
      <w:pPr>
        <w:pStyle w:val="Paragraph"/>
        <w:snapToGrid w:val="0"/>
        <w:ind w:firstLine="0"/>
        <w:rPr>
          <w:rFonts w:ascii="Arial" w:hAnsi="Arial" w:cs="Arial"/>
          <w:b/>
          <w:bCs/>
          <w:color w:val="000000"/>
          <w:sz w:val="22"/>
          <w:szCs w:val="22"/>
        </w:rPr>
      </w:pPr>
    </w:p>
    <w:p w14:paraId="2739636C" w14:textId="1E9D3092" w:rsidR="00952E0E" w:rsidRPr="0002326A" w:rsidRDefault="00952E0E" w:rsidP="008274D0">
      <w:pPr>
        <w:pStyle w:val="Paragraph"/>
        <w:snapToGrid w:val="0"/>
        <w:ind w:firstLine="0"/>
        <w:rPr>
          <w:rFonts w:ascii="Arial" w:hAnsi="Arial" w:cs="Arial"/>
          <w:b/>
          <w:bCs/>
          <w:color w:val="000000"/>
          <w:sz w:val="22"/>
          <w:szCs w:val="22"/>
        </w:rPr>
      </w:pPr>
    </w:p>
    <w:p w14:paraId="0F5D1B12" w14:textId="01E446B4" w:rsidR="00952E0E" w:rsidRPr="0002326A" w:rsidRDefault="00952E0E" w:rsidP="008274D0">
      <w:pPr>
        <w:pStyle w:val="Paragraph"/>
        <w:snapToGrid w:val="0"/>
        <w:ind w:firstLine="0"/>
        <w:rPr>
          <w:rFonts w:ascii="Arial" w:hAnsi="Arial" w:cs="Arial"/>
          <w:b/>
          <w:bCs/>
          <w:color w:val="000000"/>
          <w:sz w:val="22"/>
          <w:szCs w:val="22"/>
        </w:rPr>
      </w:pPr>
    </w:p>
    <w:p w14:paraId="2D790D9B" w14:textId="180BBF37" w:rsidR="00952E0E" w:rsidRPr="0002326A" w:rsidRDefault="00952E0E" w:rsidP="008274D0">
      <w:pPr>
        <w:pStyle w:val="Paragraph"/>
        <w:snapToGrid w:val="0"/>
        <w:ind w:firstLine="0"/>
        <w:rPr>
          <w:rFonts w:ascii="Arial" w:hAnsi="Arial" w:cs="Arial"/>
          <w:b/>
          <w:bCs/>
          <w:color w:val="000000"/>
          <w:sz w:val="22"/>
          <w:szCs w:val="22"/>
        </w:rPr>
      </w:pPr>
    </w:p>
    <w:p w14:paraId="15B36B89" w14:textId="1F313659" w:rsidR="00952E0E" w:rsidRPr="0002326A" w:rsidRDefault="00952E0E" w:rsidP="008274D0">
      <w:pPr>
        <w:pStyle w:val="Paragraph"/>
        <w:snapToGrid w:val="0"/>
        <w:ind w:firstLine="0"/>
        <w:rPr>
          <w:rFonts w:ascii="Arial" w:hAnsi="Arial" w:cs="Arial"/>
          <w:b/>
          <w:bCs/>
          <w:color w:val="000000"/>
          <w:sz w:val="22"/>
          <w:szCs w:val="22"/>
        </w:rPr>
      </w:pPr>
    </w:p>
    <w:p w14:paraId="3DFEA410" w14:textId="6CE8C856" w:rsidR="00952E0E" w:rsidRPr="0002326A" w:rsidRDefault="00952E0E" w:rsidP="008274D0">
      <w:pPr>
        <w:pStyle w:val="Paragraph"/>
        <w:snapToGrid w:val="0"/>
        <w:ind w:firstLine="0"/>
        <w:rPr>
          <w:rFonts w:ascii="Arial" w:hAnsi="Arial" w:cs="Arial"/>
          <w:b/>
          <w:bCs/>
          <w:color w:val="000000"/>
          <w:sz w:val="22"/>
          <w:szCs w:val="22"/>
        </w:rPr>
      </w:pPr>
    </w:p>
    <w:p w14:paraId="395A72DE" w14:textId="77777777" w:rsidR="00952E0E" w:rsidRPr="0002326A" w:rsidRDefault="00952E0E" w:rsidP="008274D0">
      <w:pPr>
        <w:pStyle w:val="Paragraph"/>
        <w:snapToGrid w:val="0"/>
        <w:ind w:firstLine="0"/>
        <w:rPr>
          <w:rFonts w:ascii="Arial" w:hAnsi="Arial" w:cs="Arial"/>
          <w:b/>
          <w:bCs/>
          <w:color w:val="000000"/>
          <w:sz w:val="22"/>
          <w:szCs w:val="22"/>
        </w:rPr>
      </w:pPr>
    </w:p>
    <w:p w14:paraId="46F5DA2A" w14:textId="77777777" w:rsidR="00952E0E" w:rsidRPr="0002326A" w:rsidRDefault="00952E0E" w:rsidP="008274D0">
      <w:pPr>
        <w:pStyle w:val="Paragraph"/>
        <w:snapToGrid w:val="0"/>
        <w:ind w:firstLine="0"/>
        <w:rPr>
          <w:rFonts w:ascii="Arial" w:hAnsi="Arial" w:cs="Arial"/>
          <w:b/>
          <w:bCs/>
          <w:color w:val="000000"/>
          <w:sz w:val="22"/>
          <w:szCs w:val="22"/>
        </w:rPr>
      </w:pPr>
    </w:p>
    <w:p w14:paraId="22A5AF38" w14:textId="77777777" w:rsidR="00952E0E" w:rsidRPr="0002326A" w:rsidRDefault="00952E0E" w:rsidP="00952E0E">
      <w:pPr>
        <w:pStyle w:val="AbstractSummary"/>
        <w:jc w:val="both"/>
        <w:rPr>
          <w:rFonts w:ascii="Arial" w:hAnsi="Arial" w:cs="Arial"/>
          <w:sz w:val="22"/>
          <w:szCs w:val="22"/>
        </w:rPr>
      </w:pPr>
      <w:r w:rsidRPr="0002326A">
        <w:rPr>
          <w:rFonts w:ascii="Arial" w:hAnsi="Arial" w:cs="Arial"/>
          <w:b/>
          <w:sz w:val="22"/>
          <w:szCs w:val="22"/>
        </w:rPr>
        <w:lastRenderedPageBreak/>
        <w:t>Abstract</w:t>
      </w:r>
      <w:r w:rsidRPr="0002326A">
        <w:rPr>
          <w:rFonts w:ascii="Arial" w:hAnsi="Arial" w:cs="Arial"/>
          <w:sz w:val="22"/>
          <w:szCs w:val="22"/>
        </w:rPr>
        <w:t xml:space="preserve">: </w:t>
      </w:r>
    </w:p>
    <w:p w14:paraId="67C0D87E" w14:textId="500CE68B" w:rsidR="00952E0E" w:rsidRPr="0002326A" w:rsidRDefault="00952E0E" w:rsidP="00952E0E">
      <w:pPr>
        <w:pStyle w:val="AbstractSummary"/>
        <w:spacing w:line="480" w:lineRule="auto"/>
        <w:jc w:val="both"/>
        <w:rPr>
          <w:rFonts w:ascii="Arial" w:hAnsi="Arial" w:cs="Arial"/>
          <w:sz w:val="22"/>
          <w:szCs w:val="22"/>
        </w:rPr>
      </w:pPr>
      <w:r w:rsidRPr="0002326A">
        <w:rPr>
          <w:rFonts w:ascii="Arial" w:hAnsi="Arial" w:cs="Arial"/>
          <w:color w:val="000000"/>
          <w:sz w:val="22"/>
          <w:szCs w:val="22"/>
        </w:rPr>
        <w:t xml:space="preserve">Human </w:t>
      </w:r>
      <w:r w:rsidRPr="0002326A">
        <w:rPr>
          <w:rFonts w:ascii="Arial" w:hAnsi="Arial" w:cs="Arial"/>
          <w:sz w:val="22"/>
          <w:szCs w:val="22"/>
        </w:rPr>
        <w:t>clear cell renal cell carcinoma</w:t>
      </w:r>
      <w:r w:rsidRPr="0002326A">
        <w:rPr>
          <w:rFonts w:ascii="Arial" w:hAnsi="Arial" w:cs="Arial"/>
          <w:color w:val="000000"/>
          <w:sz w:val="22"/>
          <w:szCs w:val="22"/>
        </w:rPr>
        <w:t xml:space="preserve"> (ccRCC) is one of the most immunologically distinct tumor types due to high levels of tumor-infiltrating immune cells </w:t>
      </w:r>
      <w:r w:rsidR="00B7170F">
        <w:rPr>
          <w:rFonts w:ascii="Arial" w:hAnsi="Arial" w:cs="Arial"/>
          <w:color w:val="000000"/>
          <w:sz w:val="22"/>
          <w:szCs w:val="22"/>
        </w:rPr>
        <w:t xml:space="preserve">and response to immunotherapies. </w:t>
      </w:r>
      <w:r w:rsidRPr="0002326A">
        <w:rPr>
          <w:rFonts w:ascii="Arial" w:hAnsi="Arial" w:cs="Arial"/>
          <w:color w:val="000000"/>
          <w:sz w:val="22"/>
          <w:szCs w:val="22"/>
        </w:rPr>
        <w:t>Interestingly, in contrast to other cancers, infiltration with cytotoxic CD8</w:t>
      </w:r>
      <w:r w:rsidRPr="00D710B8">
        <w:rPr>
          <w:rFonts w:ascii="Arial" w:hAnsi="Arial" w:cs="Arial"/>
          <w:color w:val="000000"/>
          <w:sz w:val="22"/>
          <w:szCs w:val="22"/>
          <w:vertAlign w:val="superscript"/>
        </w:rPr>
        <w:t>+</w:t>
      </w:r>
      <w:r w:rsidRPr="0002326A">
        <w:rPr>
          <w:rFonts w:ascii="Arial" w:hAnsi="Arial" w:cs="Arial"/>
          <w:color w:val="000000"/>
          <w:sz w:val="22"/>
          <w:szCs w:val="22"/>
        </w:rPr>
        <w:t xml:space="preserve"> T cells is associated with poorer overall survival in ccRCC, suggesting that sub-populations of CD8</w:t>
      </w:r>
      <w:r w:rsidR="00D710B8">
        <w:rPr>
          <w:rFonts w:ascii="Arial" w:hAnsi="Arial" w:cs="Arial"/>
          <w:color w:val="000000"/>
          <w:sz w:val="22"/>
          <w:szCs w:val="22"/>
          <w:vertAlign w:val="superscript"/>
        </w:rPr>
        <w:t>+</w:t>
      </w:r>
      <w:r w:rsidRPr="0002326A">
        <w:rPr>
          <w:rFonts w:ascii="Arial" w:hAnsi="Arial" w:cs="Arial"/>
          <w:color w:val="000000"/>
          <w:sz w:val="22"/>
          <w:szCs w:val="22"/>
        </w:rPr>
        <w:t xml:space="preserve"> and other immune cells may underlie this observation. To characterize the tumor immune microenvironment of ccRCC</w:t>
      </w:r>
      <w:r w:rsidRPr="0002326A">
        <w:rPr>
          <w:rFonts w:ascii="Arial" w:hAnsi="Arial" w:cs="Arial"/>
          <w:sz w:val="22"/>
          <w:szCs w:val="22"/>
        </w:rPr>
        <w:t>, we applied single-cell-RNA sequencing (SCRS) along with T-cell-receptor (TCR) sequencing to</w:t>
      </w:r>
      <w:r w:rsidRPr="0002326A">
        <w:rPr>
          <w:rFonts w:ascii="Arial" w:hAnsi="Arial" w:cs="Arial"/>
          <w:color w:val="000000"/>
          <w:sz w:val="22"/>
          <w:szCs w:val="22"/>
        </w:rPr>
        <w:t xml:space="preserve"> map the transcriptomic heterogeneity of </w:t>
      </w:r>
      <w:r w:rsidRPr="0002326A">
        <w:rPr>
          <w:rFonts w:ascii="Arial" w:hAnsi="Arial" w:cs="Arial"/>
          <w:sz w:val="22"/>
          <w:szCs w:val="22"/>
        </w:rPr>
        <w:t>25,688 individual CD45</w:t>
      </w:r>
      <w:r w:rsidRPr="0002326A">
        <w:rPr>
          <w:rFonts w:ascii="Arial" w:hAnsi="Arial" w:cs="Arial"/>
          <w:sz w:val="22"/>
          <w:szCs w:val="22"/>
          <w:vertAlign w:val="superscript"/>
        </w:rPr>
        <w:t>+</w:t>
      </w:r>
      <w:r w:rsidRPr="0002326A">
        <w:rPr>
          <w:rFonts w:ascii="Arial" w:hAnsi="Arial" w:cs="Arial"/>
          <w:sz w:val="22"/>
          <w:szCs w:val="22"/>
        </w:rPr>
        <w:t xml:space="preserve"> lymphoid and myeloid cells in matched tumor and blood from patients with ccRCC. </w:t>
      </w:r>
      <w:r w:rsidR="00BE5804">
        <w:rPr>
          <w:rFonts w:ascii="Arial" w:hAnsi="Arial" w:cs="Arial"/>
          <w:sz w:val="22"/>
          <w:szCs w:val="22"/>
        </w:rPr>
        <w:t>To this transcriptional map of ccRCC, we added normal over 11,000 additional immune cells from normal kidney and peripheral blood to facilitate identification and assessment of ccRCC-specific differences. We found an overall increase in the CD8</w:t>
      </w:r>
      <w:r w:rsidR="00BE5804" w:rsidRPr="00BE5804">
        <w:rPr>
          <w:rFonts w:ascii="Arial" w:hAnsi="Arial" w:cs="Arial"/>
          <w:sz w:val="22"/>
          <w:szCs w:val="22"/>
          <w:vertAlign w:val="superscript"/>
        </w:rPr>
        <w:t>+</w:t>
      </w:r>
      <w:r w:rsidR="00BE5804">
        <w:rPr>
          <w:rFonts w:ascii="Arial" w:hAnsi="Arial" w:cs="Arial"/>
          <w:sz w:val="22"/>
          <w:szCs w:val="22"/>
        </w:rPr>
        <w:t xml:space="preserve"> T cell and macrophage populations in tumor-infiltrated immune populations. We  further demonstrate the divergent cell transcriptional states for tumor-infiltrating CD8</w:t>
      </w:r>
      <w:r w:rsidR="00BE5804" w:rsidRPr="00BE5804">
        <w:rPr>
          <w:rFonts w:ascii="Arial" w:hAnsi="Arial" w:cs="Arial"/>
          <w:sz w:val="22"/>
          <w:szCs w:val="22"/>
          <w:vertAlign w:val="superscript"/>
        </w:rPr>
        <w:t>+</w:t>
      </w:r>
      <w:r w:rsidR="00BE5804">
        <w:rPr>
          <w:rFonts w:ascii="Arial" w:hAnsi="Arial" w:cs="Arial"/>
          <w:sz w:val="22"/>
          <w:szCs w:val="22"/>
        </w:rPr>
        <w:t xml:space="preserve"> T cells across ccRCC patients that corresponded to clonal expansion.</w:t>
      </w:r>
      <w:r w:rsidR="00B7170F">
        <w:rPr>
          <w:rFonts w:ascii="Arial" w:hAnsi="Arial" w:cs="Arial"/>
          <w:sz w:val="22"/>
          <w:szCs w:val="22"/>
        </w:rPr>
        <w:t xml:space="preserve"> Tumor-associated macrophages separated into three distinct clusters, with difference in expression of angiogenic and secretory genes.</w:t>
      </w:r>
      <w:r w:rsidR="00BE5804">
        <w:rPr>
          <w:rFonts w:ascii="Arial" w:hAnsi="Arial" w:cs="Arial"/>
          <w:sz w:val="22"/>
          <w:szCs w:val="22"/>
        </w:rPr>
        <w:t xml:space="preserve"> </w:t>
      </w:r>
      <w:r w:rsidRPr="0002326A">
        <w:rPr>
          <w:rFonts w:ascii="Arial" w:hAnsi="Arial" w:cs="Arial"/>
          <w:color w:val="000000"/>
          <w:sz w:val="22"/>
          <w:szCs w:val="22"/>
        </w:rPr>
        <w:t>With further characterization and functional validation, these findings may identify novel sub-populations of immune cells amenable to therapeutic intervention.</w:t>
      </w:r>
    </w:p>
    <w:p w14:paraId="71ADE399" w14:textId="77777777" w:rsidR="00952E0E" w:rsidRPr="0002326A" w:rsidRDefault="00952E0E" w:rsidP="008274D0">
      <w:pPr>
        <w:pStyle w:val="Paragraph"/>
        <w:snapToGrid w:val="0"/>
        <w:ind w:firstLine="0"/>
        <w:rPr>
          <w:rFonts w:ascii="Arial" w:hAnsi="Arial" w:cs="Arial"/>
          <w:b/>
          <w:bCs/>
          <w:color w:val="000000"/>
          <w:sz w:val="22"/>
          <w:szCs w:val="22"/>
        </w:rPr>
      </w:pPr>
    </w:p>
    <w:p w14:paraId="4964FD49" w14:textId="2E952CC8" w:rsidR="00952E0E" w:rsidRPr="0002326A" w:rsidRDefault="00952E0E" w:rsidP="008274D0">
      <w:pPr>
        <w:pStyle w:val="Paragraph"/>
        <w:snapToGrid w:val="0"/>
        <w:ind w:firstLine="0"/>
        <w:rPr>
          <w:rFonts w:ascii="Arial" w:hAnsi="Arial" w:cs="Arial"/>
          <w:b/>
          <w:bCs/>
          <w:color w:val="000000"/>
          <w:sz w:val="22"/>
          <w:szCs w:val="22"/>
        </w:rPr>
      </w:pPr>
    </w:p>
    <w:p w14:paraId="2BE3CC79" w14:textId="5D28134D" w:rsidR="00952E0E" w:rsidRPr="0002326A" w:rsidRDefault="00952E0E" w:rsidP="008274D0">
      <w:pPr>
        <w:pStyle w:val="Paragraph"/>
        <w:snapToGrid w:val="0"/>
        <w:ind w:firstLine="0"/>
        <w:rPr>
          <w:rFonts w:ascii="Arial" w:hAnsi="Arial" w:cs="Arial"/>
          <w:b/>
          <w:bCs/>
          <w:color w:val="000000"/>
          <w:sz w:val="22"/>
          <w:szCs w:val="22"/>
        </w:rPr>
      </w:pPr>
    </w:p>
    <w:p w14:paraId="6579468A" w14:textId="7894069A" w:rsidR="00952E0E" w:rsidRPr="0002326A" w:rsidRDefault="00952E0E" w:rsidP="008274D0">
      <w:pPr>
        <w:pStyle w:val="Paragraph"/>
        <w:snapToGrid w:val="0"/>
        <w:ind w:firstLine="0"/>
        <w:rPr>
          <w:rFonts w:ascii="Arial" w:hAnsi="Arial" w:cs="Arial"/>
          <w:b/>
          <w:bCs/>
          <w:color w:val="000000"/>
          <w:sz w:val="22"/>
          <w:szCs w:val="22"/>
        </w:rPr>
      </w:pPr>
    </w:p>
    <w:p w14:paraId="61CE466B" w14:textId="4170561B" w:rsidR="00952E0E" w:rsidRPr="0002326A" w:rsidRDefault="00952E0E" w:rsidP="008274D0">
      <w:pPr>
        <w:pStyle w:val="Paragraph"/>
        <w:snapToGrid w:val="0"/>
        <w:ind w:firstLine="0"/>
        <w:rPr>
          <w:rFonts w:ascii="Arial" w:hAnsi="Arial" w:cs="Arial"/>
          <w:b/>
          <w:bCs/>
          <w:color w:val="000000"/>
          <w:sz w:val="22"/>
          <w:szCs w:val="22"/>
        </w:rPr>
      </w:pPr>
    </w:p>
    <w:p w14:paraId="0DA41E7B" w14:textId="6C3211E6" w:rsidR="00952E0E" w:rsidRPr="0002326A" w:rsidRDefault="00952E0E" w:rsidP="008274D0">
      <w:pPr>
        <w:pStyle w:val="Paragraph"/>
        <w:snapToGrid w:val="0"/>
        <w:ind w:firstLine="0"/>
        <w:rPr>
          <w:rFonts w:ascii="Arial" w:hAnsi="Arial" w:cs="Arial"/>
          <w:b/>
          <w:bCs/>
          <w:color w:val="000000"/>
          <w:sz w:val="22"/>
          <w:szCs w:val="22"/>
        </w:rPr>
      </w:pPr>
    </w:p>
    <w:p w14:paraId="57E58DC1" w14:textId="1C7BFFDB" w:rsidR="00952E0E" w:rsidRPr="0002326A" w:rsidRDefault="00952E0E" w:rsidP="008274D0">
      <w:pPr>
        <w:pStyle w:val="Paragraph"/>
        <w:snapToGrid w:val="0"/>
        <w:ind w:firstLine="0"/>
        <w:rPr>
          <w:rFonts w:ascii="Arial" w:hAnsi="Arial" w:cs="Arial"/>
          <w:b/>
          <w:bCs/>
          <w:color w:val="000000"/>
          <w:sz w:val="22"/>
          <w:szCs w:val="22"/>
        </w:rPr>
      </w:pPr>
    </w:p>
    <w:p w14:paraId="5C1326C2" w14:textId="65C2D523" w:rsidR="00952E0E" w:rsidRPr="0002326A" w:rsidRDefault="00952E0E" w:rsidP="008274D0">
      <w:pPr>
        <w:pStyle w:val="Paragraph"/>
        <w:snapToGrid w:val="0"/>
        <w:ind w:firstLine="0"/>
        <w:rPr>
          <w:rFonts w:ascii="Arial" w:hAnsi="Arial" w:cs="Arial"/>
          <w:b/>
          <w:bCs/>
          <w:color w:val="000000"/>
          <w:sz w:val="22"/>
          <w:szCs w:val="22"/>
        </w:rPr>
      </w:pPr>
    </w:p>
    <w:p w14:paraId="7E7798CC" w14:textId="4D2DB854" w:rsidR="00952E0E" w:rsidRPr="0002326A" w:rsidRDefault="00952E0E" w:rsidP="008274D0">
      <w:pPr>
        <w:pStyle w:val="Paragraph"/>
        <w:snapToGrid w:val="0"/>
        <w:ind w:firstLine="0"/>
        <w:rPr>
          <w:rFonts w:ascii="Arial" w:hAnsi="Arial" w:cs="Arial"/>
          <w:b/>
          <w:bCs/>
          <w:color w:val="000000"/>
          <w:sz w:val="22"/>
          <w:szCs w:val="22"/>
        </w:rPr>
      </w:pPr>
    </w:p>
    <w:p w14:paraId="6E054FD8" w14:textId="5CD50FCC" w:rsidR="00952E0E" w:rsidRPr="0002326A" w:rsidRDefault="00952E0E" w:rsidP="008274D0">
      <w:pPr>
        <w:pStyle w:val="Paragraph"/>
        <w:snapToGrid w:val="0"/>
        <w:ind w:firstLine="0"/>
        <w:rPr>
          <w:rFonts w:ascii="Arial" w:hAnsi="Arial" w:cs="Arial"/>
          <w:b/>
          <w:bCs/>
          <w:color w:val="000000"/>
          <w:sz w:val="22"/>
          <w:szCs w:val="22"/>
        </w:rPr>
      </w:pPr>
    </w:p>
    <w:p w14:paraId="74CBE889" w14:textId="4DA4D165" w:rsidR="00952E0E" w:rsidRPr="0002326A" w:rsidRDefault="00952E0E" w:rsidP="008274D0">
      <w:pPr>
        <w:pStyle w:val="Paragraph"/>
        <w:snapToGrid w:val="0"/>
        <w:ind w:firstLine="0"/>
        <w:rPr>
          <w:rFonts w:ascii="Arial" w:hAnsi="Arial" w:cs="Arial"/>
          <w:b/>
          <w:bCs/>
          <w:color w:val="000000"/>
          <w:sz w:val="22"/>
          <w:szCs w:val="22"/>
        </w:rPr>
      </w:pPr>
    </w:p>
    <w:p w14:paraId="4701F2D2" w14:textId="30CD480B" w:rsidR="00952E0E" w:rsidRPr="0002326A" w:rsidRDefault="00952E0E" w:rsidP="008274D0">
      <w:pPr>
        <w:pStyle w:val="Paragraph"/>
        <w:snapToGrid w:val="0"/>
        <w:ind w:firstLine="0"/>
        <w:rPr>
          <w:rFonts w:ascii="Arial" w:hAnsi="Arial" w:cs="Arial"/>
          <w:b/>
          <w:bCs/>
          <w:color w:val="000000"/>
          <w:sz w:val="22"/>
          <w:szCs w:val="22"/>
        </w:rPr>
      </w:pPr>
    </w:p>
    <w:p w14:paraId="4E519B19" w14:textId="77777777" w:rsidR="00952E0E" w:rsidRPr="0002326A" w:rsidRDefault="00952E0E" w:rsidP="008274D0">
      <w:pPr>
        <w:pStyle w:val="Paragraph"/>
        <w:snapToGrid w:val="0"/>
        <w:ind w:firstLine="0"/>
        <w:rPr>
          <w:rFonts w:ascii="Arial" w:hAnsi="Arial" w:cs="Arial"/>
          <w:b/>
          <w:bCs/>
          <w:color w:val="000000"/>
          <w:sz w:val="22"/>
          <w:szCs w:val="22"/>
        </w:rPr>
      </w:pPr>
    </w:p>
    <w:p w14:paraId="24D58D48" w14:textId="05636C1F" w:rsidR="006A1B3C" w:rsidRPr="0002326A" w:rsidRDefault="006A1B3C" w:rsidP="006A1B3C">
      <w:pPr>
        <w:pStyle w:val="Paragraph"/>
        <w:spacing w:line="480" w:lineRule="auto"/>
        <w:ind w:firstLine="0"/>
        <w:rPr>
          <w:rFonts w:ascii="Arial" w:hAnsi="Arial" w:cs="Arial"/>
          <w:b/>
          <w:sz w:val="22"/>
          <w:szCs w:val="22"/>
        </w:rPr>
      </w:pPr>
      <w:r w:rsidRPr="0002326A">
        <w:rPr>
          <w:rFonts w:ascii="Arial" w:hAnsi="Arial" w:cs="Arial"/>
          <w:b/>
          <w:sz w:val="22"/>
          <w:szCs w:val="22"/>
        </w:rPr>
        <w:t>Introduction</w:t>
      </w:r>
    </w:p>
    <w:p w14:paraId="2F99D49B" w14:textId="265A1AB9"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sidRPr="0002326A">
        <w:rPr>
          <w:rFonts w:ascii="Arial" w:hAnsi="Arial" w:cs="Arial"/>
          <w:sz w:val="22"/>
          <w:szCs w:val="22"/>
        </w:rPr>
        <w:t xml:space="preserve"> </w:t>
      </w:r>
      <w:r w:rsidR="00EC70F5" w:rsidRPr="0002326A">
        <w:rPr>
          <w:rFonts w:ascii="Arial" w:hAnsi="Arial" w:cs="Arial"/>
          <w:sz w:val="22"/>
          <w:szCs w:val="22"/>
        </w:rPr>
        <w:fldChar w:fldCharType="begin" w:fldLock="1"/>
      </w:r>
      <w:r w:rsidR="00564DB7" w:rsidRPr="0002326A">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sidRPr="0002326A">
        <w:rPr>
          <w:rFonts w:ascii="Arial" w:hAnsi="Arial" w:cs="Arial"/>
          <w:sz w:val="22"/>
          <w:szCs w:val="22"/>
        </w:rPr>
        <w:fldChar w:fldCharType="separate"/>
      </w:r>
      <w:r w:rsidR="00EC70F5" w:rsidRPr="0002326A">
        <w:rPr>
          <w:rFonts w:ascii="Arial" w:hAnsi="Arial" w:cs="Arial"/>
          <w:noProof/>
          <w:sz w:val="22"/>
          <w:szCs w:val="22"/>
        </w:rPr>
        <w:t>(1)</w:t>
      </w:r>
      <w:r w:rsidR="00EC70F5" w:rsidRPr="0002326A">
        <w:rPr>
          <w:rFonts w:ascii="Arial" w:hAnsi="Arial" w:cs="Arial"/>
          <w:sz w:val="22"/>
          <w:szCs w:val="22"/>
        </w:rPr>
        <w:fldChar w:fldCharType="end"/>
      </w:r>
      <w:r w:rsidRPr="0002326A">
        <w:rPr>
          <w:rFonts w:ascii="Arial" w:hAnsi="Arial" w:cs="Arial"/>
          <w:sz w:val="22"/>
          <w:szCs w:val="22"/>
        </w:rPr>
        <w:t xml:space="preserve">. </w:t>
      </w:r>
      <w:r w:rsidRPr="0002326A">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sidRPr="0002326A">
        <w:rPr>
          <w:rFonts w:ascii="Arial" w:hAnsi="Arial" w:cs="Arial"/>
          <w:color w:val="000000"/>
          <w:sz w:val="22"/>
          <w:szCs w:val="22"/>
        </w:rPr>
        <w:t xml:space="preserve"> </w:t>
      </w:r>
      <w:r w:rsidR="00EC70F5" w:rsidRPr="0002326A">
        <w:rPr>
          <w:rFonts w:ascii="Arial" w:hAnsi="Arial" w:cs="Arial"/>
          <w:color w:val="000000"/>
          <w:sz w:val="22"/>
          <w:szCs w:val="22"/>
        </w:rPr>
        <w:t xml:space="preserve">(IFN) </w:t>
      </w:r>
      <w:r w:rsidR="00564DB7" w:rsidRPr="0002326A">
        <w:rPr>
          <w:rFonts w:ascii="Arial" w:hAnsi="Arial" w:cs="Arial"/>
          <w:color w:val="000000"/>
          <w:sz w:val="22"/>
          <w:szCs w:val="22"/>
        </w:rPr>
        <w:t>-ɑ</w:t>
      </w:r>
      <w:r w:rsidRPr="0002326A">
        <w:rPr>
          <w:rFonts w:ascii="Arial" w:hAnsi="Arial" w:cs="Arial"/>
          <w:color w:val="000000"/>
          <w:sz w:val="22"/>
          <w:szCs w:val="22"/>
        </w:rPr>
        <w:t>2b therapy</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564DB7" w:rsidRPr="0002326A">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(2)</w:t>
      </w:r>
      <w:r w:rsidR="00564DB7" w:rsidRPr="0002326A">
        <w:rPr>
          <w:rFonts w:ascii="Arial" w:hAnsi="Arial" w:cs="Arial"/>
          <w:color w:val="000000"/>
          <w:sz w:val="22"/>
          <w:szCs w:val="22"/>
        </w:rPr>
        <w:fldChar w:fldCharType="end"/>
      </w:r>
      <w:r w:rsidRPr="0002326A">
        <w:rPr>
          <w:rFonts w:ascii="Arial" w:hAnsi="Arial" w:cs="Arial"/>
          <w:color w:val="000000"/>
          <w:sz w:val="22"/>
          <w:szCs w:val="22"/>
        </w:rPr>
        <w:t>. Recent novel immunotherapies targeting T cell checkpoints as standard of care ha</w:t>
      </w:r>
      <w:r w:rsidR="00D710B8">
        <w:rPr>
          <w:rFonts w:ascii="Arial" w:hAnsi="Arial" w:cs="Arial"/>
          <w:color w:val="000000"/>
          <w:sz w:val="22"/>
          <w:szCs w:val="22"/>
        </w:rPr>
        <w:t xml:space="preserve">ve </w:t>
      </w:r>
      <w:r w:rsidRPr="0002326A">
        <w:rPr>
          <w:rFonts w:ascii="Arial" w:hAnsi="Arial" w:cs="Arial"/>
          <w:color w:val="000000"/>
          <w:sz w:val="22"/>
          <w:szCs w:val="22"/>
        </w:rPr>
        <w:t>transformed the treatment paradigm of ccRCC</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A95847" w:rsidRPr="0002326A">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(3,4)</w:t>
      </w:r>
      <w:r w:rsidR="00564DB7" w:rsidRPr="0002326A">
        <w:rPr>
          <w:rFonts w:ascii="Arial" w:hAnsi="Arial" w:cs="Arial"/>
          <w:color w:val="000000"/>
          <w:sz w:val="22"/>
          <w:szCs w:val="22"/>
        </w:rPr>
        <w:fldChar w:fldCharType="end"/>
      </w:r>
      <w:r w:rsidRPr="0002326A">
        <w:rPr>
          <w:rFonts w:ascii="Arial" w:hAnsi="Arial" w:cs="Arial"/>
          <w:color w:val="000000"/>
          <w:sz w:val="22"/>
          <w:szCs w:val="22"/>
        </w:rPr>
        <w:t>. However, a substantial subset of renal cancer patients still do not respond to these therapies and patients who initially do can eventually progress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P.","non-dropping-particle":"","parse-names":false,"suffix":""}],"container-title":"Cell","id":"ITEM-1","issue":"2","issued":{"date-parts":[["2015"]]},"page":"205-214","title":"Immune checkpoint targeting in cancer therapy: Toward combination strategies with curative potential","type":"article-journal","volume":"161"},"uris":["http://www.mendeley.com/documents/?uuid=4c21d846-a5c0-4325-bc7c-e2b363a38e61"]},{"id":"ITEM-2","itemData":{"DOI":"10.1158/1078-0432.CCR-14-2926","ISSN":"15573265","PMID":"25688160","abstract":"Purpose: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Research","id":"ITEM-2","issue":"13","issued":{"date-parts":[["2015"]]},"page":"3031-3040","title":"Orchestration and prognostic significance of immune checkpoints in the microenvironment of primary and metastatic renal cell cancer","type":"article-journal","volume":"21"},"uris":["http://www.mendeley.com/documents/?uuid=ec3302ef-5ce4-4969-9eec-dd95284e1655"]}],"mendeley":{"formattedCitation":"(5,6)","plainTextFormattedCitation":"(5,6)","previouslyFormattedCitation":"(5,6)"},"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(5,6)</w:t>
      </w:r>
      <w:r w:rsidR="00A95847" w:rsidRPr="0002326A">
        <w:rPr>
          <w:rFonts w:ascii="Arial" w:hAnsi="Arial" w:cs="Arial"/>
          <w:color w:val="000000"/>
          <w:sz w:val="22"/>
          <w:szCs w:val="22"/>
        </w:rPr>
        <w:fldChar w:fldCharType="end"/>
      </w:r>
      <w:r w:rsidRPr="0002326A">
        <w:rPr>
          <w:rFonts w:ascii="Arial" w:hAnsi="Arial" w:cs="Arial"/>
          <w:color w:val="000000"/>
          <w:sz w:val="22"/>
          <w:szCs w:val="22"/>
        </w:rPr>
        <w:t>. Cytotoxic tumor-infiltrating lymphocytes (TILs), in particular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key effectors of the adaptive anti-tumor immune response</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7528","issued":{"date-parts":[["2014"]]},"page":"568-571","title":"PD-1 blockade induces responses by inhibiting adaptive immune resistance","type":"article-journal","volume":"515"},"uris":["http://www.mendeley.com/documents/?uuid=42e1fa45-bb91-4f37-8ccb-5304ad1c9c2f"]}],"mendeley":{"formattedCitation":"(7)","plainTextFormattedCitation":"(7)","previouslyFormattedCitation":"(7)"},"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(7)</w:t>
      </w:r>
      <w:r w:rsidR="00A95847" w:rsidRPr="0002326A">
        <w:rPr>
          <w:rFonts w:ascii="Arial" w:hAnsi="Arial" w:cs="Arial"/>
          <w:color w:val="000000"/>
          <w:sz w:val="22"/>
          <w:szCs w:val="22"/>
        </w:rPr>
        <w:fldChar w:fldCharType="end"/>
      </w:r>
      <w:r w:rsidRPr="0002326A">
        <w:rPr>
          <w:rFonts w:ascii="Arial" w:hAnsi="Arial" w:cs="Arial"/>
          <w:color w:val="000000"/>
          <w:sz w:val="22"/>
          <w:szCs w:val="22"/>
        </w:rPr>
        <w:t xml:space="preserve"> and abundance of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in solid cancers is generally associated with better survival in cancer patients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Medicine","id":"ITEM-1","issue":"273","issued":{"date-parts":[["2016"]]},"title":"Immunoscore and Immunoprofiling in cancer: An update from the melanoma and immunotherapy bridge 2015","type":"article-journal","volume":"4"},"uris":["http://www.mendeley.com/documents/?uuid=256453fd-5618-4863-affe-ff400516cd23"]},{"id":"ITEM-2","itemData":{"DOI":"10.1371/journal.pone.0190158","ISSN":"19326203","abstract":"The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ONE","id":"ITEM-2","issue":"1","issued":{"date-parts":[["2018"]]},"page":"e0190158","title":"CD8+ T cell infiltration in breast and colon cancer: A histologic and statistical analysis","type":"article-journal","volume":"13"},"uris":["http://www.mendeley.com/documents/?uuid=1f63b4fb-c74d-4bf0-aebd-6c57915b7126"]},{"id":"ITEM-3","itemData":{"DOI":"10.1002/cam4.1889","ISSN":"20457634","abstract":"Background: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Medicine","id":"ITEM-3","issue":"1","issued":{"date-parts":[["2019"]]},"page":"80-93","title":"Tumor-infiltrating CD8+ T-cell density is an independent prognostic marker for oral squamous cell carcinoma","type":"article-journal","volume":"8"},"uris":["http://www.mendeley.com/documents/?uuid=7412592c-fc34-4a85-a909-b5f52b9942b5"]},{"id":"ITEM-4","itemData":{"DOI":"10.1016/j.jmb.2018.05.030","ISSN":"10898638","PMID":"29800567","abstract":"Immune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Biology","id":"ITEM-4","issue":"14","issued":{"date-parts":[["2018"]]},"page":"2014-2029","title":"Keeping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(8–11)","plainTextFormattedCitation":"(8–11)","previouslyFormattedCitation":"(8–11)"},"properties":{"noteIndex":0},"schema":"https://github.com/citation-style-language/schema/raw/master/csl-citation.json"}</w:instrText>
      </w:r>
      <w:r w:rsidR="00A95847"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(8–11)</w:t>
      </w:r>
      <w:r w:rsidR="00A95847" w:rsidRPr="0002326A">
        <w:rPr>
          <w:rFonts w:ascii="Arial" w:hAnsi="Arial" w:cs="Arial"/>
          <w:color w:val="000000"/>
          <w:sz w:val="22"/>
          <w:szCs w:val="22"/>
        </w:rPr>
        <w:fldChar w:fldCharType="end"/>
      </w:r>
      <w:r w:rsidRPr="0002326A">
        <w:rPr>
          <w:rFonts w:ascii="Arial" w:hAnsi="Arial" w:cs="Arial"/>
          <w:color w:val="000000"/>
          <w:sz w:val="22"/>
          <w:szCs w:val="22"/>
        </w:rPr>
        <w:t>. However, in RCC, immune cell abundance is inversely correlated with survival, specifically TILs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Oncology","id":"ITEM-1","issue":"15","issued":{"date-parts":[["2019"]]},"page":"1683-1695","title":"The future of perioperative therapy in advanced renal cell carcinoma: How can we PROSPER?","type":"article-journal","volume":"15"},"uris":["http://www.mendeley.com/documents/?uuid=b5666e1f-6377-4972-abc5-5a90640ecc04"]},{"id":"ITEM-2","itemData":{"ISSN":"00085472","abstract":"Tumor-infiltrating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Research","id":"ITEM-2","issue":"13","issued":{"date-parts":[["2001"]]},"page":"5132-5136","title":"Proliferative activity of intratumoral CD8+ T-lymphocytes as a prognostic factor in human renal cell carcinoma: Clinicopathologic demonstration of antitumor immunity","type":"article-journal","volume":"61"},"uris":["http://www.mendeley.com/documents/?uuid=bfd43a63-9c57-4731-8476-c9271b9b9144"]},{"id":"ITEM-3","itemData":{"DOI":"10.18632/oncotarget.4572","ISSN":"19492553","PMID":"26317902","abstract":"Renal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B.","non-dropping-particle":"","parse-names":false,"suffix":""}],"container-title":"Oncotarget","id":"ITEM-3","issue":"28","issued":{"date-parts":[["2015"]]},"page":"24990","title":"Characterization of tumor infiltrating lymphocytes in paired primary and metastatic renal cell carcinoma specimens","type":"article-journal","volume":"6"},"uris":["http://www.mendeley.com/documents/?uuid=09185eb4-de1a-40f8-bf7f-e73ceb6b174f"]},{"id":"ITEM-4","itemData":{"DOI":"10.1038/s41591-020-0839-y","ISSN":"1546170X","PMID":"32472114","abstract":"PD-1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(12–15)","plainTextFormattedCitation":"(12–15)","previouslyFormattedCitation":"(12–15)"},"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(12–15)</w:t>
      </w:r>
      <w:r w:rsidR="007C0FFB" w:rsidRPr="0002326A">
        <w:rPr>
          <w:rFonts w:ascii="Arial" w:hAnsi="Arial" w:cs="Arial"/>
          <w:color w:val="000000"/>
          <w:sz w:val="22"/>
          <w:szCs w:val="22"/>
        </w:rPr>
        <w:fldChar w:fldCharType="end"/>
      </w:r>
      <w:r w:rsidRPr="0002326A">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Oncology","id":"ITEM-1","issue":"15_suppl","issued":{"date-parts":[["2019"]]},"page":"101","title":"Biomarker analyses from JAVELIN Renal 101: Avelumab + axitinib (A+Ax) versus sunitinib (S) in advanced renal cell carcinoma (aRCC).","type":"article-journal","volume":"37"},"uris":["http://www.mendeley.com/documents/?uuid=7fe8f273-6edf-4319-a0fa-64681fe8396f"]},{"id":"ITEM-2","itemData":{"DOI":"10.1016/S1470-2045(18)30107-4","ISSN":"14745488","PMID":"29530667","abstract":"Background: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Oncology","id":"ITEM-2","issue":"4","issued":{"date-parts":[["2018"]]},"page":"451-460","title":"Preliminary results for avelumab plus axitinib as first-line therapy in patients with advanced clear-cell renal-cell carcinoma (JAVELIN Renal 100): an open-label, dose-finding and dose-expansion, phase 1b trial","type":"article-journal","volume":"19"},"uris":["http://www.mendeley.com/documents/?uuid=74fd5f47-4484-464d-98bc-8304f4d4ab5d"]}],"mendeley":{"formattedCitation":"(16,17)","plainTextFormattedCitation":"(16,17)","previouslyFormattedCitation":"(16,17)"},"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(16,17)</w:t>
      </w:r>
      <w:r w:rsidR="007C0FFB" w:rsidRPr="0002326A">
        <w:rPr>
          <w:rFonts w:ascii="Arial" w:hAnsi="Arial" w:cs="Arial"/>
          <w:color w:val="000000"/>
          <w:sz w:val="22"/>
          <w:szCs w:val="22"/>
        </w:rPr>
        <w:fldChar w:fldCharType="end"/>
      </w:r>
      <w:r w:rsidRPr="0002326A">
        <w:rPr>
          <w:rFonts w:ascii="Arial" w:hAnsi="Arial" w:cs="Arial"/>
          <w:color w:val="000000"/>
          <w:sz w:val="22"/>
          <w:szCs w:val="22"/>
        </w:rPr>
        <w:t>. Other abundant immune players in the ccRCC tumor microenvironment include monocytes, dendritic cells and tumor-associated macrophages</w:t>
      </w:r>
      <w:r w:rsidR="007C0FFB" w:rsidRPr="0002326A">
        <w:rPr>
          <w:rFonts w:ascii="Arial" w:hAnsi="Arial" w:cs="Arial"/>
          <w:color w:val="000000"/>
          <w:sz w:val="22"/>
          <w:szCs w:val="22"/>
        </w:rPr>
        <w:t xml:space="preserve"> (TAMs)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4","issued":{"date-parts":[["2017"]]},"page":"736-749","title":"An Immune Atlas of Clear Cell Renal Cell Carcinoma","type":"article-journal","volume":"169"},"uris":["http://www.mendeley.com/documents/?uuid=5d516839-531f-4c22-a230-5e3bf717eb9f"]}],"mendeley":{"formattedCitation":"(18)","plainTextFormattedCitation":"(18)","previouslyFormattedCitation":"(18)"},"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02326A" w:rsidRDefault="006A1B3C" w:rsidP="006A1B3C">
      <w:pPr>
        <w:spacing w:line="480" w:lineRule="auto"/>
        <w:jc w:val="both"/>
        <w:rPr>
          <w:rFonts w:ascii="Arial" w:hAnsi="Arial" w:cs="Arial"/>
          <w:color w:val="000000"/>
          <w:sz w:val="22"/>
          <w:szCs w:val="22"/>
        </w:rPr>
      </w:pPr>
    </w:p>
    <w:p w14:paraId="6C3E0055" w14:textId="48CBD735"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J.","non-dropping-particle":"","parse-names":false,"suffix":""}],"container-title":"Nature","id":"ITEM-1","issue":"7456","issued":{"date-parts":[["2013"]]},"page":"43-49","title":"Comprehensivemolecular characterization of clear cell renal cell carcinoma","type":"article-journal","volume":"499"},"uris":["http://www.mendeley.com/documents/?uuid=d6020cd7-f897-4ff4-b600-c843bbbf7719"]},{"id":"ITEM-2","itemData":{"DOI":"10.3389/fonc.2019.00117","ISSN":"2234943X","abstract":"Clear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Oncology","id":"ITEM-2","issued":{"date-parts":[["2019"]]},"page":"117","title":"Molecular profiling of druggable targets in clear cell renal cell carcinoma through targeted RNA sequencing","type":"article-journal","volume":"9"},"uris":["http://www.mendeley.com/documents/?uuid=6a9a4bcc-def1-4b7f-852d-74daccaa3c64"]}],"mendeley":{"formattedCitation":"(19,20)","plainTextFormattedCitation":"(19,20)","previouslyFormattedCitation":"(19,20)"},"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(19,20)</w:t>
      </w:r>
      <w:r w:rsidR="007C0FFB" w:rsidRPr="0002326A">
        <w:rPr>
          <w:rFonts w:ascii="Arial" w:hAnsi="Arial" w:cs="Arial"/>
          <w:color w:val="000000"/>
          <w:sz w:val="22"/>
          <w:szCs w:val="22"/>
        </w:rPr>
        <w:fldChar w:fldCharType="end"/>
      </w:r>
      <w:r w:rsidRPr="0002326A">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Medicine","id":"ITEM-1","issue":"7","issued":{"date-parts":[["2018"]]},"page":"986-993","title":"Single-cell profiling of breast cancer T cells reveals a tissue-resident memory subset associated with improved prognosis","type":"article-journal","volume":"24"},"uris":["http://www.mendeley.com/documents/?uuid=8df2d8cd-b4f5-4319-a682-34c4ed943e6e"]},{"id":"ITEM-2","itemData":{"DOI":"10.1016/j.cell.2018.10.038","ISSN":"10974172","PMID":"30388456","abstract":"Treatment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4","issued":{"date-parts":[["2018"]]},"page":"998-1013","title":"Defining T Cell States Associated with Response to Checkpoint Immunotherapy in Melanoma","type":"article-journal","volume":"175"},"uris":["http://www.mendeley.com/documents/?uuid=a97c59a3-ef47-4172-bbdb-962df07fd5f0"]}],"mendeley":{"formattedCitation":"(21,22)","plainTextFormattedCitation":"(21,22)","previouslyFormattedCitation":"(21,22)"},"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(21,22)</w:t>
      </w:r>
      <w:r w:rsidR="007C0FFB" w:rsidRPr="0002326A">
        <w:rPr>
          <w:rFonts w:ascii="Arial" w:hAnsi="Arial" w:cs="Arial"/>
          <w:color w:val="000000"/>
          <w:sz w:val="22"/>
          <w:szCs w:val="22"/>
        </w:rPr>
        <w:fldChar w:fldCharType="end"/>
      </w:r>
      <w:r w:rsidRPr="0002326A">
        <w:rPr>
          <w:rFonts w:ascii="Arial" w:hAnsi="Arial" w:cs="Arial"/>
          <w:color w:val="000000"/>
          <w:sz w:val="22"/>
          <w:szCs w:val="22"/>
        </w:rPr>
        <w:t>. Single</w:t>
      </w:r>
      <w:r w:rsidR="007C0FFB" w:rsidRPr="0002326A">
        <w:rPr>
          <w:rFonts w:ascii="Arial" w:hAnsi="Arial" w:cs="Arial"/>
          <w:color w:val="000000"/>
          <w:sz w:val="22"/>
          <w:szCs w:val="22"/>
        </w:rPr>
        <w:t>-</w:t>
      </w:r>
      <w:r w:rsidRPr="0002326A">
        <w:rPr>
          <w:rFonts w:ascii="Arial" w:hAnsi="Arial" w:cs="Arial"/>
          <w:color w:val="000000"/>
          <w:sz w:val="22"/>
          <w:szCs w:val="22"/>
        </w:rPr>
        <w:t>cell methodologies including flow cytometry, immunohistochemistry</w:t>
      </w:r>
      <w:r w:rsidR="007C0FFB" w:rsidRPr="0002326A">
        <w:rPr>
          <w:rFonts w:ascii="Arial" w:hAnsi="Arial" w:cs="Arial"/>
          <w:color w:val="000000"/>
          <w:sz w:val="22"/>
          <w:szCs w:val="22"/>
        </w:rPr>
        <w:t>,</w:t>
      </w:r>
      <w:r w:rsidRPr="0002326A">
        <w:rPr>
          <w:rFonts w:ascii="Arial" w:hAnsi="Arial" w:cs="Arial"/>
          <w:color w:val="000000"/>
          <w:sz w:val="22"/>
          <w:szCs w:val="22"/>
        </w:rPr>
        <w:t xml:space="preserve"> and mass cytometry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B.","non-dropping-particle":"","parse-names":false,"suffix":""}],"container-title":"Oncotarget","id":"ITEM-1","issue":"28","issued":{"date-parts":[["2015"]]},"page":"24990","title":"Characterization of tumor infiltrating lymphocytes in paired primary and metastatic renal cell carcinoma specimens","type":"article-journal","volume":"6"},"uris":["http://www.mendeley.com/documents/?uuid=09185eb4-de1a-40f8-bf7f-e73ceb6b174f"]},{"id":"ITEM-2","itemData":{"DOI":"10.1016/j.cell.2017.04.016","ISSN":"10974172","abstract":"Immune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1","issued":{"date-parts":[["2015"]]},"page":"e985082","title":"Immune signature of tumor infiltrating immune cells in renal cancer","type":"article-journal","volume":"4"},"uris":["http://www.mendeley.com/documents/?uuid=78ab30de-3499-4c01-85e8-d0cc478a4777"]}],"mendeley":{"formattedCitation":"(14,18,23)","plainTextFormattedCitation":"(14,18,23)","previouslyFormattedCitation":"(14,18,23)"},"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(14,18,23)</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have revealed immune cell </w:t>
      </w:r>
      <w:r w:rsidRPr="0002326A">
        <w:rPr>
          <w:rFonts w:ascii="Arial" w:hAnsi="Arial" w:cs="Arial"/>
          <w:color w:val="000000"/>
          <w:sz w:val="22"/>
          <w:szCs w:val="22"/>
        </w:rPr>
        <w:lastRenderedPageBreak/>
        <w:t xml:space="preserve">states in ccRCC but only as discrete phenotypes when in vivo they typically display diverse spectrum of differentiation or activation states. Also, these methods require use of antibody panels targeting known immune cell components, and by design are not capable of identifying novel sub-populations of cells. </w:t>
      </w:r>
      <w:r w:rsidR="007C0FFB" w:rsidRPr="0002326A">
        <w:rPr>
          <w:rFonts w:ascii="Arial" w:hAnsi="Arial" w:cs="Arial"/>
          <w:color w:val="000000"/>
          <w:sz w:val="22"/>
          <w:szCs w:val="22"/>
        </w:rPr>
        <w:t>SCRS</w:t>
      </w:r>
      <w:r w:rsidRPr="0002326A">
        <w:rPr>
          <w:rFonts w:ascii="Arial" w:hAnsi="Arial" w:cs="Arial"/>
          <w:color w:val="000000"/>
          <w:sz w:val="22"/>
          <w:szCs w:val="22"/>
        </w:rPr>
        <w:t xml:space="preserve"> has enabled comprehensive characterization of heterogeneous lymphoid and myeloid immune cells in several cancers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Communications","id":"ITEM-1","issue":"1","issued":{"date-parts":[["2017"]]},"page":"1-12","title":"Single-cell RNA-seq enables comprehensive tumour and immune cell profiling in primary breast cancer","type":"article-journal","volume":"8"},"uris":["http://www.mendeley.com/documents/?uuid=37ce52bc-7991-4671-bd21-566484752aa1"]},{"id":"ITEM-2","itemData":{"DOI":"10.1016/j.cell.2018.05.060","ISSN":"10974172","PMID":"29961579","abstract":"Knowledge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5","issued":{"date-parts":[["2018"]]},"page":"1293-1308","title":"Single-Cell Map of Diverse Immune Phenotypes in the Breast Tumor Microenvironment","type":"article-journal","volume":"174"},"uris":["http://www.mendeley.com/documents/?uuid=9392f45e-1788-4153-aa66-25f0c497cbd2"]},{"id":"ITEM-3","itemData":{"DOI":"10.1038/s41591-018-0045-3","ISSN":"1546170X","PMID":"29942094","abstract":"Cancer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Medicine","id":"ITEM-3","issue":"7","issued":{"date-parts":[["2018"]]},"page":"978-985","title":"Global characterization of T cells in non-small-cell lung cancer by single-cell sequencing","type":"article-journal","volume":"24"},"uris":["http://www.mendeley.com/documents/?uuid=4be4ae05-7b15-4203-9672-5fed036399f9"]},{"id":"ITEM-4","itemData":{"DOI":"10.1126/science.aad0501","ISSN":"10959203","PMID":"27124452","abstract":"To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A.","non-dropping-particle":"","parse-names":false,"suffix":""}],"container-title":"Science","id":"ITEM-4","issue":"6282","issued":{"date-parts":[["2016"]]},"page":"189-196","title":"Dissecting the multicellular ecosystem of metastatic melanoma by single-cell RNA-seq","type":"article-journal","volume":"352"},"uris":["http://www.mendeley.com/documents/?uuid=07a289ee-7cdc-4920-b02c-b6ab52d936ef"]}],"mendeley":{"formattedCitation":"(24–27)","plainTextFormattedCitation":"(24–27)","previouslyFormattedCitation":"(24–27)"},"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(24–27)</w:t>
      </w:r>
      <w:r w:rsidR="007C0FFB" w:rsidRPr="0002326A">
        <w:rPr>
          <w:rFonts w:ascii="Arial" w:hAnsi="Arial" w:cs="Arial"/>
          <w:color w:val="000000"/>
          <w:sz w:val="22"/>
          <w:szCs w:val="22"/>
        </w:rPr>
        <w:fldChar w:fldCharType="end"/>
      </w:r>
      <w:r w:rsidRPr="0002326A">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7E6E65">
        <w:rPr>
          <w:rFonts w:ascii="Cambria Math" w:hAnsi="Cambria Math" w:cs="Cambria Math"/>
          <w:color w:val="000000"/>
          <w:sz w:val="22"/>
          <w:szCs w:val="22"/>
        </w:rPr>
        <w:instrText>∼</w:instrText>
      </w:r>
      <w:r w:rsidR="007E6E65">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7E6E65">
        <w:rPr>
          <w:rFonts w:ascii="Cambria Math" w:hAnsi="Cambria Math" w:cs="Cambria Math"/>
          <w:color w:val="000000"/>
          <w:sz w:val="22"/>
          <w:szCs w:val="22"/>
        </w:rPr>
        <w:instrText>∼</w:instrText>
      </w:r>
      <w:r w:rsidR="007E6E65">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America","id":"ITEM-1","issue":"48","issued":{"date-parts":[["2017"]]},"page":"e10409-10417","title":"T cell receptor sequencing of early-stage breast cancer tumors identifies altered clonal structure of the T cell repertoire","type":"article-journal","volume":"114"},"uris":["http://www.mendeley.com/documents/?uuid=2d2e426f-1ca5-4802-871e-45209d7ca3e8"]},{"id":"ITEM-2","itemData":{"DOI":"10.1016/j.cell.2017.05.035","ISSN":"10974172","abstract":"Systematic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7","issued":{"date-parts":[["2017"]]},"page":"1342-1356","title":"Landscape of Infiltrating T Cells in Liver Cancer Revealed by Single-Cell Sequencing","type":"article-journal","volume":"169"},"uris":["http://www.mendeley.com/documents/?uuid=bd17989c-b856-41c3-9d48-3ffe1322be06"]}],"mendeley":{"formattedCitation":"(28,29)","plainTextFormattedCitation":"(28,29)","previouslyFormattedCitation":"(28,29)"},"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(28,29)</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t>
      </w:r>
    </w:p>
    <w:p w14:paraId="219FADDF" w14:textId="77777777" w:rsidR="006A1B3C" w:rsidRPr="0002326A" w:rsidRDefault="006A1B3C" w:rsidP="006A1B3C">
      <w:pPr>
        <w:spacing w:line="480" w:lineRule="auto"/>
        <w:jc w:val="both"/>
        <w:rPr>
          <w:rFonts w:ascii="Arial" w:hAnsi="Arial" w:cs="Arial"/>
          <w:color w:val="000000"/>
          <w:sz w:val="22"/>
          <w:szCs w:val="22"/>
        </w:rPr>
      </w:pPr>
    </w:p>
    <w:p w14:paraId="05DE1A8F" w14:textId="7F7C40CD" w:rsidR="006A1B3C" w:rsidRPr="00496A84" w:rsidRDefault="006A1B3C" w:rsidP="006A1B3C">
      <w:pPr>
        <w:tabs>
          <w:tab w:val="left" w:pos="720"/>
        </w:tabs>
        <w:spacing w:line="480" w:lineRule="auto"/>
        <w:jc w:val="both"/>
        <w:rPr>
          <w:rFonts w:ascii="Arial" w:hAnsi="Arial" w:cs="Arial"/>
          <w:color w:val="000000"/>
          <w:sz w:val="22"/>
          <w:szCs w:val="22"/>
        </w:rPr>
      </w:pPr>
      <w:r w:rsidRPr="0002326A">
        <w:rPr>
          <w:rFonts w:ascii="Arial" w:hAnsi="Arial" w:cs="Arial"/>
          <w:color w:val="000000"/>
          <w:sz w:val="22"/>
          <w:szCs w:val="22"/>
        </w:rPr>
        <w:t>Here, we report the single</w:t>
      </w:r>
      <w:r w:rsidR="0002326A">
        <w:rPr>
          <w:rFonts w:ascii="Arial" w:hAnsi="Arial" w:cs="Arial"/>
          <w:color w:val="000000"/>
          <w:sz w:val="22"/>
          <w:szCs w:val="22"/>
        </w:rPr>
        <w:t>-</w:t>
      </w:r>
      <w:r w:rsidRPr="0002326A">
        <w:rPr>
          <w:rFonts w:ascii="Arial" w:hAnsi="Arial" w:cs="Arial"/>
          <w:color w:val="000000"/>
          <w:sz w:val="22"/>
          <w:szCs w:val="22"/>
        </w:rPr>
        <w:t xml:space="preserve">cell </w:t>
      </w:r>
      <w:r w:rsidR="0002326A">
        <w:rPr>
          <w:rFonts w:ascii="Arial" w:hAnsi="Arial" w:cs="Arial"/>
          <w:color w:val="000000"/>
          <w:sz w:val="22"/>
          <w:szCs w:val="22"/>
        </w:rPr>
        <w:t>m</w:t>
      </w:r>
      <w:r w:rsidRPr="0002326A">
        <w:rPr>
          <w:rFonts w:ascii="Arial" w:hAnsi="Arial" w:cs="Arial"/>
          <w:color w:val="000000"/>
          <w:sz w:val="22"/>
          <w:szCs w:val="22"/>
        </w:rPr>
        <w:t>RNA profiling of the immune landscape in ccRCC mappin</w:t>
      </w:r>
      <w:r w:rsidR="0002326A">
        <w:rPr>
          <w:rFonts w:ascii="Arial" w:hAnsi="Arial" w:cs="Arial"/>
          <w:color w:val="000000"/>
          <w:sz w:val="22"/>
          <w:szCs w:val="22"/>
        </w:rPr>
        <w:t xml:space="preserve">g </w:t>
      </w:r>
      <w:r w:rsidRPr="0002326A">
        <w:rPr>
          <w:rFonts w:ascii="Arial" w:hAnsi="Arial" w:cs="Arial"/>
          <w:color w:val="000000"/>
          <w:sz w:val="22"/>
          <w:szCs w:val="22"/>
        </w:rPr>
        <w:t xml:space="preserve"> 25,688 of immune single cells</w:t>
      </w:r>
      <w:r w:rsidR="0002326A">
        <w:rPr>
          <w:rFonts w:ascii="Arial" w:hAnsi="Arial" w:cs="Arial"/>
          <w:color w:val="000000"/>
          <w:sz w:val="22"/>
          <w:szCs w:val="22"/>
        </w:rPr>
        <w:t xml:space="preserve"> </w:t>
      </w:r>
      <w:r w:rsidR="0002326A" w:rsidRPr="0002326A">
        <w:rPr>
          <w:rFonts w:ascii="Arial" w:hAnsi="Arial" w:cs="Arial"/>
          <w:color w:val="000000"/>
          <w:sz w:val="22"/>
          <w:szCs w:val="22"/>
        </w:rPr>
        <w:t xml:space="preserve">(5’ gene expression and recombined V(D)J region of the T cell receptor) in matched samples of tumor and peripheral blood isolated from three treatment-naïve ccRCC patients. </w:t>
      </w:r>
      <w:r w:rsidR="0002326A">
        <w:rPr>
          <w:rFonts w:ascii="Arial" w:hAnsi="Arial" w:cs="Arial"/>
          <w:color w:val="000000"/>
          <w:sz w:val="22"/>
          <w:szCs w:val="22"/>
        </w:rPr>
        <w:t>To these cells, we integrated an additional, 11,367 immune cells isolated from peripheral blood and renal parenchyma, providing controls to evaluate tumor-specific transcriptional</w:t>
      </w:r>
      <w:r w:rsidR="00496A84">
        <w:rPr>
          <w:rFonts w:ascii="Arial" w:hAnsi="Arial" w:cs="Arial"/>
          <w:color w:val="000000"/>
          <w:sz w:val="22"/>
          <w:szCs w:val="22"/>
        </w:rPr>
        <w:t xml:space="preserve"> and clonal</w:t>
      </w:r>
      <w:r w:rsidR="0002326A">
        <w:rPr>
          <w:rFonts w:ascii="Arial" w:hAnsi="Arial" w:cs="Arial"/>
          <w:color w:val="000000"/>
          <w:sz w:val="22"/>
          <w:szCs w:val="22"/>
        </w:rPr>
        <w:t xml:space="preserve"> changes</w:t>
      </w:r>
      <w:r w:rsidR="00496A84">
        <w:rPr>
          <w:rFonts w:ascii="Arial" w:hAnsi="Arial" w:cs="Arial"/>
          <w:color w:val="000000"/>
          <w:sz w:val="22"/>
          <w:szCs w:val="22"/>
        </w:rPr>
        <w:t xml:space="preserve"> in immune populations</w:t>
      </w:r>
      <w:r w:rsidR="0002326A">
        <w:rPr>
          <w:rFonts w:ascii="Arial" w:hAnsi="Arial" w:cs="Arial"/>
          <w:color w:val="000000"/>
          <w:sz w:val="22"/>
          <w:szCs w:val="22"/>
        </w:rPr>
        <w:t xml:space="preserve"> at the single-cell level. </w:t>
      </w:r>
      <w:r w:rsidR="00496A84">
        <w:rPr>
          <w:rFonts w:ascii="Arial" w:hAnsi="Arial" w:cs="Arial"/>
          <w:color w:val="000000"/>
          <w:sz w:val="22"/>
          <w:szCs w:val="22"/>
        </w:rPr>
        <w:t>Analysis of tumor-infiltrating T cells demonstrated distinct expression changes compared to peripheral blood. Clonal structure of the T cells differed, with marked expansion seen in CD8</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but not CD4</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and was associated with transcriptional patterning revealed by cell trajectory analysis. In </w:t>
      </w:r>
      <w:r w:rsidR="00D710B8">
        <w:rPr>
          <w:rFonts w:ascii="Arial" w:hAnsi="Arial" w:cs="Arial"/>
          <w:color w:val="000000"/>
          <w:sz w:val="22"/>
          <w:szCs w:val="22"/>
        </w:rPr>
        <w:t>myeloid</w:t>
      </w:r>
      <w:r w:rsidR="00496A84">
        <w:rPr>
          <w:rFonts w:ascii="Arial" w:hAnsi="Arial" w:cs="Arial"/>
          <w:color w:val="000000"/>
          <w:sz w:val="22"/>
          <w:szCs w:val="22"/>
        </w:rPr>
        <w:t xml:space="preserve"> cells, we observed an overall increase in macrophage populations with mixed polarization across patients. </w:t>
      </w:r>
      <w:r w:rsidRPr="0002326A">
        <w:rPr>
          <w:rFonts w:ascii="Arial" w:hAnsi="Arial" w:cs="Arial"/>
          <w:color w:val="000000"/>
          <w:sz w:val="22"/>
          <w:szCs w:val="22"/>
        </w:rPr>
        <w:t xml:space="preserve">This represents the first such report of the immune landscape of ccRCC using </w:t>
      </w:r>
      <w:r w:rsidR="00741BCA" w:rsidRPr="0002326A">
        <w:rPr>
          <w:rFonts w:ascii="Arial" w:hAnsi="Arial" w:cs="Arial"/>
          <w:color w:val="000000"/>
          <w:sz w:val="22"/>
          <w:szCs w:val="22"/>
        </w:rPr>
        <w:t xml:space="preserve">SCRS </w:t>
      </w:r>
      <w:r w:rsidR="00496A84">
        <w:rPr>
          <w:rFonts w:ascii="Arial" w:hAnsi="Arial" w:cs="Arial"/>
          <w:color w:val="000000"/>
          <w:sz w:val="22"/>
          <w:szCs w:val="22"/>
        </w:rPr>
        <w:t>for both transcriptional and clonal assessment.</w:t>
      </w:r>
    </w:p>
    <w:p w14:paraId="41BA88EA" w14:textId="77777777" w:rsidR="004B43AC" w:rsidRDefault="004B43AC" w:rsidP="004B43AC">
      <w:pPr>
        <w:pStyle w:val="Paragraph"/>
        <w:snapToGrid w:val="0"/>
        <w:ind w:firstLine="0"/>
        <w:rPr>
          <w:rFonts w:ascii="Arial" w:hAnsi="Arial" w:cs="Arial"/>
          <w:b/>
          <w:bCs/>
          <w:color w:val="000000"/>
          <w:sz w:val="22"/>
          <w:szCs w:val="22"/>
        </w:rPr>
      </w:pPr>
    </w:p>
    <w:p w14:paraId="473D300F" w14:textId="7BCB4F9F" w:rsidR="004B43AC" w:rsidRPr="0002326A" w:rsidRDefault="004B43AC" w:rsidP="004B43AC">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Methods</w:t>
      </w:r>
    </w:p>
    <w:p w14:paraId="11697B5B" w14:textId="77777777" w:rsidR="004B43AC" w:rsidRPr="0002326A" w:rsidRDefault="004B43AC" w:rsidP="004B43AC">
      <w:pPr>
        <w:pStyle w:val="Paragraph"/>
        <w:snapToGrid w:val="0"/>
        <w:ind w:firstLine="0"/>
        <w:rPr>
          <w:rFonts w:ascii="Arial" w:hAnsi="Arial" w:cs="Arial"/>
          <w:b/>
          <w:bCs/>
          <w:sz w:val="22"/>
          <w:szCs w:val="22"/>
        </w:rPr>
      </w:pPr>
    </w:p>
    <w:p w14:paraId="16AE059D"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Subject Details and Tissue Collection</w:t>
      </w:r>
    </w:p>
    <w:p w14:paraId="2D1A0A50"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lastRenderedPageBreak/>
        <w:t>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were males with an age range of 67 to 74 years old</w:t>
      </w:r>
      <w:r w:rsidRPr="00D710B8">
        <w:rPr>
          <w:rFonts w:ascii="Arial" w:hAnsi="Arial" w:cs="Arial"/>
          <w:color w:val="000000"/>
          <w:sz w:val="22"/>
          <w:szCs w:val="22"/>
        </w:rPr>
        <w:t>. Tumor grades were histologically determined by a pathologist. Primary tumor stage for Patient 1 and Patient 2 were reported as pT1b without extension, while Patient 3 was reported</w:t>
      </w:r>
      <w:r w:rsidRPr="0002326A">
        <w:rPr>
          <w:rFonts w:ascii="Arial" w:hAnsi="Arial" w:cs="Arial"/>
          <w:color w:val="000000"/>
          <w:sz w:val="22"/>
          <w:szCs w:val="22"/>
        </w:rPr>
        <w:t xml:space="preserve"> as pT3a with vascular invasion into</w:t>
      </w:r>
      <w:r>
        <w:rPr>
          <w:rFonts w:ascii="Arial" w:hAnsi="Arial" w:cs="Arial"/>
          <w:color w:val="000000"/>
          <w:sz w:val="22"/>
          <w:szCs w:val="22"/>
        </w:rPr>
        <w:t xml:space="preserve"> the</w:t>
      </w:r>
      <w:r w:rsidRPr="0002326A">
        <w:rPr>
          <w:rFonts w:ascii="Arial" w:hAnsi="Arial" w:cs="Arial"/>
          <w:color w:val="000000"/>
          <w:sz w:val="22"/>
          <w:szCs w:val="22"/>
        </w:rPr>
        <w:t xml:space="preserve"> renal vein. Three ccRCC tumor specimens paired with individual blood samples were used in the study. </w:t>
      </w:r>
      <w:r w:rsidRPr="0002326A">
        <w:rPr>
          <w:rFonts w:ascii="Arial" w:hAnsi="Arial" w:cs="Arial"/>
          <w:color w:val="000000"/>
          <w:sz w:val="22"/>
          <w:szCs w:val="22"/>
          <w:highlight w:val="yellow"/>
        </w:rPr>
        <w:t>Will need IRB FOR publication</w:t>
      </w:r>
      <w:r w:rsidRPr="0002326A">
        <w:rPr>
          <w:rFonts w:ascii="Arial" w:hAnsi="Arial" w:cs="Arial"/>
          <w:color w:val="000000"/>
          <w:sz w:val="22"/>
          <w:szCs w:val="22"/>
        </w:rPr>
        <w:t xml:space="preserve"> </w:t>
      </w:r>
    </w:p>
    <w:p w14:paraId="5B0A7454" w14:textId="77777777" w:rsidR="004B43AC" w:rsidRPr="0002326A" w:rsidRDefault="004B43AC" w:rsidP="004B43AC">
      <w:pPr>
        <w:spacing w:line="480" w:lineRule="auto"/>
        <w:jc w:val="both"/>
        <w:rPr>
          <w:rFonts w:ascii="Arial" w:hAnsi="Arial" w:cs="Arial"/>
          <w:color w:val="000000"/>
          <w:sz w:val="22"/>
          <w:szCs w:val="22"/>
        </w:rPr>
      </w:pPr>
    </w:p>
    <w:p w14:paraId="3B1DAF7B"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Tumor Dissociation and Isolation of Mononuclear Cells</w:t>
      </w:r>
    </w:p>
    <w:p w14:paraId="7CE1C9E9" w14:textId="5369E467" w:rsidR="004B43AC" w:rsidRPr="00B7170F" w:rsidRDefault="004B43AC" w:rsidP="004B43AC">
      <w:pPr>
        <w:spacing w:line="480" w:lineRule="auto"/>
        <w:jc w:val="both"/>
        <w:rPr>
          <w:rFonts w:ascii="Arial" w:hAnsi="Arial" w:cs="Arial"/>
          <w:color w:val="000000" w:themeColor="text1"/>
          <w:sz w:val="22"/>
          <w:szCs w:val="22"/>
        </w:rPr>
      </w:pPr>
      <w:r w:rsidRPr="00B7170F">
        <w:rPr>
          <w:rFonts w:ascii="Arial" w:hAnsi="Arial" w:cs="Arial"/>
          <w:color w:val="000000" w:themeColor="text1"/>
          <w:sz w:val="22"/>
          <w:szCs w:val="22"/>
        </w:rPr>
        <w:t xml:space="preserve">Renal tumor samples were dissociated into single cells by a semi-automated combined mechanical/enzymatic process. The tumor tissue was cut into pieces of (2-3mm) in size and transferred to C Tubes (Miltenyi Biotech, Bergisch Gladbach, Germany) containing a mix of Enzymes H, R and A (Tumor Dissociation Kit, human; Miltenyi Biotech). Mechanical dissociation was accomplished by performing three consecutive automated steps on the gentleMACS Dissociator (h_tumor_01, h_tumor_02 and h_tumor_03). To allow for enzymatic digestion, the C tube was rotated continuously for 30 min at 37°C, after the first and second mechanical dissociation step </w:t>
      </w:r>
      <w:r w:rsidRPr="00B7170F">
        <w:rPr>
          <w:rFonts w:ascii="Arial" w:hAnsi="Arial" w:cs="Arial"/>
          <w:color w:val="000000" w:themeColor="text1"/>
          <w:sz w:val="22"/>
          <w:szCs w:val="22"/>
        </w:rPr>
        <w:fldChar w:fldCharType="begin" w:fldLock="1"/>
      </w:r>
      <w:r w:rsidR="007E6E65">
        <w:rPr>
          <w:rFonts w:ascii="Arial" w:hAnsi="Arial" w:cs="Arial"/>
          <w:color w:val="000000" w:themeColor="text1"/>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Cancer","id":"ITEM-1","issue":"9","issued":{"date-parts":[["2015"]]},"page":"1510-1518","title":"Efficient and reproducible generation of tumour-infiltrating lymphocytes for renal cell carcinoma","type":"article-journal","volume":"112"},"uris":["http://www.mendeley.com/documents/?uuid=33f6bd87-55a7-4b82-a180-d9a5c33e7014"]}],"mendeley":{"formattedCitation":"(30)","plainTextFormattedCitation":"(30)","previouslyFormattedCitation":"(30)"},"properties":{"noteIndex":0},"schema":"https://github.com/citation-style-language/schema/raw/master/csl-citation.json"}</w:instrText>
      </w:r>
      <w:r w:rsidRPr="00B7170F">
        <w:rPr>
          <w:rFonts w:ascii="Arial" w:hAnsi="Arial" w:cs="Arial"/>
          <w:color w:val="000000" w:themeColor="text1"/>
          <w:sz w:val="22"/>
          <w:szCs w:val="22"/>
        </w:rPr>
        <w:fldChar w:fldCharType="separate"/>
      </w:r>
      <w:r w:rsidR="00B7170F" w:rsidRPr="00B7170F">
        <w:rPr>
          <w:rFonts w:ascii="Arial" w:hAnsi="Arial" w:cs="Arial"/>
          <w:noProof/>
          <w:color w:val="000000" w:themeColor="text1"/>
          <w:sz w:val="22"/>
          <w:szCs w:val="22"/>
        </w:rPr>
        <w:t>(30)</w:t>
      </w:r>
      <w:r w:rsidRPr="00B7170F">
        <w:rPr>
          <w:rFonts w:ascii="Arial" w:hAnsi="Arial" w:cs="Arial"/>
          <w:color w:val="000000" w:themeColor="text1"/>
          <w:sz w:val="22"/>
          <w:szCs w:val="22"/>
        </w:rPr>
        <w:fldChar w:fldCharType="end"/>
      </w:r>
      <w:r w:rsidRPr="00B7170F">
        <w:rPr>
          <w:rFonts w:ascii="Arial" w:hAnsi="Arial" w:cs="Arial"/>
          <w:color w:val="000000" w:themeColor="text1"/>
          <w:sz w:val="22"/>
          <w:szCs w:val="22"/>
        </w:rPr>
        <w:t>. Cells from fresh tumor specimens were incubated with FcR blocking reagent (StemCell Technologies, Vancouver, Canada) for 10 min at 4</w:t>
      </w:r>
      <w:r w:rsidRPr="00B7170F">
        <w:rPr>
          <w:rFonts w:ascii="Arial" w:hAnsi="Arial" w:cs="Arial"/>
          <w:color w:val="000000" w:themeColor="text1"/>
          <w:sz w:val="22"/>
          <w:szCs w:val="22"/>
          <w:vertAlign w:val="superscript"/>
        </w:rPr>
        <w:t>0</w:t>
      </w:r>
      <w:r w:rsidRPr="00B7170F">
        <w:rPr>
          <w:rFonts w:ascii="Arial" w:hAnsi="Arial" w:cs="Arial"/>
          <w:color w:val="000000" w:themeColor="text1"/>
          <w:sz w:val="22"/>
          <w:szCs w:val="22"/>
        </w:rPr>
        <w:t>C and labelled with 1ug/ml of the FITC anti-human CD45 antibody (BioLegend, San Diego, CA) per 10</w:t>
      </w:r>
      <w:r w:rsidRPr="00B7170F">
        <w:rPr>
          <w:rFonts w:ascii="Arial" w:hAnsi="Arial" w:cs="Arial"/>
          <w:color w:val="000000" w:themeColor="text1"/>
          <w:sz w:val="22"/>
          <w:szCs w:val="22"/>
          <w:vertAlign w:val="superscript"/>
        </w:rPr>
        <w:t xml:space="preserve">7 </w:t>
      </w:r>
      <w:r w:rsidRPr="00B7170F">
        <w:rPr>
          <w:rFonts w:ascii="Arial" w:hAnsi="Arial" w:cs="Arial"/>
          <w:color w:val="000000" w:themeColor="text1"/>
          <w:sz w:val="22"/>
          <w:szCs w:val="22"/>
        </w:rPr>
        <w:t>cells for 20 min at 4</w:t>
      </w:r>
      <w:r w:rsidRPr="00B7170F">
        <w:rPr>
          <w:rFonts w:ascii="Arial" w:hAnsi="Arial" w:cs="Arial"/>
          <w:color w:val="000000" w:themeColor="text1"/>
          <w:sz w:val="22"/>
          <w:szCs w:val="22"/>
          <w:vertAlign w:val="superscript"/>
        </w:rPr>
        <w:t>0</w:t>
      </w:r>
      <w:r w:rsidRPr="00B7170F">
        <w:rPr>
          <w:rFonts w:ascii="Arial" w:hAnsi="Arial" w:cs="Arial"/>
          <w:color w:val="000000" w:themeColor="text1"/>
          <w:sz w:val="22"/>
          <w:szCs w:val="22"/>
        </w:rPr>
        <w:t>C. CD45</w:t>
      </w:r>
      <w:r w:rsidRPr="00B7170F">
        <w:rPr>
          <w:rFonts w:ascii="Arial" w:hAnsi="Arial" w:cs="Arial"/>
          <w:color w:val="000000" w:themeColor="text1"/>
          <w:sz w:val="22"/>
          <w:szCs w:val="22"/>
          <w:vertAlign w:val="superscript"/>
        </w:rPr>
        <w:t>+</w:t>
      </w:r>
      <w:r w:rsidRPr="00B7170F">
        <w:rPr>
          <w:rFonts w:ascii="Arial" w:hAnsi="Arial" w:cs="Arial"/>
          <w:color w:val="000000" w:themeColor="text1"/>
          <w:sz w:val="22"/>
          <w:szCs w:val="22"/>
        </w:rPr>
        <w:t xml:space="preserve"> cells were isolated using the EasySep</w:t>
      </w:r>
      <w:r w:rsidRPr="00B7170F">
        <w:rPr>
          <w:rFonts w:ascii="Arial" w:hAnsi="Arial" w:cs="Arial"/>
          <w:color w:val="000000" w:themeColor="text1"/>
          <w:sz w:val="22"/>
          <w:szCs w:val="22"/>
          <w:vertAlign w:val="superscript"/>
        </w:rPr>
        <w:t xml:space="preserve">TM </w:t>
      </w:r>
      <w:r w:rsidRPr="00B7170F">
        <w:rPr>
          <w:rFonts w:ascii="Arial" w:hAnsi="Arial" w:cs="Arial"/>
          <w:color w:val="000000" w:themeColor="text1"/>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7D0BF3BD" w14:textId="77777777" w:rsidR="004B43AC" w:rsidRPr="0002326A" w:rsidRDefault="004B43AC" w:rsidP="004B43AC">
      <w:pPr>
        <w:spacing w:line="480" w:lineRule="auto"/>
        <w:jc w:val="both"/>
        <w:rPr>
          <w:rFonts w:ascii="Arial" w:hAnsi="Arial" w:cs="Arial"/>
          <w:color w:val="000000"/>
          <w:sz w:val="22"/>
          <w:szCs w:val="22"/>
        </w:rPr>
      </w:pPr>
    </w:p>
    <w:p w14:paraId="4E92A2DA"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Cell Sorting for Single-Cell RNA sequencing</w:t>
      </w:r>
    </w:p>
    <w:p w14:paraId="6A7E7583"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Viable immune (CD45</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Hoechst</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BioLabs, Ipswitch, MA). Sorted cells were then counted and assessed viability MoxiGoII counter (Orflo Technologies, Ketchum, ID) ensuring that cells were re-suspended at 1000 cells/ul with a viability &gt;90%. </w:t>
      </w:r>
    </w:p>
    <w:p w14:paraId="106F0726" w14:textId="77777777" w:rsidR="004B43AC" w:rsidRPr="0002326A" w:rsidRDefault="004B43AC" w:rsidP="004B43AC">
      <w:pPr>
        <w:spacing w:line="480" w:lineRule="auto"/>
        <w:jc w:val="both"/>
        <w:rPr>
          <w:rFonts w:ascii="Arial" w:hAnsi="Arial" w:cs="Arial"/>
          <w:color w:val="000000"/>
          <w:sz w:val="22"/>
          <w:szCs w:val="22"/>
        </w:rPr>
      </w:pPr>
    </w:p>
    <w:p w14:paraId="0E71E724"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Library Preparation, Single-Cell 5’ and TCR Sequencing</w:t>
      </w:r>
    </w:p>
    <w:p w14:paraId="42BD1B9B" w14:textId="77777777" w:rsidR="004B43AC" w:rsidRPr="0002326A" w:rsidRDefault="004B43AC" w:rsidP="004B43AC">
      <w:pPr>
        <w:spacing w:line="480" w:lineRule="auto"/>
        <w:jc w:val="both"/>
        <w:rPr>
          <w:rFonts w:ascii="Arial" w:hAnsi="Arial" w:cs="Arial"/>
          <w:color w:val="000000" w:themeColor="text1"/>
          <w:sz w:val="22"/>
          <w:szCs w:val="22"/>
        </w:rPr>
      </w:pPr>
      <w:r w:rsidRPr="0002326A">
        <w:rPr>
          <w:rFonts w:ascii="Arial" w:hAnsi="Arial" w:cs="Arial"/>
          <w:color w:val="000000"/>
          <w:sz w:val="22"/>
          <w:szCs w:val="22"/>
        </w:rPr>
        <w:t>Single-cell library preparation was carried out as per the 10X Genomics Chromium Single Cell 5' Library and Gel Bead Kit v2 #1000014 (10x Genomics, Pleasanton, CA).</w:t>
      </w:r>
      <w:r w:rsidRPr="0002326A">
        <w:rPr>
          <w:rFonts w:ascii="Arial" w:eastAsia="MS Mincho" w:hAnsi="Arial" w:cs="Arial"/>
          <w:color w:val="000000"/>
          <w:sz w:val="22"/>
          <w:szCs w:val="22"/>
        </w:rPr>
        <w:t xml:space="preserve"> </w:t>
      </w:r>
      <w:r w:rsidRPr="0002326A">
        <w:rPr>
          <w:rFonts w:ascii="Arial" w:hAnsi="Arial" w:cs="Arial"/>
          <w:color w:val="000000"/>
          <w:sz w:val="22"/>
          <w:szCs w:val="22"/>
        </w:rPr>
        <w:t>Cell suspensions were loaded onto a Chromium Single-Cell Chip along</w:t>
      </w:r>
      <w:r w:rsidRPr="0002326A">
        <w:rPr>
          <w:rFonts w:ascii="Arial" w:eastAsia="MS Mincho" w:hAnsi="Arial" w:cs="Arial"/>
          <w:color w:val="000000"/>
          <w:sz w:val="22"/>
          <w:szCs w:val="22"/>
        </w:rPr>
        <w:t xml:space="preserve"> </w:t>
      </w:r>
      <w:r w:rsidRPr="0002326A">
        <w:rPr>
          <w:rFonts w:ascii="Arial" w:hAnsi="Arial" w:cs="Arial"/>
          <w:color w:val="000000"/>
          <w:sz w:val="22"/>
          <w:szCs w:val="22"/>
        </w:rPr>
        <w:t>with the reverse transcription (RT) master mix and single cell 5</w:t>
      </w:r>
      <w:r w:rsidRPr="0002326A">
        <w:rPr>
          <w:rFonts w:ascii="Arial" w:eastAsia="Calibri" w:hAnsi="Arial" w:cs="Arial"/>
          <w:color w:val="000000"/>
          <w:sz w:val="22"/>
          <w:szCs w:val="22"/>
        </w:rPr>
        <w:t>′</w:t>
      </w:r>
      <w:r w:rsidRPr="0002326A">
        <w:rPr>
          <w:rFonts w:ascii="Arial" w:hAnsi="Arial" w:cs="Arial"/>
          <w:color w:val="000000"/>
          <w:sz w:val="22"/>
          <w:szCs w:val="22"/>
        </w:rPr>
        <w:t xml:space="preserve"> gel beads, aiming for 7,500 cells per channel. Following generation of single-cell</w:t>
      </w:r>
      <w:r w:rsidRPr="0002326A">
        <w:rPr>
          <w:rFonts w:ascii="Arial" w:eastAsia="MS Mincho" w:hAnsi="Arial" w:cs="Arial"/>
          <w:color w:val="000000"/>
          <w:sz w:val="22"/>
          <w:szCs w:val="22"/>
        </w:rPr>
        <w:t xml:space="preserve"> </w:t>
      </w:r>
      <w:r w:rsidRPr="0002326A">
        <w:rPr>
          <w:rFonts w:ascii="Arial" w:hAnsi="Arial" w:cs="Arial"/>
          <w:color w:val="000000"/>
          <w:sz w:val="22"/>
          <w:szCs w:val="22"/>
        </w:rPr>
        <w:t>gel bead-in-emulsions (GEMs), reverse transcription was performed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using a C1000 Touch Thermal Cycler (Bio-Rad Laboratories, Hercules, CA); 13 cycles were used for cDNA amplification. Amplified cDNA was purified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 xml:space="preserve">using SPRIselect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(10x Genomics) using the same input sample. Sequencing libraries were generated with unique sample indices (SI) for each sample and quantified. Libraries were sequenced on an Illumina HiSeq 4000 using a 150-pair-end sequencing kit. </w:t>
      </w:r>
      <w:r w:rsidRPr="0002326A">
        <w:rPr>
          <w:rFonts w:ascii="Arial" w:hAnsi="Arial" w:cs="Arial"/>
          <w:sz w:val="22"/>
          <w:szCs w:val="22"/>
        </w:rPr>
        <w:t xml:space="preserve">Gene expression </w:t>
      </w:r>
      <w:r w:rsidRPr="0002326A">
        <w:rPr>
          <w:rFonts w:ascii="Arial" w:hAnsi="Arial" w:cs="Arial"/>
          <w:color w:val="000000"/>
          <w:sz w:val="22"/>
          <w:szCs w:val="22"/>
        </w:rPr>
        <w:t xml:space="preserve">FASTQ files were aligned to the human genome </w:t>
      </w:r>
      <w:r w:rsidRPr="0002326A">
        <w:rPr>
          <w:rFonts w:ascii="Arial" w:hAnsi="Arial" w:cs="Arial"/>
          <w:color w:val="000000"/>
          <w:sz w:val="22"/>
          <w:szCs w:val="22"/>
        </w:rPr>
        <w:lastRenderedPageBreak/>
        <w:t xml:space="preserve">(GRCh38) using the CellRanger v2.2 pipeline, while clonotype sequencing was aligned to the </w:t>
      </w:r>
      <w:r w:rsidRPr="0002326A">
        <w:rPr>
          <w:rFonts w:ascii="Arial" w:hAnsi="Arial" w:cs="Arial"/>
          <w:color w:val="000000" w:themeColor="text1"/>
          <w:sz w:val="22"/>
          <w:szCs w:val="22"/>
        </w:rPr>
        <w:t xml:space="preserve">vdj_GRCh38_alts_ensembl genome build provided by the manufacturer. </w:t>
      </w:r>
    </w:p>
    <w:p w14:paraId="6BD8E6BE" w14:textId="77777777" w:rsidR="004B43AC" w:rsidRPr="0002326A" w:rsidRDefault="004B43AC" w:rsidP="004B43AC">
      <w:pPr>
        <w:spacing w:line="480" w:lineRule="auto"/>
        <w:jc w:val="both"/>
        <w:rPr>
          <w:rFonts w:ascii="Arial" w:hAnsi="Arial" w:cs="Arial"/>
          <w:sz w:val="22"/>
          <w:szCs w:val="22"/>
        </w:rPr>
      </w:pPr>
    </w:p>
    <w:p w14:paraId="7B18F444" w14:textId="77777777" w:rsidR="004B43AC" w:rsidRPr="0002326A" w:rsidRDefault="004B43AC" w:rsidP="004B43AC">
      <w:pPr>
        <w:spacing w:line="480" w:lineRule="auto"/>
        <w:jc w:val="both"/>
        <w:rPr>
          <w:rFonts w:ascii="Arial" w:hAnsi="Arial" w:cs="Arial"/>
          <w:i/>
          <w:iCs/>
          <w:color w:val="000000" w:themeColor="text1"/>
          <w:sz w:val="22"/>
          <w:szCs w:val="22"/>
        </w:rPr>
      </w:pPr>
      <w:r w:rsidRPr="0002326A">
        <w:rPr>
          <w:rFonts w:ascii="Arial" w:hAnsi="Arial" w:cs="Arial"/>
          <w:i/>
          <w:iCs/>
          <w:color w:val="000000" w:themeColor="text1"/>
          <w:sz w:val="22"/>
          <w:szCs w:val="22"/>
        </w:rPr>
        <w:t>Incorporation of other SCRS data sets</w:t>
      </w:r>
    </w:p>
    <w:p w14:paraId="075FCE9E" w14:textId="23FA344A" w:rsidR="004B43AC" w:rsidRPr="0002326A" w:rsidRDefault="004B43AC" w:rsidP="004B43AC">
      <w:pPr>
        <w:spacing w:line="480" w:lineRule="auto"/>
        <w:rPr>
          <w:rFonts w:ascii="Arial" w:hAnsi="Arial" w:cs="Arial"/>
          <w:color w:val="000000" w:themeColor="text1"/>
          <w:sz w:val="22"/>
          <w:szCs w:val="22"/>
        </w:rPr>
      </w:pPr>
      <w:r w:rsidRPr="0002326A">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Pr="0002326A">
        <w:rPr>
          <w:rFonts w:ascii="Arial" w:hAnsi="Arial" w:cs="Arial"/>
          <w:sz w:val="22"/>
          <w:szCs w:val="22"/>
        </w:rPr>
        <w:t>uniform manifold approximation and project (</w:t>
      </w:r>
      <w:r w:rsidRPr="0002326A">
        <w:rPr>
          <w:rFonts w:ascii="Arial" w:hAnsi="Arial" w:cs="Arial"/>
          <w:color w:val="000000" w:themeColor="text1"/>
          <w:sz w:val="22"/>
          <w:szCs w:val="22"/>
        </w:rPr>
        <w:t xml:space="preserve">UMAP). Total number of cells from healthy peripheral blood control were 7,726. SCRS of normal immune populations in the kidney were derived </w:t>
      </w:r>
      <w:r>
        <w:rPr>
          <w:rFonts w:ascii="Arial" w:hAnsi="Arial" w:cs="Arial"/>
          <w:color w:val="000000" w:themeColor="text1"/>
          <w:sz w:val="22"/>
          <w:szCs w:val="22"/>
        </w:rPr>
        <w:t xml:space="preserve">from </w:t>
      </w:r>
      <w:r w:rsidRPr="0002326A">
        <w:rPr>
          <w:rFonts w:ascii="Arial" w:hAnsi="Arial" w:cs="Arial"/>
          <w:color w:val="000000" w:themeColor="text1"/>
          <w:sz w:val="22"/>
          <w:szCs w:val="22"/>
        </w:rPr>
        <w:t xml:space="preserve">previously published data </w:t>
      </w:r>
      <w:r w:rsidRPr="0002326A">
        <w:rPr>
          <w:rFonts w:ascii="Arial" w:hAnsi="Arial" w:cs="Arial"/>
          <w:color w:val="000000" w:themeColor="text1"/>
          <w:sz w:val="22"/>
          <w:szCs w:val="22"/>
        </w:rPr>
        <w:fldChar w:fldCharType="begin" w:fldLock="1"/>
      </w:r>
      <w:r w:rsidR="007E6E65">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6402","issued":{"date-parts":[["2018"]]},"page":"594-599","title":"Single-cell transcriptomes from human kidneys reveal the cellular identity of renal tumors","type":"article-journal","volume":"361"},"uris":["http://www.mendeley.com/documents/?uuid=e3614b27-27e2-4126-ac60-e0d38fd07652"]}],"mendeley":{"formattedCitation":"(31)","plainTextFormattedCitation":"(31)","previouslyFormattedCitation":"(31)"},"properties":{"noteIndex":0},"schema":"https://github.com/citation-style-language/schema/raw/master/csl-citation.json"}</w:instrText>
      </w:r>
      <w:r w:rsidRPr="0002326A">
        <w:rPr>
          <w:rFonts w:ascii="Arial" w:hAnsi="Arial" w:cs="Arial"/>
          <w:color w:val="000000" w:themeColor="text1"/>
          <w:sz w:val="22"/>
          <w:szCs w:val="22"/>
        </w:rPr>
        <w:fldChar w:fldCharType="separate"/>
      </w:r>
      <w:r w:rsidR="00B7170F" w:rsidRPr="00B7170F">
        <w:rPr>
          <w:rFonts w:ascii="Arial" w:hAnsi="Arial" w:cs="Arial"/>
          <w:noProof/>
          <w:color w:val="000000" w:themeColor="text1"/>
          <w:sz w:val="22"/>
          <w:szCs w:val="22"/>
        </w:rPr>
        <w:t>(31)</w:t>
      </w:r>
      <w:r w:rsidRPr="0002326A">
        <w:rPr>
          <w:rFonts w:ascii="Arial" w:hAnsi="Arial" w:cs="Arial"/>
          <w:color w:val="000000" w:themeColor="text1"/>
          <w:sz w:val="22"/>
          <w:szCs w:val="22"/>
        </w:rPr>
        <w:fldChar w:fldCharType="end"/>
      </w:r>
      <w:r w:rsidRPr="0002326A">
        <w:rPr>
          <w:rFonts w:ascii="Arial" w:hAnsi="Arial" w:cs="Arial"/>
          <w:color w:val="000000" w:themeColor="text1"/>
          <w:sz w:val="22"/>
          <w:szCs w:val="22"/>
        </w:rPr>
        <w:t xml:space="preserve">. Gene expression matrices were downloaded from the </w:t>
      </w:r>
      <w:r w:rsidRPr="0002326A">
        <w:rPr>
          <w:rFonts w:ascii="Arial" w:hAnsi="Arial" w:cs="Arial"/>
          <w:color w:val="000000" w:themeColor="text1"/>
          <w:sz w:val="22"/>
          <w:szCs w:val="22"/>
          <w:shd w:val="clear" w:color="auto" w:fill="FFFFFF"/>
        </w:rPr>
        <w:t>EGAS00001002325 and filtered for normal renal parenchyma cells using the provided cell manifest for the samples RCC1, RCC2, and RCC3.</w:t>
      </w:r>
      <w:r w:rsidRPr="0002326A">
        <w:rPr>
          <w:rFonts w:ascii="Arial" w:hAnsi="Arial" w:cs="Arial"/>
          <w:color w:val="000000" w:themeColor="text1"/>
          <w:sz w:val="22"/>
          <w:szCs w:val="22"/>
        </w:rPr>
        <w:t xml:space="preserve"> These</w:t>
      </w:r>
      <w:r>
        <w:rPr>
          <w:rFonts w:ascii="Arial" w:hAnsi="Arial" w:cs="Arial"/>
          <w:color w:val="000000" w:themeColor="text1"/>
          <w:sz w:val="22"/>
          <w:szCs w:val="22"/>
        </w:rPr>
        <w:t xml:space="preserve"> samples were</w:t>
      </w:r>
      <w:r w:rsidRPr="0002326A">
        <w:rPr>
          <w:rFonts w:ascii="Arial" w:hAnsi="Arial" w:cs="Arial"/>
          <w:color w:val="000000" w:themeColor="text1"/>
          <w:sz w:val="22"/>
          <w:szCs w:val="22"/>
        </w:rPr>
        <w:t xml:space="preserve"> processed using the procedure as described </w:t>
      </w:r>
      <w:r>
        <w:rPr>
          <w:rFonts w:ascii="Arial" w:hAnsi="Arial" w:cs="Arial"/>
          <w:color w:val="000000" w:themeColor="text1"/>
          <w:sz w:val="22"/>
          <w:szCs w:val="22"/>
        </w:rPr>
        <w:t>below</w:t>
      </w:r>
      <w:r w:rsidRPr="0002326A">
        <w:rPr>
          <w:rFonts w:ascii="Arial" w:hAnsi="Arial" w:cs="Arial"/>
          <w:color w:val="000000" w:themeColor="text1"/>
          <w:sz w:val="22"/>
          <w:szCs w:val="22"/>
        </w:rPr>
        <w:t xml:space="preserve"> to form a UMAP. Immune cells were identified using canonical markers for lineage and were then isolated. Isolated immune cells for normal renal parenchyma were: RCC1 (n=1,011), RCC2 (n=888), and RCC3 (n=1,757).</w:t>
      </w:r>
    </w:p>
    <w:p w14:paraId="018624E5" w14:textId="77777777" w:rsidR="004B43AC" w:rsidRPr="0002326A" w:rsidRDefault="004B43AC" w:rsidP="004B43AC">
      <w:pPr>
        <w:spacing w:line="480" w:lineRule="auto"/>
        <w:jc w:val="both"/>
        <w:rPr>
          <w:rFonts w:ascii="Arial" w:hAnsi="Arial" w:cs="Arial"/>
          <w:sz w:val="22"/>
          <w:szCs w:val="22"/>
        </w:rPr>
      </w:pPr>
    </w:p>
    <w:p w14:paraId="12422017" w14:textId="77777777" w:rsidR="004B43AC" w:rsidRPr="0002326A" w:rsidRDefault="004B43AC" w:rsidP="004B43AC">
      <w:pPr>
        <w:spacing w:line="480" w:lineRule="auto"/>
        <w:jc w:val="both"/>
        <w:rPr>
          <w:rFonts w:ascii="Arial" w:hAnsi="Arial" w:cs="Arial"/>
          <w:i/>
          <w:sz w:val="22"/>
          <w:szCs w:val="22"/>
        </w:rPr>
      </w:pPr>
      <w:r w:rsidRPr="0002326A">
        <w:rPr>
          <w:rFonts w:ascii="Arial" w:hAnsi="Arial" w:cs="Arial"/>
          <w:i/>
          <w:sz w:val="22"/>
          <w:szCs w:val="22"/>
        </w:rPr>
        <w:t xml:space="preserve">SCRS Integration </w:t>
      </w:r>
    </w:p>
    <w:p w14:paraId="0DD5BCFF" w14:textId="0D715226" w:rsidR="004B43AC" w:rsidRPr="0002326A" w:rsidRDefault="004B43AC" w:rsidP="004B43AC">
      <w:pPr>
        <w:spacing w:line="480" w:lineRule="auto"/>
        <w:jc w:val="both"/>
        <w:rPr>
          <w:rFonts w:ascii="Arial" w:hAnsi="Arial" w:cs="Arial"/>
          <w:iCs/>
          <w:sz w:val="22"/>
          <w:szCs w:val="22"/>
        </w:rPr>
      </w:pPr>
      <w:r w:rsidRPr="0002326A">
        <w:rPr>
          <w:rFonts w:ascii="Arial" w:hAnsi="Arial" w:cs="Arial"/>
          <w:sz w:val="22"/>
          <w:szCs w:val="22"/>
        </w:rPr>
        <w:t xml:space="preserve">Initial processing of cells isolated from ccRCC patients; Patient 1 (n=10,694), Patient 2 (n=5,174) and Patient 3 (n=9,805) were processed and integrated with the above samples using the Seurat R package (v3.0.2)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7","issued":{"date-parts":[["2019"]]},"page":"1888-1902","title":"Comprehensive Integration of Single-Cell Data","type":"article-journal","volume":"177"},"uris":["http://www.mendeley.com/documents/?uuid=cef096b8-4dc5-41ae-acf3-6a8252e6aa5b"]},{"id":"ITEM-2","itemData":{"DOI":"10.1038/nbt.4096","ISSN":"15461696","PMID":"29608179","abstract":"Computational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Biotechnology","id":"ITEM-2","issue":"5","issued":{"date-parts":[["2018"]]},"page":"411-420","title":"Integrating single-cell transcriptomic data across different conditions, technologies, and species","type":"article-journal","volume":"36"},"uris":["http://www.mendeley.com/documents/?uuid=3ec804de-8b99-476d-8ab6-32ea16543dde"]}],"mendeley":{"formattedCitation":"(32,33)","plainTextFormattedCitation":"(32,33)","previouslyFormattedCitation":"(32,33)"},"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(32,33)</w:t>
      </w:r>
      <w:r w:rsidRPr="0002326A">
        <w:rPr>
          <w:rFonts w:ascii="Arial" w:hAnsi="Arial" w:cs="Arial"/>
          <w:sz w:val="22"/>
          <w:szCs w:val="22"/>
        </w:rPr>
        <w:fldChar w:fldCharType="end"/>
      </w:r>
      <w:r w:rsidRPr="0002326A">
        <w:rPr>
          <w:rFonts w:ascii="Arial" w:hAnsi="Arial" w:cs="Arial"/>
          <w:sz w:val="22"/>
          <w:szCs w:val="22"/>
        </w:rPr>
        <w:t xml:space="preserve">. Samples were normalized using the </w:t>
      </w:r>
      <w:r w:rsidRPr="0002326A">
        <w:rPr>
          <w:rFonts w:ascii="Arial" w:hAnsi="Arial" w:cs="Arial"/>
          <w:i/>
          <w:iCs/>
          <w:sz w:val="22"/>
          <w:szCs w:val="22"/>
        </w:rPr>
        <w:t>SCTtransform</w:t>
      </w:r>
      <w:r w:rsidRPr="0002326A">
        <w:rPr>
          <w:rFonts w:ascii="Arial" w:hAnsi="Arial" w:cs="Arial"/>
          <w:sz w:val="22"/>
          <w:szCs w:val="22"/>
        </w:rPr>
        <w:t xml:space="preserve"> approach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Biology","id":"ITEM-1","issue":"1","issued":{"date-parts":[["2019"]]},"page":"1-15","title":"Normalization and variance stabilization of single-cell RNA-seq data using regularized negative binomial regression","type":"article-journal","volume":"20"},"uris":["http://www.mendeley.com/documents/?uuid=778fd3cf-fa1c-4a40-9662-789c9143c89f"]}],"mendeley":{"formattedCitation":"(34)","plainTextFormattedCitation":"(34)","previouslyFormattedCitation":"(34)"},"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(34)</w:t>
      </w:r>
      <w:r w:rsidRPr="0002326A">
        <w:rPr>
          <w:rFonts w:ascii="Arial" w:hAnsi="Arial" w:cs="Arial"/>
          <w:sz w:val="22"/>
          <w:szCs w:val="22"/>
        </w:rPr>
        <w:fldChar w:fldCharType="end"/>
      </w:r>
      <w:r w:rsidRPr="0002326A">
        <w:rPr>
          <w:rFonts w:ascii="Arial" w:hAnsi="Arial" w:cs="Arial"/>
          <w:sz w:val="22"/>
          <w:szCs w:val="22"/>
        </w:rPr>
        <w:t xml:space="preserve"> with default settings. Preparation for integration used 3,000 anchor features and </w:t>
      </w:r>
      <w:r w:rsidRPr="0002326A">
        <w:rPr>
          <w:rFonts w:ascii="Arial" w:hAnsi="Arial" w:cs="Arial"/>
          <w:i/>
          <w:iCs/>
          <w:sz w:val="22"/>
          <w:szCs w:val="22"/>
        </w:rPr>
        <w:t>PrepSCTIntegration</w:t>
      </w:r>
      <w:r w:rsidRPr="0002326A">
        <w:rPr>
          <w:rFonts w:ascii="Arial" w:hAnsi="Arial" w:cs="Arial"/>
          <w:sz w:val="22"/>
          <w:szCs w:val="22"/>
        </w:rPr>
        <w:t xml:space="preserve">. The integration of sequencing runs occurred with the SCT-transformed data. The dimensional reduction to form the UMAP utilized the top 30 calculated dimensions and a resolution of 0.7. Data characteristics by sequencing run can be found in Supplemental Table 1. </w:t>
      </w:r>
      <w:r w:rsidRPr="0002326A">
        <w:rPr>
          <w:rFonts w:ascii="Arial" w:hAnsi="Arial" w:cs="Arial"/>
          <w:iCs/>
          <w:sz w:val="22"/>
          <w:szCs w:val="22"/>
        </w:rPr>
        <w:t xml:space="preserve">Cell type subclustering used the SCTtransform approach as described above, but integrating the </w:t>
      </w:r>
      <w:r w:rsidRPr="0002326A">
        <w:rPr>
          <w:rFonts w:ascii="Arial" w:hAnsi="Arial" w:cs="Arial"/>
          <w:iCs/>
          <w:sz w:val="22"/>
          <w:szCs w:val="22"/>
        </w:rPr>
        <w:lastRenderedPageBreak/>
        <w:t xml:space="preserve">data across samples instead of individual sequencing runs. The adjusted dimensional inputs for the subclustering analysis can be found in Supplemental Table 2. </w:t>
      </w:r>
    </w:p>
    <w:p w14:paraId="5BC028D0" w14:textId="77777777" w:rsidR="004B43AC" w:rsidRPr="0002326A" w:rsidRDefault="004B43AC" w:rsidP="004B43AC">
      <w:pPr>
        <w:spacing w:line="480" w:lineRule="auto"/>
        <w:jc w:val="both"/>
        <w:rPr>
          <w:rFonts w:ascii="Arial" w:hAnsi="Arial" w:cs="Arial"/>
          <w:sz w:val="22"/>
          <w:szCs w:val="22"/>
        </w:rPr>
      </w:pPr>
    </w:p>
    <w:p w14:paraId="75EA8F29" w14:textId="77777777" w:rsidR="004B43AC" w:rsidRPr="0002326A" w:rsidRDefault="004B43AC" w:rsidP="004B43AC">
      <w:pPr>
        <w:spacing w:line="480" w:lineRule="auto"/>
        <w:jc w:val="both"/>
        <w:rPr>
          <w:rFonts w:ascii="Arial" w:hAnsi="Arial" w:cs="Arial"/>
          <w:i/>
          <w:iCs/>
          <w:sz w:val="22"/>
          <w:szCs w:val="22"/>
        </w:rPr>
      </w:pPr>
      <w:r w:rsidRPr="0002326A">
        <w:rPr>
          <w:rFonts w:ascii="Arial" w:hAnsi="Arial" w:cs="Arial"/>
          <w:i/>
          <w:iCs/>
          <w:sz w:val="22"/>
          <w:szCs w:val="22"/>
        </w:rPr>
        <w:t>SCRS Data Analysis and Visualizations</w:t>
      </w:r>
    </w:p>
    <w:p w14:paraId="42830717" w14:textId="46C182C0" w:rsidR="004B43AC" w:rsidRPr="0002326A" w:rsidRDefault="004B43AC" w:rsidP="004B43AC">
      <w:pPr>
        <w:spacing w:line="480" w:lineRule="auto"/>
        <w:jc w:val="both"/>
        <w:rPr>
          <w:rFonts w:ascii="Arial" w:hAnsi="Arial" w:cs="Arial"/>
          <w:sz w:val="22"/>
          <w:szCs w:val="22"/>
        </w:rPr>
      </w:pPr>
      <w:r w:rsidRPr="0002326A">
        <w:rPr>
          <w:rFonts w:ascii="Arial" w:hAnsi="Arial" w:cs="Arial"/>
          <w:sz w:val="22"/>
          <w:szCs w:val="22"/>
        </w:rPr>
        <w:t xml:space="preserve">The schex R package (v1.1.5) was used to visualize mRNA expression of lineage-specific or highly differential markers by converting the UMAP manifold into hexbin quantifications of the proportion of single-cells with the indicated gene expressed. Default bins across all cells was 80 and 40 for subcluster analyses, unless otherwise indicated in the figure legend. Differential gene expression utilized the Wilcoxon rank sum test on count-level mRNA data. For differential gene expression across clusters or subclusters, </w:t>
      </w:r>
      <w:r w:rsidRPr="0002326A">
        <w:rPr>
          <w:rFonts w:ascii="Arial" w:hAnsi="Arial" w:cs="Arial"/>
          <w:i/>
          <w:iCs/>
          <w:sz w:val="22"/>
          <w:szCs w:val="22"/>
        </w:rPr>
        <w:t>FindAllMarkers</w:t>
      </w:r>
      <w:r w:rsidRPr="0002326A">
        <w:rPr>
          <w:rFonts w:ascii="Arial" w:hAnsi="Arial" w:cs="Arial"/>
          <w:sz w:val="22"/>
          <w:szCs w:val="22"/>
        </w:rPr>
        <w:t xml:space="preserve"> function in the Seurat package using the log-fold change threshold &gt; 0.25, minimum group percentage = 10%, and the pseudocount = 0.1. Differential comparisons between condition</w:t>
      </w:r>
      <w:r>
        <w:rPr>
          <w:rFonts w:ascii="Arial" w:hAnsi="Arial" w:cs="Arial"/>
          <w:sz w:val="22"/>
          <w:szCs w:val="22"/>
        </w:rPr>
        <w:t>s</w:t>
      </w:r>
      <w:r w:rsidRPr="0002326A">
        <w:rPr>
          <w:rFonts w:ascii="Arial" w:hAnsi="Arial" w:cs="Arial"/>
          <w:sz w:val="22"/>
          <w:szCs w:val="22"/>
        </w:rPr>
        <w:t xml:space="preserve"> utilized the </w:t>
      </w:r>
      <w:r w:rsidRPr="0002326A">
        <w:rPr>
          <w:rFonts w:ascii="Arial" w:hAnsi="Arial" w:cs="Arial"/>
          <w:i/>
          <w:iCs/>
          <w:sz w:val="22"/>
          <w:szCs w:val="22"/>
        </w:rPr>
        <w:t>FindMarkers</w:t>
      </w:r>
      <w:r w:rsidRPr="0002326A">
        <w:rPr>
          <w:rFonts w:ascii="Arial" w:hAnsi="Arial" w:cs="Arial"/>
          <w:sz w:val="22"/>
          <w:szCs w:val="22"/>
        </w:rPr>
        <w:t xml:space="preserve"> function in Seurat, without filtering and a pseudocount = 0.1. Multiple hypothesis correction was reported using the Bonferroni method. Cell cycle regression was performed in Seurat using the </w:t>
      </w:r>
      <w:r w:rsidRPr="0002326A">
        <w:rPr>
          <w:rFonts w:ascii="Arial" w:hAnsi="Arial" w:cs="Arial"/>
          <w:i/>
          <w:iCs/>
          <w:sz w:val="22"/>
          <w:szCs w:val="22"/>
        </w:rPr>
        <w:t>CellCycleScoring</w:t>
      </w:r>
      <w:r w:rsidRPr="0002326A">
        <w:rPr>
          <w:rFonts w:ascii="Arial" w:hAnsi="Arial" w:cs="Arial"/>
          <w:sz w:val="22"/>
          <w:szCs w:val="22"/>
        </w:rPr>
        <w:t xml:space="preserve"> function and genes derived from Nestorowa et alia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8","issued":{"date-parts":[["2016"]]},"page":"e20-31","title":"A single-cell resolution map of mouse hematopoietic stem and progenitor cell differentiation","type":"article-journal","volume":"128"},"uris":["http://www.mendeley.com/documents/?uuid=242a1c4a-41c1-4e5d-908a-19c7032e2876"]}],"mendeley":{"formattedCitation":"(35)","plainTextFormattedCitation":"(35)","previouslyFormattedCitation":"(35)"},"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(35)</w:t>
      </w:r>
      <w:r w:rsidRPr="0002326A">
        <w:rPr>
          <w:rFonts w:ascii="Arial" w:hAnsi="Arial" w:cs="Arial"/>
          <w:sz w:val="22"/>
          <w:szCs w:val="22"/>
        </w:rPr>
        <w:fldChar w:fldCharType="end"/>
      </w:r>
      <w:r w:rsidRPr="0002326A">
        <w:rPr>
          <w:rFonts w:ascii="Arial" w:hAnsi="Arial" w:cs="Arial"/>
          <w:sz w:val="22"/>
          <w:szCs w:val="22"/>
        </w:rPr>
        <w:t xml:space="preserve">. Genes were isolated by calling </w:t>
      </w:r>
      <w:r w:rsidRPr="0002326A">
        <w:rPr>
          <w:rFonts w:ascii="Arial" w:hAnsi="Arial" w:cs="Arial"/>
          <w:i/>
          <w:iCs/>
          <w:sz w:val="22"/>
          <w:szCs w:val="22"/>
        </w:rPr>
        <w:t>cc.genes.updated.2019</w:t>
      </w:r>
      <w:r w:rsidRPr="0002326A">
        <w:rPr>
          <w:rFonts w:ascii="Arial" w:hAnsi="Arial" w:cs="Arial"/>
          <w:sz w:val="22"/>
          <w:szCs w:val="22"/>
        </w:rPr>
        <w:t xml:space="preserve"> in R.</w:t>
      </w:r>
      <w:r w:rsidRPr="0002326A">
        <w:rPr>
          <w:rFonts w:ascii="Arial" w:hAnsi="Arial" w:cs="Arial"/>
          <w:i/>
          <w:iCs/>
          <w:sz w:val="22"/>
          <w:szCs w:val="22"/>
        </w:rPr>
        <w:t xml:space="preserve"> </w:t>
      </w:r>
    </w:p>
    <w:p w14:paraId="37B3C61D" w14:textId="77777777" w:rsidR="004B43AC" w:rsidRPr="0002326A" w:rsidRDefault="004B43AC" w:rsidP="004B43AC">
      <w:pPr>
        <w:spacing w:line="480" w:lineRule="auto"/>
        <w:jc w:val="both"/>
        <w:rPr>
          <w:rFonts w:ascii="Arial" w:hAnsi="Arial" w:cs="Arial"/>
          <w:i/>
          <w:iCs/>
          <w:sz w:val="22"/>
          <w:szCs w:val="22"/>
        </w:rPr>
      </w:pPr>
    </w:p>
    <w:p w14:paraId="06C40853" w14:textId="2A37F31C" w:rsidR="004B43AC" w:rsidRPr="0002326A" w:rsidRDefault="004B43AC" w:rsidP="004B43AC">
      <w:pPr>
        <w:spacing w:line="480" w:lineRule="auto"/>
        <w:jc w:val="both"/>
        <w:rPr>
          <w:rFonts w:ascii="Arial" w:hAnsi="Arial" w:cs="Arial"/>
          <w:sz w:val="22"/>
          <w:szCs w:val="22"/>
        </w:rPr>
      </w:pPr>
      <w:r w:rsidRPr="0002326A">
        <w:rPr>
          <w:rFonts w:ascii="Arial" w:hAnsi="Arial" w:cs="Arial"/>
          <w:sz w:val="22"/>
          <w:szCs w:val="22"/>
        </w:rPr>
        <w:t xml:space="preserve">Cell type identification utilized the SingleR (v1.0.1) R package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Immunology","id":"ITEM-1","issue":"2","issued":{"date-parts":[["2019"]]},"page":"163-172","title":"Reference-based analysis of lung single-cell sequencing reveals a transitional profibrotic macrophage","type":"article-journal","volume":"20"},"uris":["http://www.mendeley.com/documents/?uuid=df8983c1-5e53-4284-aa51-753a9ca85a3a"]}],"mendeley":{"formattedCitation":"(36)","plainTextFormattedCitation":"(36)","previouslyFormattedCitation":"(36)"},"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(36)</w:t>
      </w:r>
      <w:r w:rsidRPr="0002326A">
        <w:rPr>
          <w:rFonts w:ascii="Arial" w:hAnsi="Arial" w:cs="Arial"/>
          <w:sz w:val="22"/>
          <w:szCs w:val="22"/>
        </w:rPr>
        <w:fldChar w:fldCharType="end"/>
      </w:r>
      <w:r w:rsidRPr="0002326A">
        <w:rPr>
          <w:rFonts w:ascii="Arial" w:hAnsi="Arial" w:cs="Arial"/>
          <w:sz w:val="22"/>
          <w:szCs w:val="22"/>
        </w:rPr>
        <w:t xml:space="preserve"> with correlations of the single-cell expression values with transcriptional profiles from pure cell populations in the ENCODE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7414","issued":{"date-parts":[["2012"]]},"page":"57-74","title":"An integrated encyclopedia of DNA elements in the human genome","type":"article-journal","volume":"489"},"uris":["http://www.mendeley.com/documents/?uuid=8f2ef698-e22c-4cd7-bb5d-4d042edca2a1"]}],"mendeley":{"formattedCitation":"(37)","plainTextFormattedCitation":"(37)","previouslyFormattedCitation":"(37)"},"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(37)</w:t>
      </w:r>
      <w:r w:rsidRPr="0002326A">
        <w:rPr>
          <w:rFonts w:ascii="Arial" w:hAnsi="Arial" w:cs="Arial"/>
          <w:sz w:val="22"/>
          <w:szCs w:val="22"/>
        </w:rPr>
        <w:fldChar w:fldCharType="end"/>
      </w:r>
      <w:r w:rsidRPr="0002326A">
        <w:rPr>
          <w:rFonts w:ascii="Arial" w:hAnsi="Arial" w:cs="Arial"/>
          <w:sz w:val="22"/>
          <w:szCs w:val="22"/>
        </w:rPr>
        <w:t xml:space="preserve">. In addition to correlations, canonical markers for cell lineages (Supplemental Table 3) and corresponding TCR sequences were used. Gene set enrichment analysis was performed using the escape R package (v0.99.0). Gene sets were derived from the Hallmark library of the Molecular Signature Database and from previous publications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4","issued":{"date-parts":[["2018"]]},"page":"998-1013","title":"Defining T Cell States Associated with Response to Checkpoint Immunotherapy in Melanoma","type":"article-journal","volume":"175"},"uris":["http://www.mendeley.com/documents/?uuid=a97c59a3-ef47-4172-bbdb-962df07fd5f0"]}],"mendeley":{"formattedCitation":"(22,25)","plainTextFormattedCitation":"(22,25)","previouslyFormattedCitation":"(22,25)"},"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(22,25)</w:t>
      </w:r>
      <w:r w:rsidRPr="0002326A">
        <w:rPr>
          <w:rFonts w:ascii="Arial" w:hAnsi="Arial" w:cs="Arial"/>
          <w:sz w:val="22"/>
          <w:szCs w:val="22"/>
        </w:rPr>
        <w:fldChar w:fldCharType="end"/>
      </w:r>
      <w:r w:rsidRPr="0002326A">
        <w:rPr>
          <w:rFonts w:ascii="Arial" w:hAnsi="Arial" w:cs="Arial"/>
          <w:sz w:val="22"/>
          <w:szCs w:val="22"/>
        </w:rPr>
        <w:t>. Enrichment for anti-PD-1 therapy response was derived from Sade-Feldmen et alia to develop gene signatures for the CD8_B (nonresponsive) and CD8_G (responsive) single-cell populations</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(22)</w:t>
      </w:r>
      <w:r w:rsidRPr="0002326A">
        <w:rPr>
          <w:rFonts w:ascii="Arial" w:hAnsi="Arial" w:cs="Arial"/>
          <w:sz w:val="22"/>
          <w:szCs w:val="22"/>
        </w:rPr>
        <w:fldChar w:fldCharType="end"/>
      </w:r>
      <w:r w:rsidRPr="0002326A">
        <w:rPr>
          <w:rFonts w:ascii="Arial" w:hAnsi="Arial" w:cs="Arial"/>
          <w:sz w:val="22"/>
          <w:szCs w:val="22"/>
        </w:rPr>
        <w:t>.</w:t>
      </w:r>
      <w:r w:rsidR="00B7170F">
        <w:rPr>
          <w:rFonts w:ascii="Arial" w:hAnsi="Arial" w:cs="Arial"/>
          <w:sz w:val="22"/>
          <w:szCs w:val="22"/>
        </w:rPr>
        <w:t xml:space="preserve"> </w:t>
      </w:r>
      <w:r w:rsidRPr="0002326A">
        <w:rPr>
          <w:rFonts w:ascii="Arial" w:hAnsi="Arial" w:cs="Arial"/>
          <w:sz w:val="22"/>
          <w:szCs w:val="22"/>
        </w:rPr>
        <w:t xml:space="preserve">TCR analysis utilized our previously described scRepertoire R package (v0.99.3)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{"citationItems":[{"id":"ITEM-1","itemData":{"DOI":"10.12688/f1000research.22139.1","ISSN":"2046-1402","abstract":"Single-cell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package.","author":[{"dropping-particle":"","family":"Borcherding","given":"Nicholas","non-dropping-particle":"","parse-names":false,"suffix":""},{"dropping-particle":"","family":"Bormann","given":"Nicholas L.","non-dropping-particle":"","parse-names":false,"suffix":""}],"container-title":"F1000Research","id":"ITEM-1","issue":"47","issued":{"date-parts":[["2020"]]},"page":"47","title":"scRepertoire: An R-based toolkit for single-cell immune receptor analysis","type":"article-journal","volume":"9"},"uris":["http://www.mendeley.com/documents/?uuid=664c1716-88eb-4e48-aa90-e7eb3e65288e"]}],"mendeley":{"formattedCitation":"(38)","plainTextFormattedCitation":"(38)","previouslyFormattedCitation":"(38)"},"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(38)</w:t>
      </w:r>
      <w:r w:rsidRPr="0002326A">
        <w:rPr>
          <w:rFonts w:ascii="Arial" w:hAnsi="Arial" w:cs="Arial"/>
          <w:sz w:val="22"/>
          <w:szCs w:val="22"/>
        </w:rPr>
        <w:fldChar w:fldCharType="end"/>
      </w:r>
      <w:r w:rsidRPr="0002326A">
        <w:rPr>
          <w:rFonts w:ascii="Arial" w:hAnsi="Arial" w:cs="Arial"/>
          <w:sz w:val="22"/>
          <w:szCs w:val="22"/>
        </w:rPr>
        <w:t xml:space="preserve"> with clonotype being </w:t>
      </w:r>
      <w:r w:rsidRPr="0002326A">
        <w:rPr>
          <w:rFonts w:ascii="Arial" w:hAnsi="Arial" w:cs="Arial"/>
          <w:sz w:val="22"/>
          <w:szCs w:val="22"/>
        </w:rPr>
        <w:lastRenderedPageBreak/>
        <w:t xml:space="preserve">defined as the combination of the gene components of the VDJ and the nucleotide sequence for both chains and assigned on the integrated Seurat object. Cell trajectory analysis used the slingshot (v1.6.0) R package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(39)</w:t>
      </w:r>
      <w:r w:rsidRPr="0002326A">
        <w:rPr>
          <w:rFonts w:ascii="Arial" w:hAnsi="Arial" w:cs="Arial"/>
          <w:sz w:val="22"/>
          <w:szCs w:val="22"/>
        </w:rPr>
        <w:fldChar w:fldCharType="end"/>
      </w:r>
      <w:r w:rsidRPr="0002326A">
        <w:rPr>
          <w:rFonts w:ascii="Arial" w:hAnsi="Arial" w:cs="Arial"/>
          <w:sz w:val="22"/>
          <w:szCs w:val="22"/>
        </w:rPr>
        <w:t xml:space="preserve"> with default settings for the </w:t>
      </w:r>
      <w:r w:rsidRPr="0002326A">
        <w:rPr>
          <w:rFonts w:ascii="Arial" w:hAnsi="Arial" w:cs="Arial"/>
          <w:i/>
          <w:iCs/>
          <w:sz w:val="22"/>
          <w:szCs w:val="22"/>
        </w:rPr>
        <w:t>slingshot</w:t>
      </w:r>
      <w:r w:rsidRPr="0002326A">
        <w:rPr>
          <w:rFonts w:ascii="Arial" w:hAnsi="Arial" w:cs="Arial"/>
          <w:sz w:val="22"/>
          <w:szCs w:val="22"/>
        </w:rPr>
        <w:t xml:space="preserve"> function and using the embedding from the subclustering for each cell type. Inferred start and end clusters were applied in the CD8</w:t>
      </w:r>
      <w:r w:rsidRPr="0002326A">
        <w:rPr>
          <w:rFonts w:ascii="Arial" w:hAnsi="Arial" w:cs="Arial"/>
          <w:sz w:val="22"/>
          <w:szCs w:val="22"/>
          <w:vertAlign w:val="superscript"/>
        </w:rPr>
        <w:t>+</w:t>
      </w:r>
      <w:r w:rsidRPr="0002326A">
        <w:rPr>
          <w:rFonts w:ascii="Arial" w:hAnsi="Arial" w:cs="Arial"/>
          <w:sz w:val="22"/>
          <w:szCs w:val="22"/>
        </w:rPr>
        <w:t xml:space="preserve"> T cell trajectory based on gene expression markers. Ranked importance of genes were calculated using the top 300 variable genes and rsample (v0.0.9) and tidymodels (v0.1.0) R packages were used to generate random forest model</w:t>
      </w:r>
      <w:r>
        <w:rPr>
          <w:rFonts w:ascii="Arial" w:hAnsi="Arial" w:cs="Arial"/>
          <w:sz w:val="22"/>
          <w:szCs w:val="22"/>
        </w:rPr>
        <w:t>s</w:t>
      </w:r>
      <w:r w:rsidRPr="0002326A">
        <w:rPr>
          <w:rFonts w:ascii="Arial" w:hAnsi="Arial" w:cs="Arial"/>
          <w:sz w:val="22"/>
          <w:szCs w:val="22"/>
        </w:rPr>
        <w:t xml:space="preserve"> based on a training data set of 75% of the cells. The </w:t>
      </w:r>
      <w:r w:rsidRPr="0002326A">
        <w:rPr>
          <w:rFonts w:ascii="Arial" w:hAnsi="Arial" w:cs="Arial"/>
          <w:i/>
          <w:iCs/>
          <w:sz w:val="22"/>
          <w:szCs w:val="22"/>
        </w:rPr>
        <w:t>rand_forest</w:t>
      </w:r>
      <w:r w:rsidRPr="0002326A">
        <w:rPr>
          <w:rFonts w:ascii="Arial" w:hAnsi="Arial" w:cs="Arial"/>
          <w:sz w:val="22"/>
          <w:szCs w:val="22"/>
        </w:rPr>
        <w:t xml:space="preserve"> function in the parsnip (v0.1.1) R package was used, with mtry set to 200, trees to 1400, and minimum number of data points in a node equal to 15 across all cell types. The code for all analysis is available at </w:t>
      </w:r>
      <w:hyperlink r:id="rId9" w:history="1">
        <w:r w:rsidRPr="0002326A">
          <w:rPr>
            <w:rStyle w:val="Hyperlink"/>
            <w:rFonts w:ascii="Arial" w:hAnsi="Arial" w:cs="Arial"/>
            <w:sz w:val="22"/>
            <w:szCs w:val="22"/>
          </w:rPr>
          <w:t>https://github.com/ncborcherding/ccRCC</w:t>
        </w:r>
      </w:hyperlink>
      <w:r w:rsidRPr="0002326A">
        <w:rPr>
          <w:rFonts w:ascii="Arial" w:hAnsi="Arial" w:cs="Arial"/>
          <w:sz w:val="22"/>
          <w:szCs w:val="22"/>
        </w:rPr>
        <w:t>.</w:t>
      </w:r>
    </w:p>
    <w:p w14:paraId="29801E10" w14:textId="77777777" w:rsidR="004B43AC" w:rsidRPr="0002326A" w:rsidRDefault="004B43AC" w:rsidP="004B43AC">
      <w:pPr>
        <w:spacing w:line="480" w:lineRule="auto"/>
        <w:jc w:val="both"/>
        <w:rPr>
          <w:rFonts w:ascii="Arial" w:hAnsi="Arial" w:cs="Arial"/>
          <w:sz w:val="22"/>
          <w:szCs w:val="22"/>
        </w:rPr>
      </w:pPr>
    </w:p>
    <w:p w14:paraId="330E1159" w14:textId="77777777" w:rsidR="004B43AC" w:rsidRPr="0002326A" w:rsidRDefault="004B43AC" w:rsidP="004B43AC">
      <w:pPr>
        <w:spacing w:line="480" w:lineRule="auto"/>
        <w:rPr>
          <w:rFonts w:ascii="Arial" w:hAnsi="Arial" w:cs="Arial"/>
          <w:i/>
          <w:color w:val="000000"/>
          <w:sz w:val="22"/>
          <w:szCs w:val="22"/>
        </w:rPr>
      </w:pPr>
      <w:r w:rsidRPr="0002326A">
        <w:rPr>
          <w:rFonts w:ascii="Arial" w:hAnsi="Arial" w:cs="Arial"/>
          <w:i/>
          <w:color w:val="000000"/>
          <w:sz w:val="22"/>
          <w:szCs w:val="22"/>
        </w:rPr>
        <w:t>Statistical Analysis</w:t>
      </w:r>
    </w:p>
    <w:p w14:paraId="3DBC4C63"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Statistical Analyses were performed in R (v4.0.1). Two-sample significance testing utilized Welch’s T test, with significance testing for more than three samples utilizing one-way analysis of variance (ANOVA) with Tukey honest significance determination for correcting multiple comparisons. </w:t>
      </w:r>
    </w:p>
    <w:p w14:paraId="4E9E0659" w14:textId="77777777" w:rsidR="00741BCA" w:rsidRPr="0002326A" w:rsidRDefault="00741BCA" w:rsidP="00F72CA7">
      <w:pPr>
        <w:pStyle w:val="Paragraph"/>
        <w:snapToGrid w:val="0"/>
        <w:ind w:firstLine="0"/>
        <w:rPr>
          <w:rFonts w:ascii="Arial" w:hAnsi="Arial" w:cs="Arial"/>
          <w:b/>
          <w:bCs/>
          <w:color w:val="000000"/>
          <w:sz w:val="22"/>
          <w:szCs w:val="22"/>
        </w:rPr>
      </w:pPr>
    </w:p>
    <w:p w14:paraId="326811EC" w14:textId="20000B51" w:rsidR="00F72CA7" w:rsidRPr="0002326A" w:rsidRDefault="00F72CA7" w:rsidP="00F72CA7">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Results</w:t>
      </w:r>
    </w:p>
    <w:p w14:paraId="3CBEEF61" w14:textId="130B2F5B" w:rsidR="000C0095" w:rsidRPr="0002326A" w:rsidRDefault="000C0095" w:rsidP="000C0095">
      <w:pPr>
        <w:pStyle w:val="Paragraph"/>
        <w:snapToGrid w:val="0"/>
        <w:spacing w:line="480" w:lineRule="auto"/>
        <w:ind w:firstLine="0"/>
        <w:rPr>
          <w:rFonts w:ascii="Arial" w:hAnsi="Arial" w:cs="Arial"/>
          <w:i/>
          <w:iCs/>
          <w:color w:val="000000"/>
          <w:sz w:val="22"/>
          <w:szCs w:val="22"/>
        </w:rPr>
      </w:pPr>
      <w:r w:rsidRPr="0002326A">
        <w:rPr>
          <w:rFonts w:ascii="Arial" w:hAnsi="Arial" w:cs="Arial"/>
          <w:i/>
          <w:iCs/>
          <w:color w:val="000000"/>
          <w:sz w:val="22"/>
          <w:szCs w:val="22"/>
        </w:rPr>
        <w:t>Single-cell expression profiling of immune cells in ccRCC.</w:t>
      </w:r>
    </w:p>
    <w:p w14:paraId="7376CAA5" w14:textId="536C7443" w:rsidR="000C0095" w:rsidRDefault="00F72CA7" w:rsidP="00452042">
      <w:pPr>
        <w:spacing w:line="480" w:lineRule="auto"/>
        <w:rPr>
          <w:rFonts w:ascii="Arial" w:hAnsi="Arial" w:cs="Arial"/>
          <w:sz w:val="22"/>
          <w:szCs w:val="22"/>
        </w:rPr>
      </w:pPr>
      <w:r w:rsidRPr="0002326A">
        <w:rPr>
          <w:rFonts w:ascii="Arial" w:hAnsi="Arial" w:cs="Arial"/>
          <w:color w:val="000000"/>
          <w:sz w:val="22"/>
          <w:szCs w:val="22"/>
        </w:rPr>
        <w:t>In order to define the immune microenvironment of human ccRCC, we obtained tumor and peripheral blood specimen</w:t>
      </w:r>
      <w:r w:rsidR="00D710B8">
        <w:rPr>
          <w:rFonts w:ascii="Arial" w:hAnsi="Arial" w:cs="Arial"/>
          <w:color w:val="000000"/>
          <w:sz w:val="22"/>
          <w:szCs w:val="22"/>
        </w:rPr>
        <w:t>s</w:t>
      </w:r>
      <w:r w:rsidRPr="0002326A">
        <w:rPr>
          <w:rFonts w:ascii="Arial" w:hAnsi="Arial" w:cs="Arial"/>
          <w:color w:val="000000"/>
          <w:sz w:val="22"/>
          <w:szCs w:val="22"/>
        </w:rPr>
        <w:t xml:space="preserve"> of three treatment-naïve ccRCC patients and subject flow-sorted lymphoid and myeloid cells to SCRS.</w:t>
      </w:r>
      <w:r w:rsidR="00741BCA" w:rsidRPr="0002326A">
        <w:rPr>
          <w:rFonts w:ascii="Arial" w:hAnsi="Arial" w:cs="Arial"/>
          <w:color w:val="000000"/>
          <w:sz w:val="22"/>
          <w:szCs w:val="22"/>
        </w:rPr>
        <w:t xml:space="preserve"> The general workflow for isolation and sequencing is available in Supplemental Figure 1.</w:t>
      </w:r>
      <w:r w:rsidRPr="0002326A">
        <w:rPr>
          <w:rFonts w:ascii="Arial" w:hAnsi="Arial" w:cs="Arial"/>
          <w:color w:val="000000"/>
          <w:sz w:val="22"/>
          <w:szCs w:val="22"/>
        </w:rPr>
        <w:t xml:space="preserve"> To these samples, we added immune cells from peripheral blood and normal renal parenchyma </w:t>
      </w:r>
      <w:r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to obtain an integrated UMAP projection</w:t>
      </w:r>
      <w:r w:rsidR="00741BCA" w:rsidRPr="0002326A">
        <w:rPr>
          <w:rFonts w:ascii="Arial" w:hAnsi="Arial" w:cs="Arial"/>
          <w:color w:val="000000"/>
          <w:sz w:val="22"/>
          <w:szCs w:val="22"/>
        </w:rPr>
        <w:t xml:space="preserve"> of 22 clusters across 37,055 primary immune cells (Figure 1A). Across the three tissues, peripheral blood (n=21,160), tumor (n=12,239) and normal kidney (n=3,556), we</w:t>
      </w:r>
      <w:r w:rsidR="00D710B8">
        <w:rPr>
          <w:rFonts w:ascii="Arial" w:hAnsi="Arial" w:cs="Arial"/>
          <w:color w:val="000000"/>
          <w:sz w:val="22"/>
          <w:szCs w:val="22"/>
        </w:rPr>
        <w:t xml:space="preserve"> found</w:t>
      </w:r>
      <w:r w:rsidR="00741BCA" w:rsidRPr="0002326A">
        <w:rPr>
          <w:rFonts w:ascii="Arial" w:hAnsi="Arial" w:cs="Arial"/>
          <w:color w:val="000000"/>
          <w:sz w:val="22"/>
          <w:szCs w:val="22"/>
        </w:rPr>
        <w:t xml:space="preserve"> a number of clusters with </w:t>
      </w:r>
      <w:r w:rsidR="00741BCA" w:rsidRPr="0002326A">
        <w:rPr>
          <w:rFonts w:ascii="Arial" w:hAnsi="Arial" w:cs="Arial"/>
          <w:color w:val="000000"/>
          <w:sz w:val="22"/>
          <w:szCs w:val="22"/>
        </w:rPr>
        <w:lastRenderedPageBreak/>
        <w:t xml:space="preserve">similar gene expression notably in Clusters 0, 1, 3 and 7 (Figure 1B). </w:t>
      </w:r>
      <w:r w:rsidR="00E677C1" w:rsidRPr="0002326A">
        <w:rPr>
          <w:rFonts w:ascii="Arial" w:hAnsi="Arial" w:cs="Arial"/>
          <w:color w:val="000000"/>
          <w:sz w:val="22"/>
          <w:szCs w:val="22"/>
        </w:rPr>
        <w:t>Despite the integration of sequencing runs to reduce tissue-type divergence</w:t>
      </w:r>
      <w:r w:rsidR="00741BCA" w:rsidRPr="0002326A">
        <w:rPr>
          <w:rFonts w:ascii="Arial" w:hAnsi="Arial" w:cs="Arial"/>
          <w:color w:val="000000"/>
          <w:sz w:val="22"/>
          <w:szCs w:val="22"/>
        </w:rPr>
        <w:t>, each tissue type had</w:t>
      </w:r>
      <w:r w:rsidR="00CF5BEC" w:rsidRPr="0002326A">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02326A">
        <w:rPr>
          <w:rFonts w:ascii="Arial" w:hAnsi="Arial" w:cs="Arial"/>
          <w:i/>
          <w:iCs/>
          <w:color w:val="000000"/>
          <w:sz w:val="22"/>
          <w:szCs w:val="22"/>
        </w:rPr>
        <w:t>CD3E</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CD8A</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CD4</w:t>
      </w:r>
      <w:r w:rsidR="00CF5BEC" w:rsidRPr="0002326A">
        <w:rPr>
          <w:rFonts w:ascii="Arial" w:hAnsi="Arial" w:cs="Arial"/>
          <w:color w:val="000000"/>
          <w:sz w:val="22"/>
          <w:szCs w:val="22"/>
        </w:rPr>
        <w:t>, and</w:t>
      </w:r>
      <w:r w:rsidR="00E677C1" w:rsidRPr="0002326A">
        <w:rPr>
          <w:rFonts w:ascii="Arial" w:hAnsi="Arial" w:cs="Arial"/>
          <w:color w:val="000000"/>
          <w:sz w:val="22"/>
          <w:szCs w:val="22"/>
        </w:rPr>
        <w:t xml:space="preserve"> </w:t>
      </w:r>
      <w:r w:rsidR="00E677C1" w:rsidRPr="0002326A">
        <w:rPr>
          <w:rFonts w:ascii="Arial" w:hAnsi="Arial" w:cs="Arial"/>
          <w:i/>
          <w:iCs/>
          <w:color w:val="000000"/>
          <w:sz w:val="22"/>
          <w:szCs w:val="22"/>
        </w:rPr>
        <w:t>IL7R</w:t>
      </w:r>
      <w:r w:rsidR="00E677C1" w:rsidRPr="0002326A">
        <w:rPr>
          <w:rFonts w:ascii="Arial" w:hAnsi="Arial" w:cs="Arial"/>
          <w:color w:val="000000"/>
          <w:sz w:val="22"/>
          <w:szCs w:val="22"/>
        </w:rPr>
        <w:t xml:space="preserve"> or CD127</w:t>
      </w:r>
      <w:r w:rsidR="00CF5BEC" w:rsidRPr="0002326A">
        <w:rPr>
          <w:rFonts w:ascii="Arial" w:hAnsi="Arial" w:cs="Arial"/>
          <w:color w:val="000000"/>
          <w:sz w:val="22"/>
          <w:szCs w:val="22"/>
        </w:rPr>
        <w:t xml:space="preserve">), B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CD19</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MS4A1</w:t>
      </w:r>
      <w:r w:rsidR="00CF5BEC" w:rsidRPr="0002326A">
        <w:rPr>
          <w:rFonts w:ascii="Arial" w:hAnsi="Arial" w:cs="Arial"/>
          <w:color w:val="000000"/>
          <w:sz w:val="22"/>
          <w:szCs w:val="22"/>
        </w:rPr>
        <w:t xml:space="preserve">), </w:t>
      </w:r>
      <w:r w:rsidR="00E677C1" w:rsidRPr="0002326A">
        <w:rPr>
          <w:rFonts w:ascii="Arial" w:hAnsi="Arial" w:cs="Arial"/>
          <w:color w:val="000000"/>
          <w:sz w:val="22"/>
          <w:szCs w:val="22"/>
        </w:rPr>
        <w:t>m</w:t>
      </w:r>
      <w:r w:rsidR="00CF5BEC" w:rsidRPr="0002326A">
        <w:rPr>
          <w:rFonts w:ascii="Arial" w:hAnsi="Arial" w:cs="Arial"/>
          <w:color w:val="000000"/>
          <w:sz w:val="22"/>
          <w:szCs w:val="22"/>
        </w:rPr>
        <w:t xml:space="preserve">yeloid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CD14</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FCGR3A</w:t>
      </w:r>
      <w:r w:rsidR="00CF5BEC" w:rsidRPr="0002326A">
        <w:rPr>
          <w:rFonts w:ascii="Arial" w:hAnsi="Arial" w:cs="Arial"/>
          <w:color w:val="000000"/>
          <w:sz w:val="22"/>
          <w:szCs w:val="22"/>
        </w:rPr>
        <w:t xml:space="preserve"> or CD16) and </w:t>
      </w:r>
      <w:r w:rsidR="00E677C1" w:rsidRPr="0002326A">
        <w:rPr>
          <w:rFonts w:ascii="Arial" w:hAnsi="Arial" w:cs="Arial"/>
          <w:color w:val="000000"/>
          <w:sz w:val="22"/>
          <w:szCs w:val="22"/>
        </w:rPr>
        <w:t>natural killer (NK)</w:t>
      </w:r>
      <w:r w:rsidR="00CF5BEC" w:rsidRPr="0002326A">
        <w:rPr>
          <w:rFonts w:ascii="Arial" w:hAnsi="Arial" w:cs="Arial"/>
          <w:color w:val="000000"/>
          <w:sz w:val="22"/>
          <w:szCs w:val="22"/>
        </w:rPr>
        <w:t xml:space="preserve"> cells (</w:t>
      </w:r>
      <w:r w:rsidR="00CF5BEC" w:rsidRPr="0002326A">
        <w:rPr>
          <w:rFonts w:ascii="Arial" w:hAnsi="Arial" w:cs="Arial"/>
          <w:i/>
          <w:iCs/>
          <w:color w:val="000000"/>
          <w:sz w:val="22"/>
          <w:szCs w:val="22"/>
        </w:rPr>
        <w:t>KLRD1</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NKG7</w:t>
      </w:r>
      <w:r w:rsidR="00CF5BEC" w:rsidRPr="0002326A">
        <w:rPr>
          <w:rFonts w:ascii="Arial" w:hAnsi="Arial" w:cs="Arial"/>
          <w:color w:val="000000"/>
          <w:sz w:val="22"/>
          <w:szCs w:val="22"/>
        </w:rPr>
        <w:t xml:space="preserve">) (Figure 1C), 2) correlations with pure-cell gene signatures derived from ENCODE </w:t>
      </w:r>
      <w:r w:rsidR="00CF5BEC"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7414","issued":{"date-parts":[["2012"]]},"page":"57-74","title":"An integrated encyclopedia of DNA elements in the human genome","type":"article-journal","volume":"489"},"uris":["http://www.mendeley.com/documents/?uuid=8f2ef698-e22c-4cd7-bb5d-4d042edca2a1"]}],"mendeley":{"formattedCitation":"(37)","plainTextFormattedCitation":"(37)","previouslyFormattedCitation":"(37)"},"properties":{"noteIndex":0},"schema":"https://github.com/citation-style-language/schema/raw/master/csl-citation.json"}</w:instrText>
      </w:r>
      <w:r w:rsidR="00CF5BEC"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(37)</w:t>
      </w:r>
      <w:r w:rsidR="00CF5BEC" w:rsidRPr="0002326A">
        <w:rPr>
          <w:rFonts w:ascii="Arial" w:hAnsi="Arial" w:cs="Arial"/>
          <w:color w:val="000000"/>
          <w:sz w:val="22"/>
          <w:szCs w:val="22"/>
        </w:rPr>
        <w:fldChar w:fldCharType="end"/>
      </w:r>
      <w:r w:rsidR="00CF5BEC" w:rsidRPr="0002326A">
        <w:rPr>
          <w:rFonts w:ascii="Arial" w:hAnsi="Arial" w:cs="Arial"/>
          <w:color w:val="000000"/>
          <w:sz w:val="22"/>
          <w:szCs w:val="22"/>
        </w:rPr>
        <w:t xml:space="preserve"> (Figure </w:t>
      </w:r>
      <w:r w:rsidR="00E677C1" w:rsidRPr="0002326A">
        <w:rPr>
          <w:rFonts w:ascii="Arial" w:hAnsi="Arial" w:cs="Arial"/>
          <w:color w:val="000000"/>
          <w:sz w:val="22"/>
          <w:szCs w:val="22"/>
        </w:rPr>
        <w:t>1</w:t>
      </w:r>
      <w:r w:rsidR="00CF5BEC" w:rsidRPr="0002326A">
        <w:rPr>
          <w:rFonts w:ascii="Arial" w:hAnsi="Arial" w:cs="Arial"/>
          <w:color w:val="000000"/>
          <w:sz w:val="22"/>
          <w:szCs w:val="22"/>
        </w:rPr>
        <w:t xml:space="preserve">D), and 3) assigning clonotypes based on the TCR sequencing. </w:t>
      </w:r>
      <w:r w:rsidR="00AE0107" w:rsidRPr="0002326A">
        <w:rPr>
          <w:rFonts w:ascii="Arial" w:hAnsi="Arial" w:cs="Arial"/>
          <w:color w:val="000000"/>
          <w:sz w:val="22"/>
          <w:szCs w:val="22"/>
        </w:rPr>
        <w:t>Based on these approaches we annotated clusters as monocytes (Cluster</w:t>
      </w:r>
      <w:r w:rsidR="000C0095" w:rsidRPr="0002326A">
        <w:rPr>
          <w:rFonts w:ascii="Arial" w:hAnsi="Arial" w:cs="Arial"/>
          <w:color w:val="000000"/>
          <w:sz w:val="22"/>
          <w:szCs w:val="22"/>
        </w:rPr>
        <w:t>s</w:t>
      </w:r>
      <w:r w:rsidR="00AE0107" w:rsidRPr="0002326A">
        <w:rPr>
          <w:rFonts w:ascii="Arial" w:hAnsi="Arial" w:cs="Arial"/>
          <w:color w:val="000000"/>
          <w:sz w:val="22"/>
          <w:szCs w:val="22"/>
        </w:rPr>
        <w:t xml:space="preserve"> 0, 5, 11, 12, </w:t>
      </w:r>
      <w:r w:rsidR="000C0095" w:rsidRPr="0002326A">
        <w:rPr>
          <w:rFonts w:ascii="Arial" w:hAnsi="Arial" w:cs="Arial"/>
          <w:color w:val="000000"/>
          <w:sz w:val="22"/>
          <w:szCs w:val="22"/>
        </w:rPr>
        <w:t xml:space="preserve">and </w:t>
      </w:r>
      <w:r w:rsidR="00AE0107" w:rsidRPr="0002326A">
        <w:rPr>
          <w:rFonts w:ascii="Arial" w:hAnsi="Arial" w:cs="Arial"/>
          <w:color w:val="000000"/>
          <w:sz w:val="22"/>
          <w:szCs w:val="22"/>
        </w:rPr>
        <w:t>16)</w:t>
      </w:r>
      <w:r w:rsidR="000C0095" w:rsidRPr="0002326A">
        <w:rPr>
          <w:rFonts w:ascii="Arial" w:hAnsi="Arial" w:cs="Arial"/>
          <w:color w:val="000000"/>
          <w:sz w:val="22"/>
          <w:szCs w:val="22"/>
        </w:rPr>
        <w:t>, CD4</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4, 6, 10, 13, 15, and 20), CD8</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1, 8, 9 and 17), NK cells (Clusters 3 and 7), B cells (Cluster 2), macrophages (Cluster 14) and dendritic cells (DC, Clusters 18 and 19) (Figure 1E). Based on these annotations, we also examined the relative proportion of cell types comprising the sequencing runs by tissue type (Figure 3E).</w:t>
      </w:r>
      <w:r w:rsidR="00452042" w:rsidRPr="0002326A">
        <w:rPr>
          <w:rFonts w:ascii="Arial" w:hAnsi="Arial" w:cs="Arial"/>
          <w:sz w:val="22"/>
          <w:szCs w:val="22"/>
          <w:shd w:val="clear" w:color="auto" w:fill="F8F9FA"/>
        </w:rPr>
        <w:t xml:space="preserve"> </w:t>
      </w:r>
      <w:r w:rsidR="00452042" w:rsidRPr="0002326A">
        <w:rPr>
          <w:rFonts w:ascii="Arial" w:hAnsi="Arial" w:cs="Arial"/>
          <w:sz w:val="22"/>
          <w:szCs w:val="22"/>
        </w:rPr>
        <w:t>We observed a decrease in CD4</w:t>
      </w:r>
      <w:r w:rsidR="00452042" w:rsidRPr="0002326A">
        <w:rPr>
          <w:rFonts w:ascii="Arial" w:hAnsi="Arial" w:cs="Arial"/>
          <w:sz w:val="22"/>
          <w:szCs w:val="22"/>
          <w:vertAlign w:val="superscript"/>
        </w:rPr>
        <w:t>+</w:t>
      </w:r>
      <w:r w:rsidR="00452042" w:rsidRPr="0002326A">
        <w:rPr>
          <w:rFonts w:ascii="Arial" w:hAnsi="Arial" w:cs="Arial"/>
          <w:sz w:val="22"/>
          <w:szCs w:val="22"/>
        </w:rPr>
        <w:t xml:space="preserve"> T cells and B cells comparing peripheral blood to normal kidney tissue or tumor (Figure 1E). Conversely and as expected, we also found an </w:t>
      </w:r>
      <w:r w:rsidR="000C0095" w:rsidRPr="0002326A">
        <w:rPr>
          <w:rFonts w:ascii="Arial" w:hAnsi="Arial" w:cs="Arial"/>
          <w:sz w:val="22"/>
          <w:szCs w:val="22"/>
        </w:rPr>
        <w:t>increase in CD8</w:t>
      </w:r>
      <w:r w:rsidR="000C0095" w:rsidRPr="0002326A">
        <w:rPr>
          <w:rFonts w:ascii="Arial" w:hAnsi="Arial" w:cs="Arial"/>
          <w:sz w:val="22"/>
          <w:szCs w:val="22"/>
          <w:vertAlign w:val="superscript"/>
        </w:rPr>
        <w:t>+</w:t>
      </w:r>
      <w:r w:rsidR="000C0095" w:rsidRPr="0002326A">
        <w:rPr>
          <w:rFonts w:ascii="Arial" w:hAnsi="Arial" w:cs="Arial"/>
          <w:sz w:val="22"/>
          <w:szCs w:val="22"/>
        </w:rPr>
        <w:t xml:space="preserve"> T cells and Mφ in </w:t>
      </w:r>
      <w:r w:rsidR="00452042" w:rsidRPr="0002326A">
        <w:rPr>
          <w:rFonts w:ascii="Arial" w:hAnsi="Arial" w:cs="Arial"/>
          <w:sz w:val="22"/>
          <w:szCs w:val="22"/>
        </w:rPr>
        <w:t xml:space="preserve">ccRCC versus peripheral blood (Figure 1E). </w:t>
      </w:r>
      <w:r w:rsidR="00DA5C3C" w:rsidRPr="0002326A">
        <w:rPr>
          <w:rFonts w:ascii="Arial" w:hAnsi="Arial" w:cs="Arial"/>
          <w:sz w:val="22"/>
          <w:szCs w:val="22"/>
        </w:rPr>
        <w:t xml:space="preserve"> </w:t>
      </w:r>
    </w:p>
    <w:p w14:paraId="2939438E" w14:textId="14E15882" w:rsidR="00CA1845" w:rsidRDefault="00CA1845" w:rsidP="00452042">
      <w:pPr>
        <w:spacing w:line="480" w:lineRule="auto"/>
        <w:rPr>
          <w:rFonts w:ascii="Arial" w:hAnsi="Arial" w:cs="Arial"/>
          <w:sz w:val="22"/>
          <w:szCs w:val="22"/>
        </w:rPr>
      </w:pPr>
    </w:p>
    <w:p w14:paraId="29EB5E09" w14:textId="02082BED" w:rsidR="00CA1845" w:rsidRDefault="00CA1845" w:rsidP="00CA1845">
      <w:pPr>
        <w:pStyle w:val="Paragraph"/>
        <w:snapToGrid w:val="0"/>
        <w:spacing w:line="480" w:lineRule="auto"/>
        <w:ind w:firstLine="0"/>
        <w:rPr>
          <w:rFonts w:ascii="Arial" w:hAnsi="Arial" w:cs="Arial"/>
          <w:sz w:val="22"/>
          <w:szCs w:val="22"/>
        </w:rPr>
      </w:pPr>
      <w:r>
        <w:rPr>
          <w:rFonts w:ascii="Arial" w:hAnsi="Arial" w:cs="Arial"/>
          <w:i/>
          <w:iCs/>
          <w:sz w:val="22"/>
          <w:szCs w:val="22"/>
        </w:rPr>
        <w:t>Preferential overlap between peripheral blood and tumor T lymphocytes in CD8</w:t>
      </w:r>
      <w:r w:rsidRPr="00CA1845">
        <w:rPr>
          <w:rFonts w:ascii="Arial" w:hAnsi="Arial" w:cs="Arial"/>
          <w:i/>
          <w:iCs/>
          <w:sz w:val="22"/>
          <w:szCs w:val="22"/>
          <w:vertAlign w:val="superscript"/>
        </w:rPr>
        <w:t>+</w:t>
      </w:r>
      <w:r>
        <w:rPr>
          <w:rFonts w:ascii="Arial" w:hAnsi="Arial" w:cs="Arial"/>
          <w:i/>
          <w:iCs/>
          <w:sz w:val="22"/>
          <w:szCs w:val="22"/>
        </w:rPr>
        <w:t xml:space="preserve"> T cells. </w:t>
      </w:r>
    </w:p>
    <w:p w14:paraId="240D365D" w14:textId="47009738" w:rsidR="00CA1845" w:rsidRPr="00D12937" w:rsidRDefault="00CA6564" w:rsidP="00452042">
      <w:pPr>
        <w:spacing w:line="480" w:lineRule="auto"/>
        <w:rPr>
          <w:rFonts w:ascii="Arial" w:hAnsi="Arial" w:cs="Arial"/>
          <w:sz w:val="22"/>
          <w:szCs w:val="22"/>
        </w:rPr>
      </w:pPr>
      <w:r w:rsidRPr="00D12937">
        <w:rPr>
          <w:rStyle w:val="apple-converted-space"/>
          <w:rFonts w:ascii="Arial" w:hAnsi="Arial" w:cs="Arial"/>
          <w:sz w:val="22"/>
          <w:szCs w:val="22"/>
        </w:rPr>
        <w:t>With the extensive literature on TCR expansion role in anti-tumor immunity and immunotherapy</w:t>
      </w:r>
      <w:r w:rsidR="007E6E65">
        <w:rPr>
          <w:rStyle w:val="apple-converted-space"/>
          <w:rFonts w:ascii="Arial" w:hAnsi="Arial" w:cs="Arial"/>
          <w:sz w:val="22"/>
          <w:szCs w:val="22"/>
        </w:rPr>
        <w:t xml:space="preserve"> </w:t>
      </w:r>
      <w:r w:rsidR="007E6E65">
        <w:rPr>
          <w:rStyle w:val="apple-converted-space"/>
          <w:rFonts w:ascii="Arial" w:hAnsi="Arial" w:cs="Arial"/>
          <w:sz w:val="22"/>
          <w:szCs w:val="22"/>
        </w:rPr>
        <w:fldChar w:fldCharType="begin" w:fldLock="1"/>
      </w:r>
      <w:r w:rsidR="007E6E65">
        <w:rPr>
          <w:rStyle w:val="apple-converted-space"/>
          <w:rFonts w:ascii="Arial" w:hAnsi="Arial" w:cs="Arial"/>
          <w:sz w:val="22"/>
          <w:szCs w:val="22"/>
        </w:rPr>
        <w:instrText>ADDIN CSL_CITATION {"citationItems":[{"id":"ITEM-1","itemData":{"DOI":"10.1016/j.jmb.2018.05.030","ISSN":"10898638","PMID":"29800567","abstract":"Immune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(11)","plainTextFormattedCitation":"(11)","previouslyFormattedCitation":"(11)"},"properties":{"noteIndex":0},"schema":"https://github.com/citation-style-language/schema/raw/master/csl-citation.json"}</w:instrText>
      </w:r>
      <w:r w:rsidR="007E6E65">
        <w:rPr>
          <w:rStyle w:val="apple-converted-space"/>
          <w:rFonts w:ascii="Arial" w:hAnsi="Arial" w:cs="Arial"/>
          <w:sz w:val="22"/>
          <w:szCs w:val="22"/>
        </w:rPr>
        <w:fldChar w:fldCharType="separate"/>
      </w:r>
      <w:r w:rsidR="007E6E65" w:rsidRPr="007E6E65">
        <w:rPr>
          <w:rStyle w:val="apple-converted-space"/>
          <w:rFonts w:ascii="Arial" w:hAnsi="Arial" w:cs="Arial"/>
          <w:noProof/>
          <w:sz w:val="22"/>
          <w:szCs w:val="22"/>
        </w:rPr>
        <w:t>(11)</w:t>
      </w:r>
      <w:r w:rsidR="007E6E65">
        <w:rPr>
          <w:rStyle w:val="apple-converted-space"/>
          <w:rFonts w:ascii="Arial" w:hAnsi="Arial" w:cs="Arial"/>
          <w:sz w:val="22"/>
          <w:szCs w:val="22"/>
        </w:rPr>
        <w:fldChar w:fldCharType="end"/>
      </w:r>
      <w:r w:rsidRPr="00D12937">
        <w:rPr>
          <w:rStyle w:val="apple-converted-space"/>
          <w:rFonts w:ascii="Arial" w:hAnsi="Arial" w:cs="Arial"/>
          <w:sz w:val="22"/>
          <w:szCs w:val="22"/>
        </w:rPr>
        <w:t>, we first wanted to investigate the dynamics of CD4</w:t>
      </w:r>
      <w:r w:rsidRPr="00D12937">
        <w:rPr>
          <w:rStyle w:val="apple-converted-space"/>
          <w:rFonts w:ascii="Arial" w:hAnsi="Arial" w:cs="Arial"/>
          <w:sz w:val="22"/>
          <w:szCs w:val="22"/>
          <w:vertAlign w:val="superscript"/>
        </w:rPr>
        <w:t>+</w:t>
      </w:r>
      <w:r w:rsidRPr="00D12937">
        <w:rPr>
          <w:rStyle w:val="apple-converted-space"/>
          <w:rFonts w:ascii="Arial" w:hAnsi="Arial" w:cs="Arial"/>
          <w:sz w:val="22"/>
          <w:szCs w:val="22"/>
        </w:rPr>
        <w:t xml:space="preserve"> and CD8</w:t>
      </w:r>
      <w:r w:rsidRPr="00D12937">
        <w:rPr>
          <w:rStyle w:val="apple-converted-space"/>
          <w:rFonts w:ascii="Arial" w:hAnsi="Arial" w:cs="Arial"/>
          <w:sz w:val="22"/>
          <w:szCs w:val="22"/>
          <w:vertAlign w:val="superscript"/>
        </w:rPr>
        <w:t>+</w:t>
      </w:r>
      <w:r w:rsidRPr="00D12937">
        <w:rPr>
          <w:rStyle w:val="apple-converted-space"/>
          <w:rFonts w:ascii="Arial" w:hAnsi="Arial" w:cs="Arial"/>
          <w:sz w:val="22"/>
          <w:szCs w:val="22"/>
        </w:rPr>
        <w:t xml:space="preserve"> T cell clonal spaces in ccRCC. Using our previously described scRepertoire software </w:t>
      </w:r>
      <w:r w:rsidRPr="00D12937">
        <w:rPr>
          <w:rStyle w:val="apple-converted-space"/>
          <w:rFonts w:ascii="Arial" w:hAnsi="Arial" w:cs="Arial"/>
          <w:sz w:val="22"/>
          <w:szCs w:val="22"/>
        </w:rPr>
        <w:fldChar w:fldCharType="begin" w:fldLock="1"/>
      </w:r>
      <w:r w:rsidR="007E6E65">
        <w:rPr>
          <w:rStyle w:val="apple-converted-space"/>
          <w:rFonts w:ascii="Arial" w:hAnsi="Arial" w:cs="Arial"/>
          <w:sz w:val="22"/>
          <w:szCs w:val="22"/>
        </w:rPr>
        <w:instrText>ADDIN CSL_CITATION {"citationItems":[{"id":"ITEM-1","itemData":{"DOI":"10.12688/f1000research.22139.1","ISSN":"2046-1402","abstract":"Single-cell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package.","author":[{"dropping-particle":"","family":"Borcherding","given":"Nicholas","non-dropping-particle":"","parse-names":false,"suffix":""},{"dropping-particle":"","family":"Bormann","given":"Nicholas L.","non-dropping-particle":"","parse-names":false,"suffix":""}],"container-title":"F1000Research","id":"ITEM-1","issue":"47","issued":{"date-parts":[["2020"]]},"page":"47","title":"scRepertoire: An R-based toolkit for single-cell immune receptor analysis","type":"article-journal","volume":"9"},"uris":["http://www.mendeley.com/documents/?uuid=664c1716-88eb-4e48-aa90-e7eb3e65288e"]}],"mendeley":{"formattedCitation":"(38)","plainTextFormattedCitation":"(38)","previouslyFormattedCitation":"(38)"},"properties":{"noteIndex":0},"schema":"https://github.com/citation-style-language/schema/raw/master/csl-citation.json"}</w:instrText>
      </w:r>
      <w:r w:rsidRPr="00D12937">
        <w:rPr>
          <w:rStyle w:val="apple-converted-space"/>
          <w:rFonts w:ascii="Arial" w:hAnsi="Arial" w:cs="Arial"/>
          <w:sz w:val="22"/>
          <w:szCs w:val="22"/>
        </w:rPr>
        <w:fldChar w:fldCharType="separate"/>
      </w:r>
      <w:r w:rsidR="00B7170F" w:rsidRPr="00B7170F">
        <w:rPr>
          <w:rStyle w:val="apple-converted-space"/>
          <w:rFonts w:ascii="Arial" w:hAnsi="Arial" w:cs="Arial"/>
          <w:noProof/>
          <w:sz w:val="22"/>
          <w:szCs w:val="22"/>
        </w:rPr>
        <w:t>(38)</w:t>
      </w:r>
      <w:r w:rsidRPr="00D12937">
        <w:rPr>
          <w:rStyle w:val="apple-converted-space"/>
          <w:rFonts w:ascii="Arial" w:hAnsi="Arial" w:cs="Arial"/>
          <w:sz w:val="22"/>
          <w:szCs w:val="22"/>
        </w:rPr>
        <w:fldChar w:fldCharType="end"/>
      </w:r>
      <w:r w:rsidRPr="00D12937">
        <w:rPr>
          <w:rStyle w:val="apple-converted-space"/>
          <w:rFonts w:ascii="Arial" w:hAnsi="Arial" w:cs="Arial"/>
          <w:sz w:val="22"/>
          <w:szCs w:val="22"/>
        </w:rPr>
        <w:t xml:space="preserve">, we assigned productive TCR sequences for the TCRA and TCRB and defined clonotypes by the combination of both the genes and nucleotide sequences </w:t>
      </w:r>
      <w:r w:rsidR="00D12937" w:rsidRPr="00D12937">
        <w:rPr>
          <w:rStyle w:val="apple-converted-space"/>
          <w:rFonts w:ascii="Arial" w:hAnsi="Arial" w:cs="Arial"/>
          <w:sz w:val="22"/>
          <w:szCs w:val="22"/>
        </w:rPr>
        <w:t>for each loci</w:t>
      </w:r>
      <w:r w:rsidR="00D12937">
        <w:rPr>
          <w:rStyle w:val="apple-converted-space"/>
          <w:rFonts w:ascii="Arial" w:hAnsi="Arial" w:cs="Arial"/>
          <w:sz w:val="22"/>
          <w:szCs w:val="22"/>
        </w:rPr>
        <w:t xml:space="preserve"> to the corresponding cell barcodes with single-cell mRNA sequencing. For the identified T cells in the ccRCC patients, recovering of at least </w:t>
      </w:r>
      <w:r w:rsidR="00D12937">
        <w:rPr>
          <w:rStyle w:val="apple-converted-space"/>
          <w:rFonts w:ascii="Arial" w:hAnsi="Arial" w:cs="Arial"/>
          <w:sz w:val="22"/>
          <w:szCs w:val="22"/>
        </w:rPr>
        <w:lastRenderedPageBreak/>
        <w:t xml:space="preserve">one TCR chain, ranged from </w:t>
      </w:r>
      <w:r w:rsidR="002D1CBB">
        <w:rPr>
          <w:rStyle w:val="apple-converted-space"/>
          <w:rFonts w:ascii="Arial" w:hAnsi="Arial" w:cs="Arial"/>
          <w:sz w:val="22"/>
          <w:szCs w:val="22"/>
        </w:rPr>
        <w:t>74.8% to 87.6% after filtering and clonotype reconstruction.</w:t>
      </w:r>
      <w:r w:rsidR="009F69B0">
        <w:rPr>
          <w:rStyle w:val="apple-converted-space"/>
          <w:rFonts w:ascii="Arial" w:hAnsi="Arial" w:cs="Arial"/>
          <w:sz w:val="22"/>
          <w:szCs w:val="22"/>
        </w:rPr>
        <w:t xml:space="preserve"> The complete table of clonotype information for the ccRCC samples is available </w:t>
      </w:r>
      <w:r w:rsidR="009F69B0" w:rsidRPr="004B43AC">
        <w:rPr>
          <w:rStyle w:val="apple-converted-space"/>
          <w:rFonts w:ascii="Arial" w:hAnsi="Arial" w:cs="Arial"/>
          <w:sz w:val="22"/>
          <w:szCs w:val="22"/>
        </w:rPr>
        <w:t xml:space="preserve">in Supplemental Table </w:t>
      </w:r>
      <w:r w:rsidR="004B43AC" w:rsidRPr="004B43AC">
        <w:rPr>
          <w:rStyle w:val="apple-converted-space"/>
          <w:rFonts w:ascii="Arial" w:hAnsi="Arial" w:cs="Arial"/>
          <w:sz w:val="22"/>
          <w:szCs w:val="22"/>
        </w:rPr>
        <w:t>4</w:t>
      </w:r>
      <w:r w:rsidR="009F69B0" w:rsidRPr="004B43AC">
        <w:rPr>
          <w:rStyle w:val="apple-converted-space"/>
          <w:rFonts w:ascii="Arial" w:hAnsi="Arial" w:cs="Arial"/>
          <w:sz w:val="22"/>
          <w:szCs w:val="22"/>
        </w:rPr>
        <w:t>.</w:t>
      </w:r>
      <w:r w:rsidR="002D1CBB" w:rsidRPr="004B43AC">
        <w:rPr>
          <w:rStyle w:val="apple-converted-space"/>
          <w:rFonts w:ascii="Arial" w:hAnsi="Arial" w:cs="Arial"/>
          <w:sz w:val="22"/>
          <w:szCs w:val="22"/>
        </w:rPr>
        <w:t xml:space="preserve"> Clonotypes recovered had a clear distribution along the UMAP, with principal enrichment in clusters in 1, 4, 6, 8, 9 , 13, 15, 17, and 20 (Figure 2A). The frequency of</w:t>
      </w:r>
      <w:r w:rsidR="002D1CBB">
        <w:rPr>
          <w:rStyle w:val="apple-converted-space"/>
          <w:rFonts w:ascii="Arial" w:hAnsi="Arial" w:cs="Arial"/>
          <w:sz w:val="22"/>
          <w:szCs w:val="22"/>
        </w:rPr>
        <w:t xml:space="preserve"> clonotypes was assigned across patient samples, allowing for the quantification of clonotype numbers in the context of individual patient</w:t>
      </w:r>
      <w:r w:rsidR="00D710B8">
        <w:rPr>
          <w:rStyle w:val="apple-converted-space"/>
          <w:rFonts w:ascii="Arial" w:hAnsi="Arial" w:cs="Arial"/>
          <w:sz w:val="22"/>
          <w:szCs w:val="22"/>
        </w:rPr>
        <w:t>s</w:t>
      </w:r>
      <w:r w:rsidR="002D1CBB">
        <w:rPr>
          <w:rStyle w:val="apple-converted-space"/>
          <w:rFonts w:ascii="Arial" w:hAnsi="Arial" w:cs="Arial"/>
          <w:sz w:val="22"/>
          <w:szCs w:val="22"/>
        </w:rPr>
        <w:t>. We observed an increase in clonotype frequency principally in the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 clusters (Figure 2A). Separating the T cell classes, we noted a stark difference in clonotype space occupied by the top 10 clones in the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compared to CD4</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across ccRCC patients (Figure 2B). This trend was consistent between sequencing of the tumor-infiltrating and peripheral blood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(Figure 2B). </w:t>
      </w:r>
      <w:r w:rsidR="009F69B0">
        <w:rPr>
          <w:rStyle w:val="apple-converted-space"/>
          <w:rFonts w:ascii="Arial" w:hAnsi="Arial" w:cs="Arial"/>
          <w:sz w:val="22"/>
          <w:szCs w:val="22"/>
        </w:rPr>
        <w:t>We next asked if this consistency in CD8</w:t>
      </w:r>
      <w:r w:rsidR="009F69B0" w:rsidRPr="00D710B8">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 expansion was a result of shared expanded clonotypes between tumor and peripheral blood. We found a relative patient-specific increase in shared clonotypes in CD8</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compared to CD4</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(Figure 2C). We also noted that there was minimal overlap between patient clonotypes for both CD8</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and CD4</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(Figure 2C). The patient-specific overlap of CD8</w:t>
      </w:r>
      <w:r w:rsidR="009F69B0" w:rsidRPr="00D710B8">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clonotypes showed </w:t>
      </w:r>
      <w:r w:rsidR="003F69B8">
        <w:rPr>
          <w:rStyle w:val="apple-converted-space"/>
          <w:rFonts w:ascii="Arial" w:hAnsi="Arial" w:cs="Arial"/>
          <w:sz w:val="22"/>
          <w:szCs w:val="22"/>
        </w:rPr>
        <w:t xml:space="preserve">relatively </w:t>
      </w:r>
      <w:r w:rsidR="009F69B0">
        <w:rPr>
          <w:rStyle w:val="apple-converted-space"/>
          <w:rFonts w:ascii="Arial" w:hAnsi="Arial" w:cs="Arial"/>
          <w:sz w:val="22"/>
          <w:szCs w:val="22"/>
        </w:rPr>
        <w:t>larger</w:t>
      </w:r>
      <w:r w:rsidR="003F69B8">
        <w:rPr>
          <w:rStyle w:val="apple-converted-space"/>
          <w:rFonts w:ascii="Arial" w:hAnsi="Arial" w:cs="Arial"/>
          <w:sz w:val="22"/>
          <w:szCs w:val="22"/>
        </w:rPr>
        <w:t xml:space="preserve"> pools</w:t>
      </w:r>
      <w:r w:rsidR="009F69B0">
        <w:rPr>
          <w:rStyle w:val="apple-converted-space"/>
          <w:rFonts w:ascii="Arial" w:hAnsi="Arial" w:cs="Arial"/>
          <w:sz w:val="22"/>
          <w:szCs w:val="22"/>
        </w:rPr>
        <w:t xml:space="preserve"> </w:t>
      </w:r>
      <w:r w:rsidR="00D710B8">
        <w:rPr>
          <w:rStyle w:val="apple-converted-space"/>
          <w:rFonts w:ascii="Arial" w:hAnsi="Arial" w:cs="Arial"/>
          <w:sz w:val="22"/>
          <w:szCs w:val="22"/>
        </w:rPr>
        <w:t xml:space="preserve">in </w:t>
      </w:r>
      <w:r w:rsidR="009F69B0">
        <w:rPr>
          <w:rStyle w:val="apple-converted-space"/>
          <w:rFonts w:ascii="Arial" w:hAnsi="Arial" w:cs="Arial"/>
          <w:sz w:val="22"/>
          <w:szCs w:val="22"/>
        </w:rPr>
        <w:t xml:space="preserve">peripheral blood </w:t>
      </w:r>
      <w:r w:rsidR="00D710B8">
        <w:rPr>
          <w:rStyle w:val="apple-converted-space"/>
          <w:rFonts w:ascii="Arial" w:hAnsi="Arial" w:cs="Arial"/>
          <w:sz w:val="22"/>
          <w:szCs w:val="22"/>
        </w:rPr>
        <w:t>clonotypes</w:t>
      </w:r>
      <w:r w:rsidR="003F69B8">
        <w:rPr>
          <w:rStyle w:val="apple-converted-space"/>
          <w:rFonts w:ascii="Arial" w:hAnsi="Arial" w:cs="Arial"/>
          <w:sz w:val="22"/>
          <w:szCs w:val="22"/>
        </w:rPr>
        <w:t xml:space="preserve"> contributing to the tumors (Figure 2D). Interestingly, Patient 3 with the more advanced tumor stage (</w:t>
      </w:r>
      <w:r w:rsidR="003F69B8" w:rsidRPr="0002326A">
        <w:rPr>
          <w:rFonts w:ascii="Arial" w:hAnsi="Arial" w:cs="Arial"/>
          <w:color w:val="000000"/>
          <w:sz w:val="22"/>
          <w:szCs w:val="22"/>
        </w:rPr>
        <w:t>pT3a</w:t>
      </w:r>
      <w:r w:rsidR="003F69B8">
        <w:rPr>
          <w:rFonts w:ascii="Arial" w:hAnsi="Arial" w:cs="Arial"/>
          <w:color w:val="000000"/>
          <w:sz w:val="22"/>
          <w:szCs w:val="22"/>
        </w:rPr>
        <w:t xml:space="preserve"> compared to T1 of Patient 1 and 2)</w:t>
      </w:r>
      <w:r w:rsidR="003F69B8">
        <w:rPr>
          <w:rStyle w:val="apple-converted-space"/>
          <w:rFonts w:ascii="Arial" w:hAnsi="Arial" w:cs="Arial"/>
          <w:sz w:val="22"/>
          <w:szCs w:val="22"/>
        </w:rPr>
        <w:t xml:space="preserve">, showed expansion in tumor-specific clonotypes that was not seen in the blood (Figure 2D). In </w:t>
      </w:r>
      <w:r w:rsidR="00641EAB">
        <w:rPr>
          <w:rStyle w:val="apple-converted-space"/>
          <w:rFonts w:ascii="Arial" w:hAnsi="Arial" w:cs="Arial"/>
          <w:sz w:val="22"/>
          <w:szCs w:val="22"/>
        </w:rPr>
        <w:t>the former patient with more advanced disease</w:t>
      </w:r>
      <w:r w:rsidR="003F69B8">
        <w:rPr>
          <w:rStyle w:val="apple-converted-space"/>
          <w:rFonts w:ascii="Arial" w:hAnsi="Arial" w:cs="Arial"/>
          <w:sz w:val="22"/>
          <w:szCs w:val="22"/>
        </w:rPr>
        <w:t>, two clonotypes accounted for a total of 619 CD8</w:t>
      </w:r>
      <w:r w:rsidR="003F69B8" w:rsidRPr="003F69B8">
        <w:rPr>
          <w:rStyle w:val="apple-converted-space"/>
          <w:rFonts w:ascii="Arial" w:hAnsi="Arial" w:cs="Arial"/>
          <w:sz w:val="22"/>
          <w:szCs w:val="22"/>
          <w:vertAlign w:val="superscript"/>
        </w:rPr>
        <w:t>+</w:t>
      </w:r>
      <w:r w:rsidR="003F69B8">
        <w:rPr>
          <w:rStyle w:val="apple-converted-space"/>
          <w:rFonts w:ascii="Arial" w:hAnsi="Arial" w:cs="Arial"/>
          <w:sz w:val="22"/>
          <w:szCs w:val="22"/>
        </w:rPr>
        <w:t xml:space="preserve"> cells, which were distributed across UMAP clusters (Figure 2E). </w:t>
      </w:r>
    </w:p>
    <w:p w14:paraId="4C866C75" w14:textId="1A9C6C26" w:rsidR="00DA5C3C" w:rsidRPr="0002326A" w:rsidRDefault="00DA5C3C" w:rsidP="00452042">
      <w:pPr>
        <w:spacing w:line="480" w:lineRule="auto"/>
        <w:rPr>
          <w:rFonts w:ascii="Arial" w:hAnsi="Arial" w:cs="Arial"/>
          <w:sz w:val="22"/>
          <w:szCs w:val="22"/>
        </w:rPr>
      </w:pPr>
    </w:p>
    <w:p w14:paraId="60F58A1B" w14:textId="77777777" w:rsidR="0093266F" w:rsidRPr="0002326A" w:rsidRDefault="0093266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CD8</w:t>
      </w:r>
      <w:r w:rsidRPr="0002326A">
        <w:rPr>
          <w:rFonts w:ascii="Arial" w:hAnsi="Arial" w:cs="Arial"/>
          <w:i/>
          <w:iCs/>
          <w:sz w:val="22"/>
          <w:szCs w:val="22"/>
          <w:vertAlign w:val="superscript"/>
        </w:rPr>
        <w:t>+</w:t>
      </w:r>
      <w:r w:rsidRPr="0002326A">
        <w:rPr>
          <w:rFonts w:ascii="Arial" w:hAnsi="Arial" w:cs="Arial"/>
          <w:i/>
          <w:iCs/>
          <w:sz w:val="22"/>
          <w:szCs w:val="22"/>
        </w:rPr>
        <w:t xml:space="preserve"> T cells in ccRCC tumors exhibit a transcriptional continuum with distinct populations</w:t>
      </w:r>
    </w:p>
    <w:p w14:paraId="60DAD892" w14:textId="2B1EA1B2" w:rsidR="00F35AF3" w:rsidRPr="0002326A" w:rsidRDefault="0093266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The presence of CD8</w:t>
      </w:r>
      <w:r w:rsidRPr="0002326A">
        <w:rPr>
          <w:rFonts w:ascii="Arial" w:hAnsi="Arial" w:cs="Arial"/>
          <w:sz w:val="22"/>
          <w:szCs w:val="22"/>
          <w:vertAlign w:val="superscript"/>
        </w:rPr>
        <w:t>+</w:t>
      </w:r>
      <w:r w:rsidRPr="0002326A">
        <w:rPr>
          <w:rFonts w:ascii="Arial" w:hAnsi="Arial" w:cs="Arial"/>
          <w:sz w:val="22"/>
          <w:szCs w:val="22"/>
        </w:rPr>
        <w:t xml:space="preserve"> T cells in the tumor microenvironment is recognized as key effectors in the anti-tumor immune response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C.","non-dropping-particle":"","parse-names":false,"suffix":""}],"container-title":"OncoImmunology","id":"ITEM-1","issue":"4","issued":{"date-parts":[["2015"]]},"page":"e998538","title":"Consensus nomenclature for CD8+ T cell phenotypes in cancer","type":"article-journal","volume":"4"},"uris":["http://www.mendeley.com/documents/?uuid=b433b0b5-f9b8-4839-9209-bf30f92e3e06"]}],"mendeley":{"formattedCitation":"(40)","plainTextFormattedCitation":"(40)","previouslyFormattedCitation":"(40)"},"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(40)</w:t>
      </w:r>
      <w:r w:rsidRPr="0002326A">
        <w:rPr>
          <w:rFonts w:ascii="Arial" w:hAnsi="Arial" w:cs="Arial"/>
          <w:sz w:val="22"/>
          <w:szCs w:val="22"/>
        </w:rPr>
        <w:fldChar w:fldCharType="end"/>
      </w:r>
      <w:r w:rsidRPr="0002326A">
        <w:rPr>
          <w:rFonts w:ascii="Arial" w:hAnsi="Arial" w:cs="Arial"/>
          <w:sz w:val="22"/>
          <w:szCs w:val="22"/>
        </w:rPr>
        <w:t xml:space="preserve"> and have been associated with response to immunotherapy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(11)","plainTextFormattedCitation":"(11)","previouslyFormattedCitation":"(11)"},"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(11)</w:t>
      </w:r>
      <w:r w:rsidRPr="0002326A">
        <w:rPr>
          <w:rFonts w:ascii="Arial" w:hAnsi="Arial" w:cs="Arial"/>
          <w:sz w:val="22"/>
          <w:szCs w:val="22"/>
        </w:rPr>
        <w:fldChar w:fldCharType="end"/>
      </w:r>
      <w:r w:rsidRPr="0002326A">
        <w:rPr>
          <w:rFonts w:ascii="Arial" w:hAnsi="Arial" w:cs="Arial"/>
          <w:sz w:val="22"/>
          <w:szCs w:val="22"/>
        </w:rPr>
        <w:t>.</w:t>
      </w:r>
      <w:r w:rsidR="0070540D" w:rsidRPr="0002326A">
        <w:rPr>
          <w:rFonts w:ascii="Arial" w:hAnsi="Arial" w:cs="Arial"/>
          <w:sz w:val="22"/>
          <w:szCs w:val="22"/>
        </w:rPr>
        <w:t xml:space="preserve"> Sub</w:t>
      </w:r>
      <w:r w:rsidR="009D0802" w:rsidRPr="0002326A">
        <w:rPr>
          <w:rFonts w:ascii="Arial" w:hAnsi="Arial" w:cs="Arial"/>
          <w:sz w:val="22"/>
          <w:szCs w:val="22"/>
        </w:rPr>
        <w:t>-</w:t>
      </w:r>
      <w:r w:rsidR="0070540D" w:rsidRPr="0002326A">
        <w:rPr>
          <w:rFonts w:ascii="Arial" w:hAnsi="Arial" w:cs="Arial"/>
          <w:sz w:val="22"/>
          <w:szCs w:val="22"/>
        </w:rPr>
        <w:t>clustering of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revealed 8 distinct </w:t>
      </w:r>
      <w:r w:rsidR="009B229C" w:rsidRPr="0002326A">
        <w:rPr>
          <w:rFonts w:ascii="Arial" w:hAnsi="Arial" w:cs="Arial"/>
          <w:sz w:val="22"/>
          <w:szCs w:val="22"/>
        </w:rPr>
        <w:t>clusters</w:t>
      </w:r>
      <w:r w:rsidR="0070540D" w:rsidRPr="0002326A">
        <w:rPr>
          <w:rFonts w:ascii="Arial" w:hAnsi="Arial" w:cs="Arial"/>
          <w:sz w:val="22"/>
          <w:szCs w:val="22"/>
        </w:rPr>
        <w:t xml:space="preserve"> (Figure </w:t>
      </w:r>
      <w:r w:rsidR="007C7455">
        <w:rPr>
          <w:rFonts w:ascii="Arial" w:hAnsi="Arial" w:cs="Arial"/>
          <w:sz w:val="22"/>
          <w:szCs w:val="22"/>
        </w:rPr>
        <w:t>3</w:t>
      </w:r>
      <w:r w:rsidR="0070540D" w:rsidRPr="0002326A">
        <w:rPr>
          <w:rFonts w:ascii="Arial" w:hAnsi="Arial" w:cs="Arial"/>
          <w:sz w:val="22"/>
          <w:szCs w:val="22"/>
        </w:rPr>
        <w:t xml:space="preserve">A) with </w:t>
      </w:r>
      <w:r w:rsidR="0070540D" w:rsidRPr="0002326A">
        <w:rPr>
          <w:rFonts w:ascii="Arial" w:hAnsi="Arial" w:cs="Arial"/>
          <w:sz w:val="22"/>
          <w:szCs w:val="22"/>
        </w:rPr>
        <w:lastRenderedPageBreak/>
        <w:t>relative tissue</w:t>
      </w:r>
      <w:r w:rsidR="00074BA2" w:rsidRPr="0002326A">
        <w:rPr>
          <w:rFonts w:ascii="Arial" w:hAnsi="Arial" w:cs="Arial"/>
          <w:sz w:val="22"/>
          <w:szCs w:val="22"/>
        </w:rPr>
        <w:t>-specific</w:t>
      </w:r>
      <w:r w:rsidR="0070540D" w:rsidRPr="0002326A">
        <w:rPr>
          <w:rFonts w:ascii="Arial" w:hAnsi="Arial" w:cs="Arial"/>
          <w:sz w:val="22"/>
          <w:szCs w:val="22"/>
        </w:rPr>
        <w:t xml:space="preserve"> distribution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To understand the distribution of these new </w:t>
      </w:r>
      <w:r w:rsidR="009B229C" w:rsidRPr="0002326A">
        <w:rPr>
          <w:rFonts w:ascii="Arial" w:hAnsi="Arial" w:cs="Arial"/>
          <w:sz w:val="22"/>
          <w:szCs w:val="22"/>
        </w:rPr>
        <w:t>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clusters </w:t>
      </w:r>
      <w:r w:rsidR="00A121E2" w:rsidRPr="0002326A">
        <w:rPr>
          <w:rFonts w:ascii="Arial" w:hAnsi="Arial" w:cs="Arial"/>
          <w:sz w:val="22"/>
          <w:szCs w:val="22"/>
        </w:rPr>
        <w:t>along the UMAP, we first examined the relative percent of single-cells represented in each cluster by tissue type.</w:t>
      </w:r>
      <w:r w:rsidR="0070540D" w:rsidRPr="0002326A">
        <w:rPr>
          <w:rFonts w:ascii="Arial" w:hAnsi="Arial" w:cs="Arial"/>
          <w:sz w:val="22"/>
          <w:szCs w:val="22"/>
        </w:rPr>
        <w:t xml:space="preserve"> Tissue-infiltrating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(both tumor and normal kidney) comprised the majority of </w:t>
      </w:r>
      <w:r w:rsidR="009B229C" w:rsidRPr="0002326A">
        <w:rPr>
          <w:rFonts w:ascii="Arial" w:hAnsi="Arial" w:cs="Arial"/>
          <w:sz w:val="22"/>
          <w:szCs w:val="22"/>
        </w:rPr>
        <w:t>CD8_</w:t>
      </w:r>
      <w:r w:rsidR="0070540D" w:rsidRPr="0002326A">
        <w:rPr>
          <w:rFonts w:ascii="Arial" w:hAnsi="Arial" w:cs="Arial"/>
          <w:sz w:val="22"/>
          <w:szCs w:val="22"/>
        </w:rPr>
        <w:t xml:space="preserve">0, </w:t>
      </w:r>
      <w:r w:rsidR="009B229C" w:rsidRPr="0002326A">
        <w:rPr>
          <w:rFonts w:ascii="Arial" w:hAnsi="Arial" w:cs="Arial"/>
          <w:sz w:val="22"/>
          <w:szCs w:val="22"/>
        </w:rPr>
        <w:t>CD8_</w:t>
      </w:r>
      <w:r w:rsidR="0070540D" w:rsidRPr="0002326A">
        <w:rPr>
          <w:rFonts w:ascii="Arial" w:hAnsi="Arial" w:cs="Arial"/>
          <w:sz w:val="22"/>
          <w:szCs w:val="22"/>
        </w:rPr>
        <w:t xml:space="preserve">1, </w:t>
      </w:r>
      <w:r w:rsidR="009B229C" w:rsidRPr="0002326A">
        <w:rPr>
          <w:rFonts w:ascii="Arial" w:hAnsi="Arial" w:cs="Arial"/>
          <w:sz w:val="22"/>
          <w:szCs w:val="22"/>
        </w:rPr>
        <w:t>CD8_</w:t>
      </w:r>
      <w:r w:rsidR="0070540D" w:rsidRPr="0002326A">
        <w:rPr>
          <w:rFonts w:ascii="Arial" w:hAnsi="Arial" w:cs="Arial"/>
          <w:sz w:val="22"/>
          <w:szCs w:val="22"/>
        </w:rPr>
        <w:t xml:space="preserve">3, </w:t>
      </w:r>
      <w:r w:rsidR="009B229C" w:rsidRPr="0002326A">
        <w:rPr>
          <w:rFonts w:ascii="Arial" w:hAnsi="Arial" w:cs="Arial"/>
          <w:sz w:val="22"/>
          <w:szCs w:val="22"/>
        </w:rPr>
        <w:t>CD8_</w:t>
      </w:r>
      <w:r w:rsidR="0070540D" w:rsidRPr="0002326A">
        <w:rPr>
          <w:rFonts w:ascii="Arial" w:hAnsi="Arial" w:cs="Arial"/>
          <w:sz w:val="22"/>
          <w:szCs w:val="22"/>
        </w:rPr>
        <w:t xml:space="preserve">5, </w:t>
      </w:r>
      <w:r w:rsidR="009B229C" w:rsidRPr="0002326A">
        <w:rPr>
          <w:rFonts w:ascii="Arial" w:hAnsi="Arial" w:cs="Arial"/>
          <w:sz w:val="22"/>
          <w:szCs w:val="22"/>
        </w:rPr>
        <w:t>CD8_</w:t>
      </w:r>
      <w:r w:rsidR="0070540D" w:rsidRPr="0002326A">
        <w:rPr>
          <w:rFonts w:ascii="Arial" w:hAnsi="Arial" w:cs="Arial"/>
          <w:sz w:val="22"/>
          <w:szCs w:val="22"/>
        </w:rPr>
        <w:t xml:space="preserve">6 and </w:t>
      </w:r>
      <w:r w:rsidR="009B229C" w:rsidRPr="0002326A">
        <w:rPr>
          <w:rFonts w:ascii="Arial" w:hAnsi="Arial" w:cs="Arial"/>
          <w:sz w:val="22"/>
          <w:szCs w:val="22"/>
        </w:rPr>
        <w:t>CD8_</w:t>
      </w:r>
      <w:r w:rsidR="0070540D" w:rsidRPr="0002326A">
        <w:rPr>
          <w:rFonts w:ascii="Arial" w:hAnsi="Arial" w:cs="Arial"/>
          <w:sz w:val="22"/>
          <w:szCs w:val="22"/>
        </w:rPr>
        <w:t xml:space="preserve">7. Only </w:t>
      </w:r>
      <w:r w:rsidR="009B229C" w:rsidRPr="0002326A">
        <w:rPr>
          <w:rFonts w:ascii="Arial" w:hAnsi="Arial" w:cs="Arial"/>
          <w:sz w:val="22"/>
          <w:szCs w:val="22"/>
        </w:rPr>
        <w:t>Clusters CD8_</w:t>
      </w:r>
      <w:r w:rsidR="0070540D" w:rsidRPr="0002326A">
        <w:rPr>
          <w:rFonts w:ascii="Arial" w:hAnsi="Arial" w:cs="Arial"/>
          <w:sz w:val="22"/>
          <w:szCs w:val="22"/>
        </w:rPr>
        <w:t xml:space="preserve">2 and </w:t>
      </w:r>
      <w:r w:rsidR="009B229C" w:rsidRPr="0002326A">
        <w:rPr>
          <w:rFonts w:ascii="Arial" w:hAnsi="Arial" w:cs="Arial"/>
          <w:sz w:val="22"/>
          <w:szCs w:val="22"/>
        </w:rPr>
        <w:t>CD8_</w:t>
      </w:r>
      <w:r w:rsidR="0070540D" w:rsidRPr="0002326A">
        <w:rPr>
          <w:rFonts w:ascii="Arial" w:hAnsi="Arial" w:cs="Arial"/>
          <w:sz w:val="22"/>
          <w:szCs w:val="22"/>
        </w:rPr>
        <w:t xml:space="preserve">4 had increased relative levels of peripheral blood cells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02326A">
        <w:rPr>
          <w:rFonts w:ascii="Arial" w:hAnsi="Arial" w:cs="Arial"/>
          <w:sz w:val="22"/>
          <w:szCs w:val="22"/>
          <w:vertAlign w:val="superscript"/>
        </w:rPr>
        <w:t>+</w:t>
      </w:r>
      <w:r w:rsidR="00A121E2" w:rsidRPr="0002326A">
        <w:rPr>
          <w:rFonts w:ascii="Arial" w:hAnsi="Arial" w:cs="Arial"/>
          <w:sz w:val="22"/>
          <w:szCs w:val="22"/>
        </w:rPr>
        <w:t xml:space="preserve"> T cells (left)</w:t>
      </w:r>
      <w:r w:rsidR="00074BA2" w:rsidRPr="0002326A">
        <w:rPr>
          <w:rFonts w:ascii="Arial" w:hAnsi="Arial" w:cs="Arial"/>
          <w:sz w:val="22"/>
          <w:szCs w:val="22"/>
        </w:rPr>
        <w:t xml:space="preserve"> and may represent the process of tissue infiltration itself</w:t>
      </w:r>
      <w:r w:rsidR="00A121E2" w:rsidRPr="0002326A">
        <w:rPr>
          <w:rFonts w:ascii="Arial" w:hAnsi="Arial" w:cs="Arial"/>
          <w:sz w:val="22"/>
          <w:szCs w:val="22"/>
        </w:rPr>
        <w:t xml:space="preserve">. Within SCRS literature, </w:t>
      </w:r>
      <w:r w:rsidR="00D710B8">
        <w:rPr>
          <w:rFonts w:ascii="Arial" w:hAnsi="Arial" w:cs="Arial"/>
          <w:sz w:val="22"/>
          <w:szCs w:val="22"/>
        </w:rPr>
        <w:t>there are concerns</w:t>
      </w:r>
      <w:r w:rsidR="00A121E2" w:rsidRPr="0002326A">
        <w:rPr>
          <w:rFonts w:ascii="Arial" w:hAnsi="Arial" w:cs="Arial"/>
          <w:sz w:val="22"/>
          <w:szCs w:val="22"/>
        </w:rPr>
        <w:t xml:space="preserve"> for </w:t>
      </w:r>
      <w:r w:rsidR="00F35AF3" w:rsidRPr="0002326A">
        <w:rPr>
          <w:rFonts w:ascii="Arial" w:hAnsi="Arial" w:cs="Arial"/>
          <w:sz w:val="22"/>
          <w:szCs w:val="22"/>
        </w:rPr>
        <w:t xml:space="preserve">variations in cell cycle leading to increased heterogeneity or obscure subpopulations </w:t>
      </w:r>
      <w:r w:rsidR="00F35AF3" w:rsidRPr="0002326A">
        <w:rPr>
          <w:rFonts w:ascii="Arial" w:hAnsi="Arial" w:cs="Arial"/>
          <w:sz w:val="22"/>
          <w:szCs w:val="22"/>
        </w:rPr>
        <w:fldChar w:fldCharType="begin" w:fldLock="1"/>
      </w:r>
      <w:r w:rsidR="00184FDB">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Biology","id":"ITEM-1","issue":"e8746","issued":{"date-parts":[["2019"]]},"title":"Current best practices in single</w:instrText>
      </w:r>
      <w:r w:rsidR="00184FDB">
        <w:rPr>
          <w:rFonts w:ascii="Cambria Math" w:hAnsi="Cambria Math" w:cs="Cambria Math"/>
          <w:sz w:val="22"/>
          <w:szCs w:val="22"/>
        </w:rPr>
        <w:instrText>‐</w:instrText>
      </w:r>
      <w:r w:rsidR="00184FDB">
        <w:rPr>
          <w:rFonts w:ascii="Arial" w:hAnsi="Arial" w:cs="Arial"/>
          <w:sz w:val="22"/>
          <w:szCs w:val="22"/>
        </w:rPr>
        <w:instrText>cell RNA</w:instrText>
      </w:r>
      <w:r w:rsidR="00184FDB">
        <w:rPr>
          <w:rFonts w:ascii="Cambria Math" w:hAnsi="Cambria Math" w:cs="Cambria Math"/>
          <w:sz w:val="22"/>
          <w:szCs w:val="22"/>
        </w:rPr>
        <w:instrText>‐</w:instrText>
      </w:r>
      <w:r w:rsidR="00184FDB">
        <w:rPr>
          <w:rFonts w:ascii="Arial" w:hAnsi="Arial" w:cs="Arial"/>
          <w:sz w:val="22"/>
          <w:szCs w:val="22"/>
        </w:rPr>
        <w:instrText>seq analysis: a tutorial","type":"article-journal","volume":"15"},"uris":["http://www.mendeley.com/documents/?uuid=61609cd7-7498-484a-938f-07786a85a4aa"]}],"mendeley":{"formattedCitation":"(41)","plainTextFormattedCitation":"(41)","previouslyFormattedCitation":"(41)"},"properties":{"noteIndex":0},"schema":"https://github.com/citation-style-language/schema/raw/master/csl-citation.json"}</w:instrText>
      </w:r>
      <w:r w:rsidR="00F35AF3" w:rsidRPr="0002326A">
        <w:rPr>
          <w:rFonts w:ascii="Arial" w:hAnsi="Arial" w:cs="Arial"/>
          <w:sz w:val="22"/>
          <w:szCs w:val="22"/>
        </w:rPr>
        <w:fldChar w:fldCharType="separate"/>
      </w:r>
      <w:r w:rsidR="00663A94" w:rsidRPr="00663A94">
        <w:rPr>
          <w:rFonts w:ascii="Arial" w:hAnsi="Arial" w:cs="Arial"/>
          <w:noProof/>
          <w:sz w:val="22"/>
          <w:szCs w:val="22"/>
        </w:rPr>
        <w:t>(41)</w:t>
      </w:r>
      <w:r w:rsidR="00F35AF3" w:rsidRPr="0002326A">
        <w:rPr>
          <w:rFonts w:ascii="Arial" w:hAnsi="Arial" w:cs="Arial"/>
          <w:sz w:val="22"/>
          <w:szCs w:val="22"/>
        </w:rPr>
        <w:fldChar w:fldCharType="end"/>
      </w:r>
      <w:r w:rsidR="00F35AF3" w:rsidRPr="0002326A">
        <w:rPr>
          <w:rFonts w:ascii="Arial" w:hAnsi="Arial" w:cs="Arial"/>
          <w:sz w:val="22"/>
          <w:szCs w:val="22"/>
        </w:rPr>
        <w:t>, however proliferation of CD8</w:t>
      </w:r>
      <w:r w:rsidR="00F35AF3" w:rsidRPr="0002326A">
        <w:rPr>
          <w:rFonts w:ascii="Arial" w:hAnsi="Arial" w:cs="Arial"/>
          <w:sz w:val="22"/>
          <w:szCs w:val="22"/>
          <w:vertAlign w:val="superscript"/>
        </w:rPr>
        <w:t>+</w:t>
      </w:r>
      <w:r w:rsidR="00F35AF3" w:rsidRPr="0002326A">
        <w:rPr>
          <w:rFonts w:ascii="Arial" w:hAnsi="Arial" w:cs="Arial"/>
          <w:sz w:val="22"/>
          <w:szCs w:val="22"/>
        </w:rPr>
        <w:t xml:space="preserve"> T cells is an important surrogate markers of anti-tumor immune response</w:t>
      </w:r>
      <w:r w:rsidR="007E6E65">
        <w:rPr>
          <w:rFonts w:ascii="Arial" w:hAnsi="Arial" w:cs="Arial"/>
          <w:sz w:val="22"/>
          <w:szCs w:val="22"/>
        </w:rPr>
        <w:t xml:space="preserve"> </w:t>
      </w:r>
      <w:r w:rsidR="007E6E65">
        <w:rPr>
          <w:rFonts w:ascii="Arial" w:hAnsi="Arial" w:cs="Arial"/>
          <w:sz w:val="22"/>
          <w:szCs w:val="22"/>
        </w:rPr>
        <w:fldChar w:fldCharType="begin" w:fldLock="1"/>
      </w:r>
      <w:r w:rsidR="001F7933">
        <w:rPr>
          <w:rFonts w:ascii="Arial" w:hAnsi="Arial" w:cs="Arial"/>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7528","issued":{"date-parts":[["2014"]]},"page":"568-571","title":"PD-1 blockade induces responses by inhibiting adaptive immune resistance","type":"article-journal","volume":"515"},"uris":["http://www.mendeley.com/documents/?uuid=42e1fa45-bb91-4f37-8ccb-5304ad1c9c2f"]}],"mendeley":{"formattedCitation":"(7)","plainTextFormattedCitation":"(7)","previouslyFormattedCitation":"(7)"},"properties":{"noteIndex":0},"schema":"https://github.com/citation-style-language/schema/raw/master/csl-citation.json"}</w:instrText>
      </w:r>
      <w:r w:rsidR="007E6E65">
        <w:rPr>
          <w:rFonts w:ascii="Arial" w:hAnsi="Arial" w:cs="Arial"/>
          <w:sz w:val="22"/>
          <w:szCs w:val="22"/>
        </w:rPr>
        <w:fldChar w:fldCharType="separate"/>
      </w:r>
      <w:r w:rsidR="007E6E65" w:rsidRPr="007E6E65">
        <w:rPr>
          <w:rFonts w:ascii="Arial" w:hAnsi="Arial" w:cs="Arial"/>
          <w:noProof/>
          <w:sz w:val="22"/>
          <w:szCs w:val="22"/>
        </w:rPr>
        <w:t>(7)</w:t>
      </w:r>
      <w:r w:rsidR="007E6E65">
        <w:rPr>
          <w:rFonts w:ascii="Arial" w:hAnsi="Arial" w:cs="Arial"/>
          <w:sz w:val="22"/>
          <w:szCs w:val="22"/>
        </w:rPr>
        <w:fldChar w:fldCharType="end"/>
      </w:r>
      <w:r w:rsidR="00F35AF3" w:rsidRPr="0002326A">
        <w:rPr>
          <w:rFonts w:ascii="Arial" w:hAnsi="Arial" w:cs="Arial"/>
          <w:sz w:val="22"/>
          <w:szCs w:val="22"/>
        </w:rPr>
        <w:t>. We next examined the</w:t>
      </w:r>
      <w:r w:rsidR="0070540D" w:rsidRPr="0002326A">
        <w:rPr>
          <w:rFonts w:ascii="Arial" w:hAnsi="Arial" w:cs="Arial"/>
          <w:sz w:val="22"/>
          <w:szCs w:val="22"/>
        </w:rPr>
        <w:t xml:space="preserve"> </w:t>
      </w:r>
      <w:r w:rsidR="00F35AF3" w:rsidRPr="0002326A">
        <w:rPr>
          <w:rFonts w:ascii="Arial" w:hAnsi="Arial" w:cs="Arial"/>
          <w:sz w:val="22"/>
          <w:szCs w:val="22"/>
        </w:rPr>
        <w:t xml:space="preserve">variation in </w:t>
      </w:r>
      <w:r w:rsidR="0070540D" w:rsidRPr="0002326A">
        <w:rPr>
          <w:rFonts w:ascii="Arial" w:hAnsi="Arial" w:cs="Arial"/>
          <w:sz w:val="22"/>
          <w:szCs w:val="22"/>
        </w:rPr>
        <w:t>proliferative gene signatures,</w:t>
      </w:r>
      <w:r w:rsidR="00F35AF3" w:rsidRPr="0002326A">
        <w:rPr>
          <w:rFonts w:ascii="Arial" w:hAnsi="Arial" w:cs="Arial"/>
          <w:sz w:val="22"/>
          <w:szCs w:val="22"/>
        </w:rPr>
        <w:t xml:space="preserve"> finding</w:t>
      </w:r>
      <w:r w:rsidR="0070540D" w:rsidRPr="0002326A">
        <w:rPr>
          <w:rFonts w:ascii="Arial" w:hAnsi="Arial" w:cs="Arial"/>
          <w:sz w:val="22"/>
          <w:szCs w:val="22"/>
        </w:rPr>
        <w:t xml:space="preserve"> </w:t>
      </w:r>
      <w:r w:rsidR="00F35AF3" w:rsidRPr="0002326A">
        <w:rPr>
          <w:rFonts w:ascii="Arial" w:hAnsi="Arial" w:cs="Arial"/>
          <w:sz w:val="22"/>
          <w:szCs w:val="22"/>
        </w:rPr>
        <w:t>a similar distribution</w:t>
      </w:r>
      <w:r w:rsidR="00074BA2" w:rsidRPr="0002326A">
        <w:rPr>
          <w:rFonts w:ascii="Arial" w:hAnsi="Arial" w:cs="Arial"/>
          <w:sz w:val="22"/>
          <w:szCs w:val="22"/>
        </w:rPr>
        <w:t xml:space="preserve"> to the tissue-type</w:t>
      </w:r>
      <w:r w:rsidR="00F35AF3" w:rsidRPr="0002326A">
        <w:rPr>
          <w:rFonts w:ascii="Arial" w:hAnsi="Arial" w:cs="Arial"/>
          <w:sz w:val="22"/>
          <w:szCs w:val="22"/>
        </w:rPr>
        <w:t xml:space="preserve"> </w:t>
      </w:r>
      <w:r w:rsidR="00074BA2" w:rsidRPr="0002326A">
        <w:rPr>
          <w:rFonts w:ascii="Arial" w:hAnsi="Arial" w:cs="Arial"/>
          <w:sz w:val="22"/>
          <w:szCs w:val="22"/>
        </w:rPr>
        <w:t xml:space="preserve">with </w:t>
      </w:r>
      <w:r w:rsidR="00F35AF3" w:rsidRPr="0002326A">
        <w:rPr>
          <w:rFonts w:ascii="Arial" w:hAnsi="Arial" w:cs="Arial"/>
          <w:sz w:val="22"/>
          <w:szCs w:val="22"/>
        </w:rPr>
        <w:t>increas</w:t>
      </w:r>
      <w:r w:rsidR="00074BA2" w:rsidRPr="0002326A">
        <w:rPr>
          <w:rFonts w:ascii="Arial" w:hAnsi="Arial" w:cs="Arial"/>
          <w:sz w:val="22"/>
          <w:szCs w:val="22"/>
        </w:rPr>
        <w:t>ing</w:t>
      </w:r>
      <w:r w:rsidR="00F35AF3" w:rsidRPr="0002326A">
        <w:rPr>
          <w:rFonts w:ascii="Arial" w:hAnsi="Arial" w:cs="Arial"/>
          <w:sz w:val="22"/>
          <w:szCs w:val="22"/>
        </w:rPr>
        <w:t xml:space="preserve"> cells in </w:t>
      </w:r>
      <w:r w:rsidR="0070540D" w:rsidRPr="0002326A">
        <w:rPr>
          <w:rFonts w:ascii="Arial" w:hAnsi="Arial" w:cs="Arial"/>
          <w:sz w:val="22"/>
          <w:szCs w:val="22"/>
        </w:rPr>
        <w:t>S or G2M phases</w:t>
      </w:r>
      <w:r w:rsidR="00F35AF3" w:rsidRPr="0002326A">
        <w:rPr>
          <w:rFonts w:ascii="Arial" w:hAnsi="Arial" w:cs="Arial"/>
          <w:sz w:val="22"/>
          <w:szCs w:val="22"/>
        </w:rPr>
        <w:t xml:space="preserve"> from right to left, peaking with </w:t>
      </w:r>
      <w:r w:rsidR="009B229C" w:rsidRPr="0002326A">
        <w:rPr>
          <w:rFonts w:ascii="Arial" w:hAnsi="Arial" w:cs="Arial"/>
          <w:sz w:val="22"/>
          <w:szCs w:val="22"/>
        </w:rPr>
        <w:t>Cluster CD8_</w:t>
      </w:r>
      <w:r w:rsidR="00F35AF3" w:rsidRPr="0002326A">
        <w:rPr>
          <w:rFonts w:ascii="Arial" w:hAnsi="Arial" w:cs="Arial"/>
          <w:sz w:val="22"/>
          <w:szCs w:val="22"/>
        </w:rPr>
        <w:t>6</w:t>
      </w:r>
      <w:r w:rsidR="0070540D" w:rsidRPr="0002326A">
        <w:rPr>
          <w:rFonts w:ascii="Arial" w:hAnsi="Arial" w:cs="Arial"/>
          <w:sz w:val="22"/>
          <w:szCs w:val="22"/>
        </w:rPr>
        <w:t xml:space="preserve"> (Figure 3C). </w:t>
      </w:r>
    </w:p>
    <w:p w14:paraId="6676D398" w14:textId="77777777" w:rsidR="00F35AF3" w:rsidRPr="0002326A" w:rsidRDefault="00F35AF3" w:rsidP="00F72CA7">
      <w:pPr>
        <w:pStyle w:val="Paragraph"/>
        <w:snapToGrid w:val="0"/>
        <w:spacing w:line="480" w:lineRule="auto"/>
        <w:ind w:firstLine="0"/>
        <w:rPr>
          <w:rFonts w:ascii="Arial" w:hAnsi="Arial" w:cs="Arial"/>
          <w:sz w:val="22"/>
          <w:szCs w:val="22"/>
        </w:rPr>
      </w:pPr>
    </w:p>
    <w:p w14:paraId="7250BFC0" w14:textId="3AEF0EA5" w:rsidR="00F72CA7" w:rsidRDefault="00F35AF3"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In order to better characterize the CD8</w:t>
      </w:r>
      <w:r w:rsidRPr="0002326A">
        <w:rPr>
          <w:rFonts w:ascii="Arial" w:hAnsi="Arial" w:cs="Arial"/>
          <w:sz w:val="22"/>
          <w:szCs w:val="22"/>
          <w:vertAlign w:val="superscript"/>
        </w:rPr>
        <w:t>+</w:t>
      </w:r>
      <w:r w:rsidRPr="0002326A">
        <w:rPr>
          <w:rFonts w:ascii="Arial" w:hAnsi="Arial" w:cs="Arial"/>
          <w:sz w:val="22"/>
          <w:szCs w:val="22"/>
        </w:rPr>
        <w:t xml:space="preserve"> </w:t>
      </w:r>
      <w:r w:rsidR="009B229C" w:rsidRPr="0002326A">
        <w:rPr>
          <w:rFonts w:ascii="Arial" w:hAnsi="Arial" w:cs="Arial"/>
          <w:sz w:val="22"/>
          <w:szCs w:val="22"/>
        </w:rPr>
        <w:t>clusters</w:t>
      </w:r>
      <w:r w:rsidRPr="0002326A">
        <w:rPr>
          <w:rFonts w:ascii="Arial" w:hAnsi="Arial" w:cs="Arial"/>
          <w:sz w:val="22"/>
          <w:szCs w:val="22"/>
        </w:rPr>
        <w:t xml:space="preserve">, we next used canonical and differential T cells markers to examine gene expression differences along the UMAP (Figure </w:t>
      </w:r>
      <w:r w:rsidR="007C7455">
        <w:rPr>
          <w:rFonts w:ascii="Arial" w:hAnsi="Arial" w:cs="Arial"/>
          <w:sz w:val="22"/>
          <w:szCs w:val="22"/>
        </w:rPr>
        <w:t>3</w:t>
      </w:r>
      <w:r w:rsidRPr="0002326A">
        <w:rPr>
          <w:rFonts w:ascii="Arial" w:hAnsi="Arial" w:cs="Arial"/>
          <w:sz w:val="22"/>
          <w:szCs w:val="22"/>
        </w:rPr>
        <w:t>D)</w:t>
      </w:r>
      <w:r w:rsidR="009B229C" w:rsidRPr="0002326A">
        <w:rPr>
          <w:rFonts w:ascii="Arial" w:hAnsi="Arial" w:cs="Arial"/>
          <w:sz w:val="22"/>
          <w:szCs w:val="22"/>
        </w:rPr>
        <w:t xml:space="preserve"> with several patterns</w:t>
      </w:r>
      <w:r w:rsidRPr="0002326A">
        <w:rPr>
          <w:rFonts w:ascii="Arial" w:hAnsi="Arial" w:cs="Arial"/>
          <w:sz w:val="22"/>
          <w:szCs w:val="22"/>
        </w:rPr>
        <w:t>.</w:t>
      </w:r>
      <w:r w:rsidR="009B229C" w:rsidRPr="0002326A">
        <w:rPr>
          <w:rFonts w:ascii="Arial" w:hAnsi="Arial" w:cs="Arial"/>
          <w:sz w:val="22"/>
          <w:szCs w:val="22"/>
        </w:rPr>
        <w:t xml:space="preserve"> The first pattern was the discovery of a naïve </w:t>
      </w:r>
      <w:r w:rsidR="009B229C" w:rsidRPr="0002326A">
        <w:rPr>
          <w:rFonts w:ascii="Arial" w:hAnsi="Arial" w:cs="Arial"/>
          <w:i/>
          <w:iCs/>
          <w:sz w:val="22"/>
          <w:szCs w:val="22"/>
        </w:rPr>
        <w:t>CCR7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SELL</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TCF7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being seen in CD8_4 (Figure </w:t>
      </w:r>
      <w:r w:rsidR="007C7455">
        <w:rPr>
          <w:rFonts w:ascii="Arial" w:hAnsi="Arial" w:cs="Arial"/>
          <w:sz w:val="22"/>
          <w:szCs w:val="22"/>
        </w:rPr>
        <w:t>3</w:t>
      </w:r>
      <w:r w:rsidR="009B229C" w:rsidRPr="0002326A">
        <w:rPr>
          <w:rFonts w:ascii="Arial" w:hAnsi="Arial" w:cs="Arial"/>
          <w:sz w:val="22"/>
          <w:szCs w:val="22"/>
        </w:rPr>
        <w:t>D). Looking for effector 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we next observed two populations of </w:t>
      </w:r>
      <w:r w:rsidR="009B229C" w:rsidRPr="0002326A">
        <w:rPr>
          <w:rFonts w:ascii="Arial" w:hAnsi="Arial" w:cs="Arial"/>
          <w:i/>
          <w:iCs/>
          <w:sz w:val="22"/>
          <w:szCs w:val="22"/>
        </w:rPr>
        <w:t>IFNG</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PRF1</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principally in CD8_1 and CD8_0 (Figure </w:t>
      </w:r>
      <w:r w:rsidR="007C7455">
        <w:rPr>
          <w:rFonts w:ascii="Arial" w:hAnsi="Arial" w:cs="Arial"/>
          <w:sz w:val="22"/>
          <w:szCs w:val="22"/>
        </w:rPr>
        <w:t>3</w:t>
      </w:r>
      <w:r w:rsidR="009B229C" w:rsidRPr="0002326A">
        <w:rPr>
          <w:rFonts w:ascii="Arial" w:hAnsi="Arial" w:cs="Arial"/>
          <w:sz w:val="22"/>
          <w:szCs w:val="22"/>
        </w:rPr>
        <w:t xml:space="preserve">D). The latter also expressed negative immune checkpoint, such as </w:t>
      </w:r>
      <w:r w:rsidR="009B229C" w:rsidRPr="0002326A">
        <w:rPr>
          <w:rFonts w:ascii="Arial" w:hAnsi="Arial" w:cs="Arial"/>
          <w:i/>
          <w:iCs/>
          <w:sz w:val="22"/>
          <w:szCs w:val="22"/>
        </w:rPr>
        <w:t>CTLA4</w:t>
      </w:r>
      <w:r w:rsidR="009B229C" w:rsidRPr="0002326A">
        <w:rPr>
          <w:rFonts w:ascii="Arial" w:hAnsi="Arial" w:cs="Arial"/>
          <w:sz w:val="22"/>
          <w:szCs w:val="22"/>
        </w:rPr>
        <w:t xml:space="preserve">, </w:t>
      </w:r>
      <w:r w:rsidR="009B229C" w:rsidRPr="0002326A">
        <w:rPr>
          <w:rFonts w:ascii="Arial" w:hAnsi="Arial" w:cs="Arial"/>
          <w:i/>
          <w:iCs/>
          <w:sz w:val="22"/>
          <w:szCs w:val="22"/>
        </w:rPr>
        <w:t>HAVCR2</w:t>
      </w:r>
      <w:r w:rsidR="009B229C" w:rsidRPr="0002326A">
        <w:rPr>
          <w:rFonts w:ascii="Arial" w:hAnsi="Arial" w:cs="Arial"/>
          <w:sz w:val="22"/>
          <w:szCs w:val="22"/>
        </w:rPr>
        <w:t xml:space="preserve">, </w:t>
      </w:r>
      <w:r w:rsidR="009B229C" w:rsidRPr="0002326A">
        <w:rPr>
          <w:rFonts w:ascii="Arial" w:hAnsi="Arial" w:cs="Arial"/>
          <w:i/>
          <w:iCs/>
          <w:sz w:val="22"/>
          <w:szCs w:val="22"/>
        </w:rPr>
        <w:t>PDCD1</w:t>
      </w:r>
      <w:r w:rsidR="009B229C" w:rsidRPr="0002326A">
        <w:rPr>
          <w:rFonts w:ascii="Arial" w:hAnsi="Arial" w:cs="Arial"/>
          <w:sz w:val="22"/>
          <w:szCs w:val="22"/>
        </w:rPr>
        <w:t xml:space="preserve">, and </w:t>
      </w:r>
      <w:r w:rsidR="009B229C" w:rsidRPr="0002326A">
        <w:rPr>
          <w:rFonts w:ascii="Arial" w:hAnsi="Arial" w:cs="Arial"/>
          <w:i/>
          <w:iCs/>
          <w:sz w:val="22"/>
          <w:szCs w:val="22"/>
        </w:rPr>
        <w:t>TIGIT</w:t>
      </w:r>
      <w:r w:rsidR="009B229C" w:rsidRPr="0002326A">
        <w:rPr>
          <w:rFonts w:ascii="Arial" w:hAnsi="Arial" w:cs="Arial"/>
          <w:sz w:val="22"/>
          <w:szCs w:val="22"/>
        </w:rPr>
        <w:t xml:space="preserve"> (Figure </w:t>
      </w:r>
      <w:r w:rsidR="007C7455">
        <w:rPr>
          <w:rFonts w:ascii="Arial" w:hAnsi="Arial" w:cs="Arial"/>
          <w:sz w:val="22"/>
          <w:szCs w:val="22"/>
        </w:rPr>
        <w:t>3</w:t>
      </w:r>
      <w:r w:rsidR="009B229C" w:rsidRPr="0002326A">
        <w:rPr>
          <w:rFonts w:ascii="Arial" w:hAnsi="Arial" w:cs="Arial"/>
          <w:sz w:val="22"/>
          <w:szCs w:val="22"/>
        </w:rPr>
        <w:t xml:space="preserve">D). These negative immune checkpoints were expressed at more moderate levels in both CD8_5 and CD8_6, however, CD8_6 exclusively expressed a number of proliferation markers, such as </w:t>
      </w:r>
      <w:r w:rsidR="009B229C" w:rsidRPr="0002326A">
        <w:rPr>
          <w:rFonts w:ascii="Arial" w:hAnsi="Arial" w:cs="Arial"/>
          <w:i/>
          <w:iCs/>
          <w:sz w:val="22"/>
          <w:szCs w:val="22"/>
        </w:rPr>
        <w:t>CDK1</w:t>
      </w:r>
      <w:r w:rsidR="009B229C" w:rsidRPr="0002326A">
        <w:rPr>
          <w:rFonts w:ascii="Arial" w:hAnsi="Arial" w:cs="Arial"/>
          <w:sz w:val="22"/>
          <w:szCs w:val="22"/>
        </w:rPr>
        <w:t xml:space="preserve">, </w:t>
      </w:r>
      <w:r w:rsidR="009B229C" w:rsidRPr="0002326A">
        <w:rPr>
          <w:rFonts w:ascii="Arial" w:hAnsi="Arial" w:cs="Arial"/>
          <w:i/>
          <w:iCs/>
          <w:sz w:val="22"/>
          <w:szCs w:val="22"/>
        </w:rPr>
        <w:t>MKI67</w:t>
      </w:r>
      <w:r w:rsidR="009B229C" w:rsidRPr="0002326A">
        <w:rPr>
          <w:rFonts w:ascii="Arial" w:hAnsi="Arial" w:cs="Arial"/>
          <w:sz w:val="22"/>
          <w:szCs w:val="22"/>
        </w:rPr>
        <w:t xml:space="preserve">, </w:t>
      </w:r>
      <w:r w:rsidR="009B229C" w:rsidRPr="0002326A">
        <w:rPr>
          <w:rFonts w:ascii="Arial" w:hAnsi="Arial" w:cs="Arial"/>
          <w:i/>
          <w:iCs/>
          <w:sz w:val="22"/>
          <w:szCs w:val="22"/>
        </w:rPr>
        <w:t>STMN1</w:t>
      </w:r>
      <w:r w:rsidR="009B229C" w:rsidRPr="0002326A">
        <w:rPr>
          <w:rFonts w:ascii="Arial" w:hAnsi="Arial" w:cs="Arial"/>
          <w:sz w:val="22"/>
          <w:szCs w:val="22"/>
        </w:rPr>
        <w:t xml:space="preserve">, and </w:t>
      </w:r>
      <w:r w:rsidR="009B229C" w:rsidRPr="0002326A">
        <w:rPr>
          <w:rFonts w:ascii="Arial" w:hAnsi="Arial" w:cs="Arial"/>
          <w:i/>
          <w:iCs/>
          <w:sz w:val="22"/>
          <w:szCs w:val="22"/>
        </w:rPr>
        <w:t xml:space="preserve">TOP2A </w:t>
      </w:r>
      <w:r w:rsidR="009B229C" w:rsidRPr="0002326A">
        <w:rPr>
          <w:rFonts w:ascii="Arial" w:hAnsi="Arial" w:cs="Arial"/>
          <w:sz w:val="22"/>
          <w:szCs w:val="22"/>
        </w:rPr>
        <w:t xml:space="preserve">(Figure </w:t>
      </w:r>
      <w:r w:rsidR="004C58A7">
        <w:rPr>
          <w:rFonts w:ascii="Arial" w:hAnsi="Arial" w:cs="Arial"/>
          <w:sz w:val="22"/>
          <w:szCs w:val="22"/>
        </w:rPr>
        <w:t>3</w:t>
      </w:r>
      <w:r w:rsidR="009B229C" w:rsidRPr="0002326A">
        <w:rPr>
          <w:rFonts w:ascii="Arial" w:hAnsi="Arial" w:cs="Arial"/>
          <w:sz w:val="22"/>
          <w:szCs w:val="22"/>
        </w:rPr>
        <w:t>D).</w:t>
      </w:r>
      <w:r w:rsidR="00974483" w:rsidRPr="0002326A">
        <w:rPr>
          <w:rFonts w:ascii="Arial" w:hAnsi="Arial" w:cs="Arial"/>
          <w:sz w:val="22"/>
          <w:szCs w:val="22"/>
        </w:rPr>
        <w:t xml:space="preserve"> In order to examine gene expression patterns above single or selected genes, we used slingshot </w:t>
      </w:r>
      <w:r w:rsidR="00974483"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974483" w:rsidRPr="0002326A">
        <w:rPr>
          <w:rFonts w:ascii="Arial" w:hAnsi="Arial" w:cs="Arial"/>
          <w:sz w:val="22"/>
          <w:szCs w:val="22"/>
        </w:rPr>
        <w:fldChar w:fldCharType="separate"/>
      </w:r>
      <w:r w:rsidR="00B7170F" w:rsidRPr="00B7170F">
        <w:rPr>
          <w:rFonts w:ascii="Arial" w:hAnsi="Arial" w:cs="Arial"/>
          <w:noProof/>
          <w:sz w:val="22"/>
          <w:szCs w:val="22"/>
        </w:rPr>
        <w:t>(39)</w:t>
      </w:r>
      <w:r w:rsidR="00974483" w:rsidRPr="0002326A">
        <w:rPr>
          <w:rFonts w:ascii="Arial" w:hAnsi="Arial" w:cs="Arial"/>
          <w:sz w:val="22"/>
          <w:szCs w:val="22"/>
        </w:rPr>
        <w:fldChar w:fldCharType="end"/>
      </w:r>
      <w:r w:rsidR="00974483" w:rsidRPr="0002326A">
        <w:rPr>
          <w:rFonts w:ascii="Arial" w:hAnsi="Arial" w:cs="Arial"/>
          <w:sz w:val="22"/>
          <w:szCs w:val="22"/>
        </w:rPr>
        <w:t xml:space="preserve"> to build minimum spanning trees between clusters, generating curves based on the most varied genes (Figure </w:t>
      </w:r>
      <w:r w:rsidR="007C7455">
        <w:rPr>
          <w:rFonts w:ascii="Arial" w:hAnsi="Arial" w:cs="Arial"/>
          <w:sz w:val="22"/>
          <w:szCs w:val="22"/>
        </w:rPr>
        <w:t>3</w:t>
      </w:r>
      <w:r w:rsidR="00974483" w:rsidRPr="0002326A">
        <w:rPr>
          <w:rFonts w:ascii="Arial" w:hAnsi="Arial" w:cs="Arial"/>
          <w:sz w:val="22"/>
          <w:szCs w:val="22"/>
        </w:rPr>
        <w:t xml:space="preserve">E). We identified </w:t>
      </w:r>
      <w:r w:rsidR="00974483" w:rsidRPr="0002326A">
        <w:rPr>
          <w:rFonts w:ascii="Arial" w:hAnsi="Arial" w:cs="Arial"/>
          <w:sz w:val="22"/>
          <w:szCs w:val="22"/>
        </w:rPr>
        <w:lastRenderedPageBreak/>
        <w:t>5 distinct curves (labeled B</w:t>
      </w:r>
      <w:r w:rsidR="00974483" w:rsidRPr="0002326A">
        <w:rPr>
          <w:rFonts w:ascii="Arial" w:hAnsi="Arial" w:cs="Arial"/>
          <w:sz w:val="22"/>
          <w:szCs w:val="22"/>
          <w:vertAlign w:val="subscript"/>
        </w:rPr>
        <w:t>1</w:t>
      </w:r>
      <w:r w:rsidR="00974483" w:rsidRPr="0002326A">
        <w:rPr>
          <w:rFonts w:ascii="Arial" w:hAnsi="Arial" w:cs="Arial"/>
          <w:sz w:val="22"/>
          <w:szCs w:val="22"/>
        </w:rPr>
        <w:t xml:space="preserve"> to B</w:t>
      </w:r>
      <w:r w:rsidR="00974483" w:rsidRPr="0002326A">
        <w:rPr>
          <w:rFonts w:ascii="Arial" w:hAnsi="Arial" w:cs="Arial"/>
          <w:sz w:val="22"/>
          <w:szCs w:val="22"/>
          <w:vertAlign w:val="subscript"/>
        </w:rPr>
        <w:t>5</w:t>
      </w:r>
      <w:r w:rsidR="00974483" w:rsidRPr="0002326A">
        <w:rPr>
          <w:rFonts w:ascii="Arial" w:hAnsi="Arial" w:cs="Arial"/>
          <w:sz w:val="22"/>
          <w:szCs w:val="22"/>
        </w:rPr>
        <w:t xml:space="preserve">) with the origin in the </w:t>
      </w:r>
      <w:r w:rsidR="00974483" w:rsidRPr="0002326A">
        <w:rPr>
          <w:rFonts w:ascii="Arial" w:hAnsi="Arial" w:cs="Arial"/>
          <w:i/>
          <w:iCs/>
          <w:sz w:val="22"/>
          <w:szCs w:val="22"/>
        </w:rPr>
        <w:t>CCR7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SELL</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TCF7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CD8_4. With the exception of B1 extending into CD8_2, the rem</w:t>
      </w:r>
      <w:r w:rsidR="004C58A7">
        <w:rPr>
          <w:rFonts w:ascii="Arial" w:hAnsi="Arial" w:cs="Arial"/>
          <w:sz w:val="22"/>
          <w:szCs w:val="22"/>
        </w:rPr>
        <w:t>a</w:t>
      </w:r>
      <w:r w:rsidR="00974483" w:rsidRPr="0002326A">
        <w:rPr>
          <w:rFonts w:ascii="Arial" w:hAnsi="Arial" w:cs="Arial"/>
          <w:sz w:val="22"/>
          <w:szCs w:val="22"/>
        </w:rPr>
        <w:t xml:space="preserve">ining curves </w:t>
      </w:r>
      <w:r w:rsidR="009060F7" w:rsidRPr="0002326A">
        <w:rPr>
          <w:rFonts w:ascii="Arial" w:hAnsi="Arial" w:cs="Arial"/>
          <w:sz w:val="22"/>
          <w:szCs w:val="22"/>
        </w:rPr>
        <w:t xml:space="preserve">graphed along a similar trajectory </w:t>
      </w:r>
      <w:r w:rsidR="00074BA2" w:rsidRPr="0002326A">
        <w:rPr>
          <w:rFonts w:ascii="Arial" w:hAnsi="Arial" w:cs="Arial"/>
          <w:sz w:val="22"/>
          <w:szCs w:val="22"/>
        </w:rPr>
        <w:t xml:space="preserve">with a common node of CD8_1 and </w:t>
      </w:r>
      <w:r w:rsidR="009060F7" w:rsidRPr="0002326A">
        <w:rPr>
          <w:rFonts w:ascii="Arial" w:hAnsi="Arial" w:cs="Arial"/>
          <w:sz w:val="22"/>
          <w:szCs w:val="22"/>
        </w:rPr>
        <w:t>branching at distinct clusters with increased levels of tumor-infiltrating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T cells (Figure </w:t>
      </w:r>
      <w:r w:rsidR="007C7455">
        <w:rPr>
          <w:rFonts w:ascii="Arial" w:hAnsi="Arial" w:cs="Arial"/>
          <w:sz w:val="22"/>
          <w:szCs w:val="22"/>
        </w:rPr>
        <w:t>3</w:t>
      </w:r>
      <w:r w:rsidR="009060F7" w:rsidRPr="0002326A">
        <w:rPr>
          <w:rFonts w:ascii="Arial" w:hAnsi="Arial" w:cs="Arial"/>
          <w:sz w:val="22"/>
          <w:szCs w:val="22"/>
        </w:rPr>
        <w:t>E). Although based on gene expression, these curves also varied by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clonotypes based on TCR sequencing, with the root having no clonal expansion and the B</w:t>
      </w:r>
      <w:r w:rsidR="009060F7" w:rsidRPr="0002326A">
        <w:rPr>
          <w:rFonts w:ascii="Arial" w:hAnsi="Arial" w:cs="Arial"/>
          <w:sz w:val="22"/>
          <w:szCs w:val="22"/>
          <w:vertAlign w:val="subscript"/>
        </w:rPr>
        <w:t>3</w:t>
      </w:r>
      <w:r w:rsidR="009060F7" w:rsidRPr="0002326A">
        <w:rPr>
          <w:rFonts w:ascii="Arial" w:hAnsi="Arial" w:cs="Arial"/>
          <w:sz w:val="22"/>
          <w:szCs w:val="22"/>
        </w:rPr>
        <w:t>, B</w:t>
      </w:r>
      <w:r w:rsidR="009060F7" w:rsidRPr="0002326A">
        <w:rPr>
          <w:rFonts w:ascii="Arial" w:hAnsi="Arial" w:cs="Arial"/>
          <w:sz w:val="22"/>
          <w:szCs w:val="22"/>
          <w:vertAlign w:val="subscript"/>
        </w:rPr>
        <w:t>4</w:t>
      </w:r>
      <w:r w:rsidR="009060F7" w:rsidRPr="0002326A">
        <w:rPr>
          <w:rFonts w:ascii="Arial" w:hAnsi="Arial" w:cs="Arial"/>
          <w:sz w:val="22"/>
          <w:szCs w:val="22"/>
        </w:rPr>
        <w:t xml:space="preserve"> and B</w:t>
      </w:r>
      <w:r w:rsidR="009060F7" w:rsidRPr="0002326A">
        <w:rPr>
          <w:rFonts w:ascii="Arial" w:hAnsi="Arial" w:cs="Arial"/>
          <w:sz w:val="22"/>
          <w:szCs w:val="22"/>
          <w:vertAlign w:val="subscript"/>
        </w:rPr>
        <w:t>5</w:t>
      </w:r>
      <w:r w:rsidR="009060F7" w:rsidRPr="0002326A">
        <w:rPr>
          <w:rFonts w:ascii="Arial" w:hAnsi="Arial" w:cs="Arial"/>
          <w:sz w:val="22"/>
          <w:szCs w:val="22"/>
        </w:rPr>
        <w:t xml:space="preserve"> curves terminating into regions with higher levels of clonal expansion compared to B</w:t>
      </w:r>
      <w:r w:rsidR="009060F7" w:rsidRPr="0002326A">
        <w:rPr>
          <w:rFonts w:ascii="Arial" w:hAnsi="Arial" w:cs="Arial"/>
          <w:sz w:val="22"/>
          <w:szCs w:val="22"/>
          <w:vertAlign w:val="subscript"/>
        </w:rPr>
        <w:t>1</w:t>
      </w:r>
      <w:r w:rsidR="009060F7" w:rsidRPr="0002326A">
        <w:rPr>
          <w:rFonts w:ascii="Arial" w:hAnsi="Arial" w:cs="Arial"/>
          <w:sz w:val="22"/>
          <w:szCs w:val="22"/>
        </w:rPr>
        <w:t xml:space="preserve"> or B</w:t>
      </w:r>
      <w:r w:rsidR="009060F7" w:rsidRPr="0002326A">
        <w:rPr>
          <w:rFonts w:ascii="Arial" w:hAnsi="Arial" w:cs="Arial"/>
          <w:sz w:val="22"/>
          <w:szCs w:val="22"/>
          <w:vertAlign w:val="subscript"/>
        </w:rPr>
        <w:t xml:space="preserve">3 </w:t>
      </w:r>
      <w:r w:rsidR="009060F7" w:rsidRPr="0002326A">
        <w:rPr>
          <w:rFonts w:ascii="Arial" w:hAnsi="Arial" w:cs="Arial"/>
          <w:sz w:val="22"/>
          <w:szCs w:val="22"/>
        </w:rPr>
        <w:t xml:space="preserve">(Figure </w:t>
      </w:r>
      <w:r w:rsidR="004C58A7">
        <w:rPr>
          <w:rFonts w:ascii="Arial" w:hAnsi="Arial" w:cs="Arial"/>
          <w:sz w:val="22"/>
          <w:szCs w:val="22"/>
        </w:rPr>
        <w:t>3</w:t>
      </w:r>
      <w:r w:rsidR="009060F7" w:rsidRPr="0002326A">
        <w:rPr>
          <w:rFonts w:ascii="Arial" w:hAnsi="Arial" w:cs="Arial"/>
          <w:sz w:val="22"/>
          <w:szCs w:val="22"/>
        </w:rPr>
        <w:t>E).</w:t>
      </w:r>
      <w:r w:rsidR="00DE7274" w:rsidRPr="0002326A">
        <w:rPr>
          <w:rFonts w:ascii="Arial" w:hAnsi="Arial" w:cs="Arial"/>
          <w:sz w:val="22"/>
          <w:szCs w:val="22"/>
        </w:rPr>
        <w:t xml:space="preserve"> This clonotype relationship was also observed in specific clonotype sequences (nucleotide and TCR genes) with overlapping clonotypes seen in subclusters CD8_0, CD8_6, CD8_5 and CD8_3 (Figure </w:t>
      </w:r>
      <w:r w:rsidR="007C7455">
        <w:rPr>
          <w:rFonts w:ascii="Arial" w:hAnsi="Arial" w:cs="Arial"/>
          <w:sz w:val="22"/>
          <w:szCs w:val="22"/>
        </w:rPr>
        <w:t>3</w:t>
      </w:r>
      <w:r w:rsidR="00DE7274" w:rsidRPr="0002326A">
        <w:rPr>
          <w:rFonts w:ascii="Arial" w:hAnsi="Arial" w:cs="Arial"/>
          <w:sz w:val="22"/>
          <w:szCs w:val="22"/>
        </w:rPr>
        <w:t xml:space="preserve">F). In contrast, CD8_7 had minimal </w:t>
      </w:r>
      <w:r w:rsidR="00F218E4" w:rsidRPr="0002326A">
        <w:rPr>
          <w:rFonts w:ascii="Arial" w:hAnsi="Arial" w:cs="Arial"/>
          <w:sz w:val="22"/>
          <w:szCs w:val="22"/>
        </w:rPr>
        <w:t>overlapping</w:t>
      </w:r>
      <w:r w:rsidR="00DE7274" w:rsidRPr="0002326A">
        <w:rPr>
          <w:rFonts w:ascii="Arial" w:hAnsi="Arial" w:cs="Arial"/>
          <w:sz w:val="22"/>
          <w:szCs w:val="22"/>
        </w:rPr>
        <w:t xml:space="preserve"> clonotypes with other subclusters (Figure </w:t>
      </w:r>
      <w:r w:rsidR="007C7455">
        <w:rPr>
          <w:rFonts w:ascii="Arial" w:hAnsi="Arial" w:cs="Arial"/>
          <w:sz w:val="22"/>
          <w:szCs w:val="22"/>
        </w:rPr>
        <w:t>3</w:t>
      </w:r>
      <w:r w:rsidR="00DE7274" w:rsidRPr="0002326A">
        <w:rPr>
          <w:rFonts w:ascii="Arial" w:hAnsi="Arial" w:cs="Arial"/>
          <w:sz w:val="22"/>
          <w:szCs w:val="22"/>
        </w:rPr>
        <w:t>F).</w:t>
      </w:r>
      <w:r w:rsidR="009060F7" w:rsidRPr="0002326A">
        <w:rPr>
          <w:rFonts w:ascii="Arial" w:hAnsi="Arial" w:cs="Arial"/>
          <w:sz w:val="22"/>
          <w:szCs w:val="22"/>
        </w:rPr>
        <w:t xml:space="preserve"> </w:t>
      </w:r>
      <w:r w:rsidR="00D44203" w:rsidRPr="0002326A">
        <w:rPr>
          <w:rFonts w:ascii="Arial" w:hAnsi="Arial" w:cs="Arial"/>
          <w:sz w:val="22"/>
          <w:szCs w:val="22"/>
        </w:rPr>
        <w:t>This relationship was seen also independent of the individual patient sequenced (</w:t>
      </w:r>
      <w:r w:rsidR="00D44203" w:rsidRPr="00BE5804">
        <w:rPr>
          <w:rFonts w:ascii="Arial" w:hAnsi="Arial" w:cs="Arial"/>
          <w:sz w:val="22"/>
          <w:szCs w:val="22"/>
        </w:rPr>
        <w:t xml:space="preserve">Supplemental Figure </w:t>
      </w:r>
      <w:r w:rsidR="00BE5804" w:rsidRPr="00BE5804">
        <w:rPr>
          <w:rFonts w:ascii="Arial" w:hAnsi="Arial" w:cs="Arial"/>
          <w:sz w:val="22"/>
          <w:szCs w:val="22"/>
        </w:rPr>
        <w:t>2</w:t>
      </w:r>
      <w:r w:rsidR="00D44203" w:rsidRPr="0002326A">
        <w:rPr>
          <w:rFonts w:ascii="Arial" w:hAnsi="Arial" w:cs="Arial"/>
          <w:sz w:val="22"/>
          <w:szCs w:val="22"/>
        </w:rPr>
        <w:t xml:space="preserve">). </w:t>
      </w:r>
      <w:r w:rsidR="009060F7" w:rsidRPr="0002326A">
        <w:rPr>
          <w:rFonts w:ascii="Arial" w:hAnsi="Arial" w:cs="Arial"/>
          <w:sz w:val="22"/>
          <w:szCs w:val="22"/>
        </w:rPr>
        <w:t xml:space="preserve">In order to assess possible functional differences based on these branching, we performed gene set enrichment analysis (Figure </w:t>
      </w:r>
      <w:r w:rsidR="007C7455">
        <w:rPr>
          <w:rFonts w:ascii="Arial" w:hAnsi="Arial" w:cs="Arial"/>
          <w:sz w:val="22"/>
          <w:szCs w:val="22"/>
        </w:rPr>
        <w:t>3</w:t>
      </w:r>
      <w:r w:rsidR="00DE7274" w:rsidRPr="0002326A">
        <w:rPr>
          <w:rFonts w:ascii="Arial" w:hAnsi="Arial" w:cs="Arial"/>
          <w:sz w:val="22"/>
          <w:szCs w:val="22"/>
        </w:rPr>
        <w:t>G</w:t>
      </w:r>
      <w:r w:rsidR="009060F7" w:rsidRPr="0002326A">
        <w:rPr>
          <w:rFonts w:ascii="Arial" w:hAnsi="Arial" w:cs="Arial"/>
          <w:sz w:val="22"/>
          <w:szCs w:val="22"/>
        </w:rPr>
        <w:t xml:space="preserve">). </w:t>
      </w:r>
      <w:r w:rsidR="009D0802" w:rsidRPr="0002326A">
        <w:rPr>
          <w:rFonts w:ascii="Arial" w:hAnsi="Arial" w:cs="Arial"/>
          <w:sz w:val="22"/>
          <w:szCs w:val="22"/>
        </w:rPr>
        <w:t xml:space="preserve">As expected based on the immune checkpoint inhibitors expression, </w:t>
      </w:r>
      <w:r w:rsidR="009060F7" w:rsidRPr="0002326A">
        <w:rPr>
          <w:rFonts w:ascii="Arial" w:hAnsi="Arial" w:cs="Arial"/>
          <w:sz w:val="22"/>
          <w:szCs w:val="22"/>
        </w:rPr>
        <w:t xml:space="preserve">Clusters CD8_0 and CD8_5 showed increased terminal differentiation and </w:t>
      </w:r>
      <w:r w:rsidR="009D0802" w:rsidRPr="0002326A">
        <w:rPr>
          <w:rFonts w:ascii="Arial" w:hAnsi="Arial" w:cs="Arial"/>
          <w:sz w:val="22"/>
          <w:szCs w:val="22"/>
        </w:rPr>
        <w:t xml:space="preserve">exhaustion (Figure </w:t>
      </w:r>
      <w:r w:rsidR="004C58A7">
        <w:rPr>
          <w:rFonts w:ascii="Arial" w:hAnsi="Arial" w:cs="Arial"/>
          <w:sz w:val="22"/>
          <w:szCs w:val="22"/>
        </w:rPr>
        <w:t>3</w:t>
      </w:r>
      <w:r w:rsidR="00DE7274" w:rsidRPr="0002326A">
        <w:rPr>
          <w:rFonts w:ascii="Arial" w:hAnsi="Arial" w:cs="Arial"/>
          <w:sz w:val="22"/>
          <w:szCs w:val="22"/>
        </w:rPr>
        <w:t>G</w:t>
      </w:r>
      <w:r w:rsidR="009D0802" w:rsidRPr="0002326A">
        <w:rPr>
          <w:rFonts w:ascii="Arial" w:hAnsi="Arial" w:cs="Arial"/>
          <w:sz w:val="22"/>
          <w:szCs w:val="22"/>
        </w:rPr>
        <w:t>). Cytolytic gene enrichment was seen in CD8_1, the PRF1</w:t>
      </w:r>
      <w:r w:rsidR="009D0802" w:rsidRPr="0002326A">
        <w:rPr>
          <w:rFonts w:ascii="Arial" w:hAnsi="Arial" w:cs="Arial"/>
          <w:sz w:val="22"/>
          <w:szCs w:val="22"/>
          <w:vertAlign w:val="superscript"/>
        </w:rPr>
        <w:t>+</w:t>
      </w:r>
      <w:r w:rsidR="009D0802" w:rsidRPr="0002326A">
        <w:rPr>
          <w:rFonts w:ascii="Arial" w:hAnsi="Arial" w:cs="Arial"/>
          <w:sz w:val="22"/>
          <w:szCs w:val="22"/>
        </w:rPr>
        <w:t xml:space="preserve"> IFNG</w:t>
      </w:r>
      <w:r w:rsidR="009D0802" w:rsidRPr="0002326A">
        <w:rPr>
          <w:rFonts w:ascii="Arial" w:hAnsi="Arial" w:cs="Arial"/>
          <w:sz w:val="22"/>
          <w:szCs w:val="22"/>
          <w:vertAlign w:val="superscript"/>
        </w:rPr>
        <w:t xml:space="preserve">+ </w:t>
      </w:r>
      <w:r w:rsidR="009D0802" w:rsidRPr="0002326A">
        <w:rPr>
          <w:rFonts w:ascii="Arial" w:hAnsi="Arial" w:cs="Arial"/>
          <w:sz w:val="22"/>
          <w:szCs w:val="22"/>
        </w:rPr>
        <w:t xml:space="preserve">population lacking immune checkpoints (Figure </w:t>
      </w:r>
      <w:r w:rsidR="007C7455">
        <w:rPr>
          <w:rFonts w:ascii="Arial" w:hAnsi="Arial" w:cs="Arial"/>
          <w:sz w:val="22"/>
          <w:szCs w:val="22"/>
        </w:rPr>
        <w:t>3</w:t>
      </w:r>
      <w:r w:rsidR="00DE7274" w:rsidRPr="0002326A">
        <w:rPr>
          <w:rFonts w:ascii="Arial" w:hAnsi="Arial" w:cs="Arial"/>
          <w:sz w:val="22"/>
          <w:szCs w:val="22"/>
        </w:rPr>
        <w:t>G</w:t>
      </w:r>
      <w:r w:rsidR="009D0802" w:rsidRPr="0002326A">
        <w:rPr>
          <w:rFonts w:ascii="Arial" w:hAnsi="Arial" w:cs="Arial"/>
          <w:sz w:val="22"/>
          <w:szCs w:val="22"/>
        </w:rPr>
        <w:t>). The highly proliferative CD8_6 population was enriched for metabolic activity, such as the tricarboxylic acid cycle and glycolysis, and DNA repair</w:t>
      </w:r>
      <w:r w:rsidR="00EE5773" w:rsidRPr="0002326A">
        <w:rPr>
          <w:rFonts w:ascii="Arial" w:hAnsi="Arial" w:cs="Arial"/>
          <w:sz w:val="22"/>
          <w:szCs w:val="22"/>
        </w:rPr>
        <w:t xml:space="preserve"> (Figure </w:t>
      </w:r>
      <w:r w:rsidR="004C58A7">
        <w:rPr>
          <w:rFonts w:ascii="Arial" w:hAnsi="Arial" w:cs="Arial"/>
          <w:sz w:val="22"/>
          <w:szCs w:val="22"/>
        </w:rPr>
        <w:t>3</w:t>
      </w:r>
      <w:r w:rsidR="00DE7274" w:rsidRPr="0002326A">
        <w:rPr>
          <w:rFonts w:ascii="Arial" w:hAnsi="Arial" w:cs="Arial"/>
          <w:sz w:val="22"/>
          <w:szCs w:val="22"/>
        </w:rPr>
        <w:t>G</w:t>
      </w:r>
      <w:r w:rsidR="00EE5773" w:rsidRPr="0002326A">
        <w:rPr>
          <w:rFonts w:ascii="Arial" w:hAnsi="Arial" w:cs="Arial"/>
          <w:sz w:val="22"/>
          <w:szCs w:val="22"/>
        </w:rPr>
        <w:t>)</w:t>
      </w:r>
      <w:r w:rsidR="009D0802" w:rsidRPr="0002326A">
        <w:rPr>
          <w:rFonts w:ascii="Arial" w:hAnsi="Arial" w:cs="Arial"/>
          <w:sz w:val="22"/>
          <w:szCs w:val="22"/>
        </w:rPr>
        <w:t>. The B</w:t>
      </w:r>
      <w:r w:rsidR="009D0802" w:rsidRPr="0002326A">
        <w:rPr>
          <w:rFonts w:ascii="Arial" w:hAnsi="Arial" w:cs="Arial"/>
          <w:sz w:val="22"/>
          <w:szCs w:val="22"/>
          <w:vertAlign w:val="subscript"/>
        </w:rPr>
        <w:t>2</w:t>
      </w:r>
      <w:r w:rsidR="009D0802" w:rsidRPr="0002326A">
        <w:rPr>
          <w:rFonts w:ascii="Arial" w:hAnsi="Arial" w:cs="Arial"/>
          <w:sz w:val="22"/>
          <w:szCs w:val="22"/>
        </w:rPr>
        <w:t xml:space="preserve"> curve termination cluster, CD8_2, has preferential enrichment of cytokine signaling, such as IL-2/STAT5, TGFβ, and </w:t>
      </w:r>
      <w:r w:rsidR="00EE5773" w:rsidRPr="0002326A">
        <w:rPr>
          <w:rFonts w:ascii="Arial" w:hAnsi="Arial" w:cs="Arial"/>
          <w:sz w:val="22"/>
          <w:szCs w:val="22"/>
        </w:rPr>
        <w:t>t</w:t>
      </w:r>
      <w:r w:rsidR="009D0802" w:rsidRPr="0002326A">
        <w:rPr>
          <w:rFonts w:ascii="Arial" w:hAnsi="Arial" w:cs="Arial"/>
          <w:sz w:val="22"/>
          <w:szCs w:val="22"/>
        </w:rPr>
        <w:t xml:space="preserve">ype 1 interferons (Figure </w:t>
      </w:r>
      <w:r w:rsidR="007C7455">
        <w:rPr>
          <w:rFonts w:ascii="Arial" w:hAnsi="Arial" w:cs="Arial"/>
          <w:sz w:val="22"/>
          <w:szCs w:val="22"/>
        </w:rPr>
        <w:t>3</w:t>
      </w:r>
      <w:r w:rsidR="00DE7274" w:rsidRPr="0002326A">
        <w:rPr>
          <w:rFonts w:ascii="Arial" w:hAnsi="Arial" w:cs="Arial"/>
          <w:sz w:val="22"/>
          <w:szCs w:val="22"/>
        </w:rPr>
        <w:t>H</w:t>
      </w:r>
      <w:r w:rsidR="009D0802" w:rsidRPr="0002326A">
        <w:rPr>
          <w:rFonts w:ascii="Arial" w:hAnsi="Arial" w:cs="Arial"/>
          <w:sz w:val="22"/>
          <w:szCs w:val="22"/>
        </w:rPr>
        <w:t xml:space="preserve">). </w:t>
      </w:r>
      <w:r w:rsidR="00853C93" w:rsidRPr="0002326A">
        <w:rPr>
          <w:rFonts w:ascii="Arial" w:hAnsi="Arial" w:cs="Arial"/>
          <w:sz w:val="22"/>
          <w:szCs w:val="22"/>
        </w:rPr>
        <w:t>With immune checkpoint inhibitor responsiveness associated with distinct CD8</w:t>
      </w:r>
      <w:r w:rsidR="00853C93" w:rsidRPr="0002326A">
        <w:rPr>
          <w:rFonts w:ascii="Arial" w:hAnsi="Arial" w:cs="Arial"/>
          <w:sz w:val="22"/>
          <w:szCs w:val="22"/>
          <w:vertAlign w:val="superscript"/>
        </w:rPr>
        <w:t>+</w:t>
      </w:r>
      <w:r w:rsidR="00853C93" w:rsidRPr="0002326A">
        <w:rPr>
          <w:rFonts w:ascii="Arial" w:hAnsi="Arial" w:cs="Arial"/>
          <w:sz w:val="22"/>
          <w:szCs w:val="22"/>
        </w:rPr>
        <w:t xml:space="preserve"> T cell populations </w:t>
      </w:r>
      <w:r w:rsidR="00853C93"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853C93" w:rsidRPr="0002326A">
        <w:rPr>
          <w:rFonts w:ascii="Arial" w:hAnsi="Arial" w:cs="Arial"/>
          <w:sz w:val="22"/>
          <w:szCs w:val="22"/>
        </w:rPr>
        <w:fldChar w:fldCharType="separate"/>
      </w:r>
      <w:r w:rsidR="00B7170F" w:rsidRPr="00B7170F">
        <w:rPr>
          <w:rFonts w:ascii="Arial" w:hAnsi="Arial" w:cs="Arial"/>
          <w:noProof/>
          <w:sz w:val="22"/>
          <w:szCs w:val="22"/>
        </w:rPr>
        <w:t>(22)</w:t>
      </w:r>
      <w:r w:rsidR="00853C93" w:rsidRPr="0002326A">
        <w:rPr>
          <w:rFonts w:ascii="Arial" w:hAnsi="Arial" w:cs="Arial"/>
          <w:sz w:val="22"/>
          <w:szCs w:val="22"/>
        </w:rPr>
        <w:fldChar w:fldCharType="end"/>
      </w:r>
      <w:r w:rsidR="00853C93" w:rsidRPr="0002326A">
        <w:rPr>
          <w:rFonts w:ascii="Arial" w:hAnsi="Arial" w:cs="Arial"/>
          <w:sz w:val="22"/>
          <w:szCs w:val="22"/>
        </w:rPr>
        <w:t xml:space="preserve">, we next examined enrichment of signatures associated with response or nonresponse to anti-PD-1 therapies (Figure </w:t>
      </w:r>
      <w:r w:rsidR="007C7455">
        <w:rPr>
          <w:rFonts w:ascii="Arial" w:hAnsi="Arial" w:cs="Arial"/>
          <w:sz w:val="22"/>
          <w:szCs w:val="22"/>
        </w:rPr>
        <w:t>3</w:t>
      </w:r>
      <w:r w:rsidR="00DE7274" w:rsidRPr="0002326A">
        <w:rPr>
          <w:rFonts w:ascii="Arial" w:hAnsi="Arial" w:cs="Arial"/>
          <w:sz w:val="22"/>
          <w:szCs w:val="22"/>
        </w:rPr>
        <w:t>H</w:t>
      </w:r>
      <w:r w:rsidR="00853C93" w:rsidRPr="0002326A">
        <w:rPr>
          <w:rFonts w:ascii="Arial" w:hAnsi="Arial" w:cs="Arial"/>
          <w:sz w:val="22"/>
          <w:szCs w:val="22"/>
        </w:rPr>
        <w:t xml:space="preserve">). </w:t>
      </w:r>
      <w:r w:rsidR="00EE5773" w:rsidRPr="0002326A">
        <w:rPr>
          <w:rFonts w:ascii="Arial" w:hAnsi="Arial" w:cs="Arial"/>
          <w:sz w:val="22"/>
          <w:szCs w:val="22"/>
        </w:rPr>
        <w:t>Using the ordinal construction of the trajectories, we created a pseudotime variable for cells</w:t>
      </w:r>
      <w:r w:rsidR="00853C93" w:rsidRPr="0002326A">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02326A">
        <w:rPr>
          <w:rFonts w:ascii="Arial" w:hAnsi="Arial" w:cs="Arial"/>
          <w:sz w:val="22"/>
          <w:szCs w:val="22"/>
          <w:vertAlign w:val="subscript"/>
        </w:rPr>
        <w:t>2</w:t>
      </w:r>
      <w:r w:rsidR="00853C93" w:rsidRPr="0002326A">
        <w:rPr>
          <w:rFonts w:ascii="Arial" w:hAnsi="Arial" w:cs="Arial"/>
          <w:sz w:val="22"/>
          <w:szCs w:val="22"/>
        </w:rPr>
        <w:t xml:space="preserve"> and midpoints of B</w:t>
      </w:r>
      <w:r w:rsidR="00853C93" w:rsidRPr="0002326A">
        <w:rPr>
          <w:rFonts w:ascii="Arial" w:hAnsi="Arial" w:cs="Arial"/>
          <w:sz w:val="22"/>
          <w:szCs w:val="22"/>
          <w:vertAlign w:val="subscript"/>
        </w:rPr>
        <w:t>3</w:t>
      </w:r>
      <w:r w:rsidR="00853C93" w:rsidRPr="0002326A">
        <w:rPr>
          <w:rFonts w:ascii="Arial" w:hAnsi="Arial" w:cs="Arial"/>
          <w:sz w:val="22"/>
          <w:szCs w:val="22"/>
        </w:rPr>
        <w:t>, B</w:t>
      </w:r>
      <w:r w:rsidR="00853C93" w:rsidRPr="0002326A">
        <w:rPr>
          <w:rFonts w:ascii="Arial" w:hAnsi="Arial" w:cs="Arial"/>
          <w:sz w:val="22"/>
          <w:szCs w:val="22"/>
          <w:vertAlign w:val="subscript"/>
        </w:rPr>
        <w:t>4</w:t>
      </w:r>
      <w:r w:rsidR="00853C93" w:rsidRPr="0002326A">
        <w:rPr>
          <w:rFonts w:ascii="Arial" w:hAnsi="Arial" w:cs="Arial"/>
          <w:sz w:val="22"/>
          <w:szCs w:val="22"/>
        </w:rPr>
        <w:t xml:space="preserve"> and B</w:t>
      </w:r>
      <w:r w:rsidR="00853C93" w:rsidRPr="0002326A">
        <w:rPr>
          <w:rFonts w:ascii="Arial" w:hAnsi="Arial" w:cs="Arial"/>
          <w:sz w:val="22"/>
          <w:szCs w:val="22"/>
          <w:vertAlign w:val="subscript"/>
        </w:rPr>
        <w:t>5</w:t>
      </w:r>
      <w:r w:rsidR="00853C93" w:rsidRPr="0002326A">
        <w:rPr>
          <w:rFonts w:ascii="Arial" w:hAnsi="Arial" w:cs="Arial"/>
          <w:sz w:val="22"/>
          <w:szCs w:val="22"/>
        </w:rPr>
        <w:t xml:space="preserve">, corresponding to cells in CD8_1 (Figure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blue lines</w:t>
      </w:r>
      <w:r w:rsidR="00853C93" w:rsidRPr="0002326A">
        <w:rPr>
          <w:rFonts w:ascii="Arial" w:hAnsi="Arial" w:cs="Arial"/>
          <w:sz w:val="22"/>
          <w:szCs w:val="22"/>
        </w:rPr>
        <w:t xml:space="preserve">). </w:t>
      </w:r>
      <w:r w:rsidR="00CF33B7" w:rsidRPr="0002326A">
        <w:rPr>
          <w:rFonts w:ascii="Arial" w:hAnsi="Arial" w:cs="Arial"/>
          <w:sz w:val="22"/>
          <w:szCs w:val="22"/>
        </w:rPr>
        <w:t xml:space="preserve">Likewise, we observed an overall increase in gene expression </w:t>
      </w:r>
      <w:r w:rsidR="00CF33B7" w:rsidRPr="0002326A">
        <w:rPr>
          <w:rFonts w:ascii="Arial" w:hAnsi="Arial" w:cs="Arial"/>
          <w:sz w:val="22"/>
          <w:szCs w:val="22"/>
        </w:rPr>
        <w:lastRenderedPageBreak/>
        <w:t>associated with no response or progression was observed at the terminal points of B</w:t>
      </w:r>
      <w:r w:rsidR="00CF33B7" w:rsidRPr="0002326A">
        <w:rPr>
          <w:rFonts w:ascii="Arial" w:hAnsi="Arial" w:cs="Arial"/>
          <w:sz w:val="22"/>
          <w:szCs w:val="22"/>
          <w:vertAlign w:val="subscript"/>
        </w:rPr>
        <w:t>3</w:t>
      </w:r>
      <w:r w:rsidR="00CF33B7" w:rsidRPr="0002326A">
        <w:rPr>
          <w:rFonts w:ascii="Arial" w:hAnsi="Arial" w:cs="Arial"/>
          <w:sz w:val="22"/>
          <w:szCs w:val="22"/>
        </w:rPr>
        <w:t>, B</w:t>
      </w:r>
      <w:r w:rsidR="00CF33B7" w:rsidRPr="0002326A">
        <w:rPr>
          <w:rFonts w:ascii="Arial" w:hAnsi="Arial" w:cs="Arial"/>
          <w:sz w:val="22"/>
          <w:szCs w:val="22"/>
          <w:vertAlign w:val="subscript"/>
        </w:rPr>
        <w:t>4</w:t>
      </w:r>
      <w:r w:rsidR="00CF33B7" w:rsidRPr="0002326A">
        <w:rPr>
          <w:rFonts w:ascii="Arial" w:hAnsi="Arial" w:cs="Arial"/>
          <w:sz w:val="22"/>
          <w:szCs w:val="22"/>
        </w:rPr>
        <w:t>, and B</w:t>
      </w:r>
      <w:r w:rsidR="00CF33B7" w:rsidRPr="0002326A">
        <w:rPr>
          <w:rFonts w:ascii="Arial" w:hAnsi="Arial" w:cs="Arial"/>
          <w:sz w:val="22"/>
          <w:szCs w:val="22"/>
          <w:vertAlign w:val="subscript"/>
        </w:rPr>
        <w:t>5</w:t>
      </w:r>
      <w:r w:rsidR="00CF33B7" w:rsidRPr="0002326A">
        <w:rPr>
          <w:rFonts w:ascii="Arial" w:hAnsi="Arial" w:cs="Arial"/>
          <w:sz w:val="22"/>
          <w:szCs w:val="22"/>
        </w:rPr>
        <w:t xml:space="preserve"> (Figure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red lines).</w:t>
      </w:r>
      <w:r w:rsidR="00666678" w:rsidRPr="0002326A">
        <w:rPr>
          <w:rFonts w:ascii="Arial" w:hAnsi="Arial" w:cs="Arial"/>
          <w:sz w:val="22"/>
          <w:szCs w:val="22"/>
        </w:rPr>
        <w:t xml:space="preserve"> </w:t>
      </w:r>
    </w:p>
    <w:p w14:paraId="62A98FA9" w14:textId="1DF92F99" w:rsidR="00BC0F7E" w:rsidRDefault="00BC0F7E" w:rsidP="00F72CA7">
      <w:pPr>
        <w:pStyle w:val="Paragraph"/>
        <w:snapToGrid w:val="0"/>
        <w:spacing w:line="480" w:lineRule="auto"/>
        <w:ind w:firstLine="0"/>
        <w:rPr>
          <w:rFonts w:ascii="Arial" w:hAnsi="Arial" w:cs="Arial"/>
          <w:sz w:val="22"/>
          <w:szCs w:val="22"/>
        </w:rPr>
      </w:pPr>
    </w:p>
    <w:p w14:paraId="5261F392" w14:textId="77777777" w:rsidR="00BC0F7E" w:rsidRPr="001D7F41" w:rsidRDefault="00BC0F7E" w:rsidP="00BC0F7E">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12C9F67E" w14:textId="2951F3FF" w:rsidR="00BC0F7E" w:rsidRDefault="00BC0F7E" w:rsidP="00BC0F7E">
      <w:pPr>
        <w:pStyle w:val="Paragraph"/>
        <w:snapToGrid w:val="0"/>
        <w:spacing w:line="480" w:lineRule="auto"/>
        <w:ind w:firstLine="0"/>
        <w:rPr>
          <w:rFonts w:ascii="Arial" w:hAnsi="Arial" w:cs="Arial"/>
          <w:sz w:val="22"/>
          <w:szCs w:val="22"/>
        </w:rPr>
      </w:pPr>
      <w:r w:rsidRPr="001D7F41">
        <w:rPr>
          <w:rFonts w:ascii="Arial" w:hAnsi="Arial" w:cs="Arial"/>
          <w:sz w:val="22"/>
          <w:szCs w:val="22"/>
        </w:rPr>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w:t>
      </w:r>
      <w:r w:rsidR="004C58A7">
        <w:rPr>
          <w:rFonts w:ascii="Arial" w:hAnsi="Arial" w:cs="Arial"/>
          <w:sz w:val="22"/>
          <w:szCs w:val="22"/>
        </w:rPr>
        <w:t>s</w:t>
      </w:r>
      <w:r w:rsidRPr="001D7F41">
        <w:rPr>
          <w:rFonts w:ascii="Arial" w:hAnsi="Arial" w:cs="Arial"/>
          <w:sz w:val="22"/>
          <w:szCs w:val="22"/>
        </w:rPr>
        <w:t xml:space="preserve"> for dampening responses from</w:t>
      </w:r>
      <w:r w:rsidR="004C58A7">
        <w:rPr>
          <w:rFonts w:ascii="Arial" w:hAnsi="Arial" w:cs="Arial"/>
          <w:sz w:val="22"/>
          <w:szCs w:val="22"/>
        </w:rPr>
        <w:t xml:space="preserve"> the</w:t>
      </w:r>
      <w:r w:rsidRPr="001D7F41">
        <w:rPr>
          <w:rFonts w:ascii="Arial" w:hAnsi="Arial" w:cs="Arial"/>
          <w:sz w:val="22"/>
          <w:szCs w:val="22"/>
        </w:rPr>
        <w:t xml:space="preserve"> immune system against cancer.</w:t>
      </w:r>
      <w:r>
        <w:rPr>
          <w:rFonts w:ascii="Arial" w:hAnsi="Arial" w:cs="Arial"/>
          <w:sz w:val="22"/>
          <w:szCs w:val="22"/>
        </w:rPr>
        <w:t xml:space="preserve"> Subclustering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w:t>
      </w:r>
      <w:r w:rsidR="007C7455">
        <w:rPr>
          <w:rFonts w:ascii="Arial" w:hAnsi="Arial" w:cs="Arial"/>
          <w:sz w:val="22"/>
          <w:szCs w:val="22"/>
        </w:rPr>
        <w:t>4A</w:t>
      </w:r>
      <w:r>
        <w:rPr>
          <w:rFonts w:ascii="Arial" w:hAnsi="Arial" w:cs="Arial"/>
          <w:sz w:val="22"/>
          <w:szCs w:val="22"/>
        </w:rPr>
        <w:t>), with a similar pattern to tissue distribution of predominantly peripheral blood CD4+ T cells on the right leading to tissue-infiltrating CD4</w:t>
      </w:r>
      <w:r w:rsidRPr="00835B79">
        <w:rPr>
          <w:rFonts w:ascii="Arial" w:hAnsi="Arial" w:cs="Arial"/>
          <w:sz w:val="22"/>
          <w:szCs w:val="22"/>
          <w:vertAlign w:val="superscript"/>
        </w:rPr>
        <w:t>+</w:t>
      </w:r>
      <w:r>
        <w:rPr>
          <w:rFonts w:ascii="Arial" w:hAnsi="Arial" w:cs="Arial"/>
          <w:sz w:val="22"/>
          <w:szCs w:val="22"/>
        </w:rPr>
        <w:t xml:space="preserve"> T cells on the left (Figure </w:t>
      </w:r>
      <w:r w:rsidR="007C7455">
        <w:rPr>
          <w:rFonts w:ascii="Arial" w:hAnsi="Arial" w:cs="Arial"/>
          <w:sz w:val="22"/>
          <w:szCs w:val="22"/>
        </w:rPr>
        <w:t>4B</w:t>
      </w:r>
      <w:r>
        <w:rPr>
          <w:rFonts w:ascii="Arial" w:hAnsi="Arial" w:cs="Arial"/>
          <w:sz w:val="22"/>
          <w:szCs w:val="22"/>
        </w:rPr>
        <w:t xml:space="preserve">). The CD4_8 was </w:t>
      </w:r>
      <w:r w:rsidR="004C58A7">
        <w:rPr>
          <w:rFonts w:ascii="Arial" w:hAnsi="Arial" w:cs="Arial"/>
          <w:sz w:val="22"/>
          <w:szCs w:val="22"/>
        </w:rPr>
        <w:t xml:space="preserve">composed </w:t>
      </w:r>
      <w:r>
        <w:rPr>
          <w:rFonts w:ascii="Arial" w:hAnsi="Arial" w:cs="Arial"/>
          <w:sz w:val="22"/>
          <w:szCs w:val="22"/>
        </w:rPr>
        <w:t>solely of peripheral blood cells from the hea</w:t>
      </w:r>
      <w:r w:rsidR="004C58A7">
        <w:rPr>
          <w:rFonts w:ascii="Arial" w:hAnsi="Arial" w:cs="Arial"/>
          <w:sz w:val="22"/>
          <w:szCs w:val="22"/>
        </w:rPr>
        <w:t>l</w:t>
      </w:r>
      <w:r>
        <w:rPr>
          <w:rFonts w:ascii="Arial" w:hAnsi="Arial" w:cs="Arial"/>
          <w:sz w:val="22"/>
          <w:szCs w:val="22"/>
        </w:rPr>
        <w:t>thy donor and was eliminated from the remaining analysis.</w:t>
      </w:r>
      <w:r w:rsidRPr="00835B79">
        <w:rPr>
          <w:rFonts w:ascii="Arial" w:hAnsi="Arial" w:cs="Arial"/>
          <w:sz w:val="22"/>
          <w:szCs w:val="22"/>
        </w:rPr>
        <w:t xml:space="preserve"> </w:t>
      </w:r>
      <w:r>
        <w:rPr>
          <w:rFonts w:ascii="Arial" w:hAnsi="Arial" w:cs="Arial"/>
          <w:sz w:val="22"/>
          <w:szCs w:val="22"/>
        </w:rPr>
        <w:t>Like the CD8</w:t>
      </w:r>
      <w:r w:rsidRPr="00CF7968">
        <w:rPr>
          <w:rFonts w:ascii="Arial" w:hAnsi="Arial" w:cs="Arial"/>
          <w:sz w:val="22"/>
          <w:szCs w:val="22"/>
          <w:vertAlign w:val="superscript"/>
        </w:rPr>
        <w:t>+</w:t>
      </w:r>
      <w:r>
        <w:rPr>
          <w:rFonts w:ascii="Arial" w:hAnsi="Arial" w:cs="Arial"/>
          <w:sz w:val="22"/>
          <w:szCs w:val="22"/>
        </w:rPr>
        <w:t xml:space="preserve"> T cells, we next examined the canonical and differential T cells markers differences along the UMAP (Figure </w:t>
      </w:r>
      <w:r w:rsidR="007C7455">
        <w:rPr>
          <w:rFonts w:ascii="Arial" w:hAnsi="Arial" w:cs="Arial"/>
          <w:sz w:val="22"/>
          <w:szCs w:val="22"/>
        </w:rPr>
        <w:t>4</w:t>
      </w:r>
      <w:r>
        <w:rPr>
          <w:rFonts w:ascii="Arial" w:hAnsi="Arial" w:cs="Arial"/>
          <w:sz w:val="22"/>
          <w:szCs w:val="22"/>
        </w:rPr>
        <w:t xml:space="preserve">C). The first pattern that emerged was a naïve </w:t>
      </w:r>
      <w:r w:rsidRPr="009B229C">
        <w:rPr>
          <w:rFonts w:ascii="Arial" w:hAnsi="Arial" w:cs="Arial"/>
          <w:i/>
          <w:iCs/>
          <w:sz w:val="22"/>
          <w:szCs w:val="22"/>
        </w:rPr>
        <w:t>CCR7</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SELL</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TCF7</w:t>
      </w:r>
      <w:r w:rsidRPr="009B229C">
        <w:rPr>
          <w:rFonts w:ascii="Arial" w:hAnsi="Arial" w:cs="Arial"/>
          <w:sz w:val="22"/>
          <w:szCs w:val="22"/>
          <w:vertAlign w:val="superscript"/>
        </w:rPr>
        <w:t>+</w:t>
      </w:r>
      <w:r>
        <w:rPr>
          <w:rFonts w:ascii="Arial" w:hAnsi="Arial" w:cs="Arial"/>
          <w:sz w:val="22"/>
          <w:szCs w:val="22"/>
        </w:rPr>
        <w:t xml:space="preserve"> being seen in CD4_1 and CD4_3 (Figure </w:t>
      </w:r>
      <w:r w:rsidR="007C7455">
        <w:rPr>
          <w:rFonts w:ascii="Arial" w:hAnsi="Arial" w:cs="Arial"/>
          <w:sz w:val="22"/>
          <w:szCs w:val="22"/>
        </w:rPr>
        <w:t>4</w:t>
      </w:r>
      <w:r>
        <w:rPr>
          <w:rFonts w:ascii="Arial" w:hAnsi="Arial" w:cs="Arial"/>
          <w:sz w:val="22"/>
          <w:szCs w:val="22"/>
        </w:rPr>
        <w:t xml:space="preserve">C). Within the tumor-infiltrating CD4_4 cluster, we observed increased expression of the Th1 driver </w:t>
      </w:r>
      <w:r w:rsidRPr="00CF7968">
        <w:rPr>
          <w:rFonts w:ascii="Arial" w:hAnsi="Arial" w:cs="Arial"/>
          <w:i/>
          <w:sz w:val="22"/>
          <w:szCs w:val="22"/>
        </w:rPr>
        <w:t>TBX21</w:t>
      </w:r>
      <w:r>
        <w:rPr>
          <w:rFonts w:ascii="Arial" w:hAnsi="Arial" w:cs="Arial"/>
          <w:sz w:val="22"/>
          <w:szCs w:val="22"/>
        </w:rPr>
        <w:t xml:space="preserve"> (T-bet), activation marker </w:t>
      </w:r>
      <w:r w:rsidRPr="00CF7968">
        <w:rPr>
          <w:rFonts w:ascii="Arial" w:hAnsi="Arial" w:cs="Arial"/>
          <w:i/>
          <w:sz w:val="22"/>
          <w:szCs w:val="22"/>
        </w:rPr>
        <w:t>LAG3</w:t>
      </w:r>
      <w:r>
        <w:rPr>
          <w:rFonts w:ascii="Arial" w:hAnsi="Arial" w:cs="Arial"/>
          <w:sz w:val="22"/>
          <w:szCs w:val="22"/>
        </w:rPr>
        <w:t xml:space="preserve"> and </w:t>
      </w:r>
      <w:r w:rsidRPr="00CF7968">
        <w:rPr>
          <w:rFonts w:ascii="Arial" w:hAnsi="Arial" w:cs="Arial"/>
          <w:i/>
          <w:sz w:val="22"/>
          <w:szCs w:val="22"/>
        </w:rPr>
        <w:t>NR4A2</w:t>
      </w:r>
      <w:r>
        <w:rPr>
          <w:rFonts w:ascii="Arial" w:hAnsi="Arial" w:cs="Arial"/>
          <w:sz w:val="22"/>
          <w:szCs w:val="22"/>
        </w:rPr>
        <w:t xml:space="preserve"> and cytokine expression (Figure </w:t>
      </w:r>
      <w:r w:rsidR="007C7455">
        <w:rPr>
          <w:rFonts w:ascii="Arial" w:hAnsi="Arial" w:cs="Arial"/>
          <w:sz w:val="22"/>
          <w:szCs w:val="22"/>
        </w:rPr>
        <w:t>4</w:t>
      </w:r>
      <w:r>
        <w:rPr>
          <w:rFonts w:ascii="Arial" w:hAnsi="Arial" w:cs="Arial"/>
          <w:sz w:val="22"/>
          <w:szCs w:val="22"/>
        </w:rPr>
        <w:t xml:space="preserve">C). Both CD4_5 and CD4_7 had expression of regulatory T (Tregs) cell markers (Figure </w:t>
      </w:r>
      <w:r w:rsidR="007C7455">
        <w:rPr>
          <w:rFonts w:ascii="Arial" w:hAnsi="Arial" w:cs="Arial"/>
          <w:sz w:val="22"/>
          <w:szCs w:val="22"/>
        </w:rPr>
        <w:t>4</w:t>
      </w:r>
      <w:r>
        <w:rPr>
          <w:rFonts w:ascii="Arial" w:hAnsi="Arial" w:cs="Arial"/>
          <w:sz w:val="22"/>
          <w:szCs w:val="22"/>
        </w:rPr>
        <w:t xml:space="preserve">C), with higher levels of </w:t>
      </w:r>
      <w:r w:rsidRPr="00CF7968">
        <w:rPr>
          <w:rFonts w:ascii="Arial" w:hAnsi="Arial" w:cs="Arial"/>
          <w:i/>
          <w:iCs/>
          <w:sz w:val="22"/>
          <w:szCs w:val="22"/>
        </w:rPr>
        <w:t>FOXP3</w:t>
      </w:r>
      <w:r>
        <w:rPr>
          <w:rFonts w:ascii="Arial" w:hAnsi="Arial" w:cs="Arial"/>
          <w:sz w:val="22"/>
          <w:szCs w:val="22"/>
        </w:rPr>
        <w:t xml:space="preserve">, </w:t>
      </w:r>
      <w:r w:rsidRPr="00CF7968">
        <w:rPr>
          <w:rFonts w:ascii="Arial" w:hAnsi="Arial" w:cs="Arial"/>
          <w:i/>
          <w:iCs/>
          <w:sz w:val="22"/>
          <w:szCs w:val="22"/>
        </w:rPr>
        <w:t xml:space="preserve">IL2RA </w:t>
      </w:r>
      <w:r>
        <w:rPr>
          <w:rFonts w:ascii="Arial" w:hAnsi="Arial" w:cs="Arial"/>
          <w:sz w:val="22"/>
          <w:szCs w:val="22"/>
        </w:rPr>
        <w:t xml:space="preserve">(CD25), </w:t>
      </w:r>
      <w:r w:rsidRPr="00CF7968">
        <w:rPr>
          <w:rFonts w:ascii="Arial" w:hAnsi="Arial" w:cs="Arial"/>
          <w:i/>
          <w:iCs/>
          <w:sz w:val="22"/>
          <w:szCs w:val="22"/>
        </w:rPr>
        <w:t>CTLA4</w:t>
      </w:r>
      <w:r>
        <w:rPr>
          <w:rFonts w:ascii="Arial" w:hAnsi="Arial" w:cs="Arial"/>
          <w:sz w:val="22"/>
          <w:szCs w:val="22"/>
        </w:rPr>
        <w:t xml:space="preserve"> and </w:t>
      </w:r>
      <w:r w:rsidRPr="00CF7968">
        <w:rPr>
          <w:rFonts w:ascii="Arial" w:hAnsi="Arial" w:cs="Arial"/>
          <w:i/>
          <w:iCs/>
          <w:sz w:val="22"/>
          <w:szCs w:val="22"/>
        </w:rPr>
        <w:t>TNFRSF18</w:t>
      </w:r>
      <w:r>
        <w:rPr>
          <w:rFonts w:ascii="Arial" w:hAnsi="Arial" w:cs="Arial"/>
          <w:sz w:val="22"/>
          <w:szCs w:val="22"/>
        </w:rPr>
        <w:t xml:space="preserve"> (GITR) in the tumor-predominant CD4_5 (Figure </w:t>
      </w:r>
      <w:r w:rsidR="007C7455">
        <w:rPr>
          <w:rFonts w:ascii="Arial" w:hAnsi="Arial" w:cs="Arial"/>
          <w:sz w:val="22"/>
          <w:szCs w:val="22"/>
        </w:rPr>
        <w:t>4</w:t>
      </w:r>
      <w:r>
        <w:rPr>
          <w:rFonts w:ascii="Arial" w:hAnsi="Arial" w:cs="Arial"/>
          <w:sz w:val="22"/>
          <w:szCs w:val="22"/>
        </w:rPr>
        <w:t xml:space="preserve">C). </w:t>
      </w:r>
    </w:p>
    <w:p w14:paraId="6901FA11" w14:textId="77777777" w:rsidR="00BC0F7E" w:rsidRDefault="00BC0F7E" w:rsidP="00BC0F7E">
      <w:pPr>
        <w:pStyle w:val="Paragraph"/>
        <w:snapToGrid w:val="0"/>
        <w:spacing w:line="480" w:lineRule="auto"/>
        <w:ind w:firstLine="0"/>
        <w:rPr>
          <w:rFonts w:ascii="Arial" w:hAnsi="Arial" w:cs="Arial"/>
          <w:sz w:val="22"/>
          <w:szCs w:val="22"/>
        </w:rPr>
      </w:pPr>
    </w:p>
    <w:p w14:paraId="7BA3B4F4" w14:textId="7C22E8D4" w:rsidR="00BC0F7E" w:rsidRPr="00BC0F7E" w:rsidRDefault="00BC0F7E" w:rsidP="00F72CA7">
      <w:pPr>
        <w:pStyle w:val="Paragraph"/>
        <w:snapToGrid w:val="0"/>
        <w:spacing w:line="480" w:lineRule="auto"/>
        <w:ind w:firstLine="0"/>
        <w:rPr>
          <w:color w:val="000000"/>
        </w:rPr>
      </w:pPr>
      <w:r w:rsidRPr="000F0BCF">
        <w:rPr>
          <w:rFonts w:ascii="Arial" w:hAnsi="Arial" w:cs="Arial"/>
          <w:color w:val="000000"/>
          <w:sz w:val="21"/>
          <w:szCs w:val="21"/>
        </w:rPr>
        <w:t>Constructing the cell trajectory curves based on the CD4</w:t>
      </w:r>
      <w:r w:rsidRPr="007C7455">
        <w:rPr>
          <w:rFonts w:ascii="Arial" w:hAnsi="Arial" w:cs="Arial"/>
          <w:color w:val="000000"/>
          <w:sz w:val="21"/>
          <w:szCs w:val="21"/>
          <w:vertAlign w:val="superscript"/>
        </w:rPr>
        <w:t>+</w:t>
      </w:r>
      <w:r w:rsidRPr="000F0BCF">
        <w:rPr>
          <w:rFonts w:ascii="Arial" w:hAnsi="Arial" w:cs="Arial"/>
          <w:color w:val="000000"/>
          <w:sz w:val="21"/>
          <w:szCs w:val="21"/>
        </w:rPr>
        <w:t xml:space="preserve"> subclustering,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Clusters CD4_1 and CD4_3 leading to a common CD4_4 termination (Figure</w:t>
      </w:r>
      <w:r w:rsidRPr="00571916">
        <w:rPr>
          <w:rFonts w:ascii="Arial" w:hAnsi="Arial" w:cs="Arial"/>
          <w:sz w:val="22"/>
          <w:szCs w:val="22"/>
        </w:rPr>
        <w:t xml:space="preserve"> </w:t>
      </w:r>
      <w:r w:rsidR="007C7455">
        <w:rPr>
          <w:rFonts w:ascii="Arial" w:hAnsi="Arial" w:cs="Arial"/>
          <w:sz w:val="22"/>
          <w:szCs w:val="22"/>
        </w:rPr>
        <w:t>4</w:t>
      </w:r>
      <w:r w:rsidRPr="00571916">
        <w:rPr>
          <w:rFonts w:ascii="Arial" w:hAnsi="Arial" w:cs="Arial"/>
          <w:sz w:val="22"/>
          <w:szCs w:val="22"/>
        </w:rPr>
        <w:t>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D)</w:t>
      </w:r>
      <w:r w:rsidRPr="00571916">
        <w:rPr>
          <w:rFonts w:ascii="Arial" w:hAnsi="Arial" w:cs="Arial"/>
          <w:sz w:val="22"/>
          <w:szCs w:val="22"/>
        </w:rPr>
        <w:t xml:space="preserve">. This likely represents </w:t>
      </w:r>
      <w:r w:rsidRPr="00571916">
        <w:rPr>
          <w:rFonts w:ascii="Arial" w:hAnsi="Arial" w:cs="Arial"/>
          <w:sz w:val="22"/>
          <w:szCs w:val="22"/>
        </w:rPr>
        <w:lastRenderedPageBreak/>
        <w:t>a distinct expression pattern for Tregs (shared by CD4_5 and CD4_7) compared to other tumor-infiltrating CD4</w:t>
      </w:r>
      <w:r w:rsidRPr="00571916">
        <w:rPr>
          <w:rFonts w:ascii="Arial" w:hAnsi="Arial" w:cs="Arial"/>
          <w:sz w:val="22"/>
          <w:szCs w:val="22"/>
          <w:vertAlign w:val="superscript"/>
        </w:rPr>
        <w:t>+</w:t>
      </w:r>
      <w:r w:rsidRPr="00571916">
        <w:rPr>
          <w:rFonts w:ascii="Arial" w:hAnsi="Arial" w:cs="Arial"/>
          <w:sz w:val="22"/>
          <w:szCs w:val="22"/>
        </w:rPr>
        <w:t xml:space="preserve"> T cells.</w:t>
      </w:r>
      <w:r>
        <w:rPr>
          <w:rFonts w:ascii="Arial" w:hAnsi="Arial" w:cs="Arial"/>
          <w:sz w:val="22"/>
          <w:szCs w:val="22"/>
        </w:rPr>
        <w:t xml:space="preserve"> In addition, compared to the CD8</w:t>
      </w:r>
      <w:r w:rsidRPr="00B51CE4">
        <w:rPr>
          <w:rFonts w:ascii="Arial" w:hAnsi="Arial" w:cs="Arial"/>
          <w:sz w:val="22"/>
          <w:szCs w:val="22"/>
          <w:vertAlign w:val="superscript"/>
        </w:rPr>
        <w:t>+</w:t>
      </w:r>
      <w:r>
        <w:rPr>
          <w:rFonts w:ascii="Arial" w:hAnsi="Arial" w:cs="Arial"/>
          <w:sz w:val="22"/>
          <w:szCs w:val="22"/>
        </w:rPr>
        <w:t xml:space="preserve"> subclustering, modest clonal expansion was seen in CD4_4 and CD4_5 and was not a clear pattern for cell trajectory</w:t>
      </w:r>
      <w:r w:rsidR="009E221A">
        <w:rPr>
          <w:rFonts w:ascii="Arial" w:hAnsi="Arial" w:cs="Arial"/>
          <w:sz w:val="22"/>
          <w:szCs w:val="22"/>
        </w:rPr>
        <w:t xml:space="preserve"> (Figure 4E)</w:t>
      </w:r>
      <w:r>
        <w:rPr>
          <w:rFonts w:ascii="Arial" w:hAnsi="Arial" w:cs="Arial"/>
          <w:sz w:val="22"/>
          <w:szCs w:val="22"/>
        </w:rPr>
        <w:t>.</w:t>
      </w:r>
      <w:r w:rsidRPr="00571916">
        <w:rPr>
          <w:rFonts w:ascii="Arial" w:hAnsi="Arial" w:cs="Arial"/>
          <w:sz w:val="22"/>
          <w:szCs w:val="22"/>
        </w:rPr>
        <w:t xml:space="preserve"> With the common termination point for the curves at Cluster CD4_4, we next wanted to examine if there were common markers for CD4</w:t>
      </w:r>
      <w:r w:rsidRPr="00571916">
        <w:rPr>
          <w:rFonts w:ascii="Arial" w:hAnsi="Arial" w:cs="Arial"/>
          <w:sz w:val="22"/>
          <w:szCs w:val="22"/>
          <w:vertAlign w:val="superscript"/>
        </w:rPr>
        <w:t>+</w:t>
      </w:r>
      <w:r w:rsidRPr="00571916">
        <w:rPr>
          <w:rFonts w:ascii="Arial" w:hAnsi="Arial" w:cs="Arial"/>
          <w:sz w:val="22"/>
          <w:szCs w:val="22"/>
        </w:rPr>
        <w:t xml:space="preserve"> T cell infiltration</w:t>
      </w:r>
      <w:r>
        <w:rPr>
          <w:rFonts w:ascii="Arial" w:hAnsi="Arial" w:cs="Arial"/>
          <w:sz w:val="22"/>
          <w:szCs w:val="22"/>
        </w:rPr>
        <w:t xml:space="preserve"> in ccRCC by comparing tumor-infiltering to peripheral-blood CD4</w:t>
      </w:r>
      <w:r w:rsidRPr="000F0BCF">
        <w:rPr>
          <w:rFonts w:ascii="Arial" w:hAnsi="Arial" w:cs="Arial"/>
          <w:sz w:val="22"/>
          <w:szCs w:val="22"/>
          <w:vertAlign w:val="superscript"/>
        </w:rPr>
        <w:t>+</w:t>
      </w:r>
      <w:r>
        <w:rPr>
          <w:rFonts w:ascii="Arial" w:hAnsi="Arial" w:cs="Arial"/>
          <w:sz w:val="22"/>
          <w:szCs w:val="22"/>
        </w:rPr>
        <w:t xml:space="preserve"> T cells. Within</w:t>
      </w:r>
      <w:r w:rsidR="004C58A7">
        <w:rPr>
          <w:rFonts w:ascii="Arial" w:hAnsi="Arial" w:cs="Arial"/>
          <w:sz w:val="22"/>
          <w:szCs w:val="22"/>
        </w:rPr>
        <w:t xml:space="preserve"> the</w:t>
      </w:r>
      <w:r>
        <w:rPr>
          <w:rFonts w:ascii="Arial" w:hAnsi="Arial" w:cs="Arial"/>
          <w:sz w:val="22"/>
          <w:szCs w:val="22"/>
        </w:rPr>
        <w:t xml:space="preserve"> tumor-infiltrating CD4</w:t>
      </w:r>
      <w:r w:rsidRPr="00016C1A">
        <w:rPr>
          <w:rFonts w:ascii="Arial" w:hAnsi="Arial" w:cs="Arial"/>
          <w:sz w:val="22"/>
          <w:szCs w:val="22"/>
          <w:vertAlign w:val="superscript"/>
        </w:rPr>
        <w:t>+</w:t>
      </w:r>
      <w:r>
        <w:rPr>
          <w:rFonts w:ascii="Arial" w:hAnsi="Arial" w:cs="Arial"/>
          <w:sz w:val="22"/>
          <w:szCs w:val="22"/>
        </w:rPr>
        <w:t xml:space="preserve"> T cell, 203 genes adjusted p-value &lt; 0.05, log-fold change ≥ 0.5 and ∆ cell percent &gt; 10% (</w:t>
      </w:r>
      <w:r w:rsidRPr="00864F4C">
        <w:rPr>
          <w:rFonts w:ascii="Arial" w:hAnsi="Arial" w:cs="Arial"/>
          <w:sz w:val="22"/>
          <w:szCs w:val="22"/>
        </w:rPr>
        <w:t xml:space="preserve">Supplemental Table </w:t>
      </w:r>
      <w:r w:rsidR="004B43AC">
        <w:rPr>
          <w:rFonts w:ascii="Arial" w:hAnsi="Arial" w:cs="Arial"/>
          <w:sz w:val="22"/>
          <w:szCs w:val="22"/>
        </w:rPr>
        <w:t>5</w:t>
      </w:r>
      <w:r>
        <w:rPr>
          <w:rFonts w:ascii="Arial" w:hAnsi="Arial" w:cs="Arial"/>
          <w:sz w:val="22"/>
          <w:szCs w:val="22"/>
        </w:rPr>
        <w:t>). Upregulated within the tumor-infiltrating CD4</w:t>
      </w:r>
      <w:r w:rsidRPr="003C7C92">
        <w:rPr>
          <w:rFonts w:ascii="Arial" w:hAnsi="Arial" w:cs="Arial"/>
          <w:sz w:val="22"/>
          <w:szCs w:val="22"/>
          <w:vertAlign w:val="superscript"/>
        </w:rPr>
        <w:t>+</w:t>
      </w:r>
      <w:r>
        <w:rPr>
          <w:rFonts w:ascii="Arial" w:hAnsi="Arial" w:cs="Arial"/>
          <w:sz w:val="22"/>
          <w:szCs w:val="22"/>
        </w:rPr>
        <w:t xml:space="preserve"> T cells were heat shock proteins (</w:t>
      </w:r>
      <w:r w:rsidRPr="003C7C92">
        <w:rPr>
          <w:rFonts w:ascii="Arial" w:hAnsi="Arial" w:cs="Arial"/>
          <w:i/>
          <w:iCs/>
          <w:sz w:val="22"/>
          <w:szCs w:val="22"/>
        </w:rPr>
        <w:t xml:space="preserve">HSPA1A </w:t>
      </w:r>
      <w:r>
        <w:rPr>
          <w:rFonts w:ascii="Arial" w:hAnsi="Arial" w:cs="Arial"/>
          <w:sz w:val="22"/>
          <w:szCs w:val="22"/>
        </w:rPr>
        <w:t xml:space="preserve">and </w:t>
      </w:r>
      <w:r w:rsidRPr="003C7C92">
        <w:rPr>
          <w:rFonts w:ascii="Arial" w:hAnsi="Arial" w:cs="Arial"/>
          <w:i/>
          <w:iCs/>
          <w:sz w:val="22"/>
          <w:szCs w:val="22"/>
        </w:rPr>
        <w:t>HSPA1B</w:t>
      </w:r>
      <w:r>
        <w:rPr>
          <w:rFonts w:ascii="Arial" w:hAnsi="Arial" w:cs="Arial"/>
          <w:sz w:val="22"/>
          <w:szCs w:val="22"/>
        </w:rPr>
        <w:t>), Jun and FOS constituents (</w:t>
      </w:r>
      <w:r w:rsidRPr="003C7C92">
        <w:rPr>
          <w:rFonts w:ascii="Arial" w:hAnsi="Arial" w:cs="Arial"/>
          <w:i/>
          <w:iCs/>
          <w:sz w:val="22"/>
          <w:szCs w:val="22"/>
        </w:rPr>
        <w:t>FOS</w:t>
      </w:r>
      <w:r>
        <w:rPr>
          <w:rFonts w:ascii="Arial" w:hAnsi="Arial" w:cs="Arial"/>
          <w:sz w:val="22"/>
          <w:szCs w:val="22"/>
        </w:rPr>
        <w:t xml:space="preserve">, </w:t>
      </w:r>
      <w:r w:rsidRPr="003C7C92">
        <w:rPr>
          <w:rFonts w:ascii="Arial" w:hAnsi="Arial" w:cs="Arial"/>
          <w:i/>
          <w:iCs/>
          <w:sz w:val="22"/>
          <w:szCs w:val="22"/>
        </w:rPr>
        <w:t>JUN</w:t>
      </w:r>
      <w:r>
        <w:rPr>
          <w:rFonts w:ascii="Arial" w:hAnsi="Arial" w:cs="Arial"/>
          <w:sz w:val="22"/>
          <w:szCs w:val="22"/>
        </w:rPr>
        <w:t xml:space="preserve">, </w:t>
      </w:r>
      <w:r w:rsidRPr="003C7C92">
        <w:rPr>
          <w:rFonts w:ascii="Arial" w:hAnsi="Arial" w:cs="Arial"/>
          <w:i/>
          <w:iCs/>
          <w:sz w:val="22"/>
          <w:szCs w:val="22"/>
        </w:rPr>
        <w:t>JUNB</w:t>
      </w:r>
      <w:r>
        <w:rPr>
          <w:rFonts w:ascii="Arial" w:hAnsi="Arial" w:cs="Arial"/>
          <w:sz w:val="22"/>
          <w:szCs w:val="22"/>
        </w:rPr>
        <w:t>), MHC-II molecules (HLA-DRB), and secret</w:t>
      </w:r>
      <w:r w:rsidR="009E221A">
        <w:rPr>
          <w:rFonts w:ascii="Arial" w:hAnsi="Arial" w:cs="Arial"/>
          <w:sz w:val="22"/>
          <w:szCs w:val="22"/>
        </w:rPr>
        <w:t>ed</w:t>
      </w:r>
      <w:r>
        <w:rPr>
          <w:rFonts w:ascii="Arial" w:hAnsi="Arial" w:cs="Arial"/>
          <w:sz w:val="22"/>
          <w:szCs w:val="22"/>
        </w:rPr>
        <w:t xml:space="preserve"> molecules (</w:t>
      </w:r>
      <w:r w:rsidRPr="003C7C92">
        <w:rPr>
          <w:rFonts w:ascii="Arial" w:hAnsi="Arial" w:cs="Arial"/>
          <w:i/>
          <w:iCs/>
          <w:sz w:val="22"/>
          <w:szCs w:val="22"/>
        </w:rPr>
        <w:t>CCL5</w:t>
      </w:r>
      <w:r>
        <w:rPr>
          <w:rFonts w:ascii="Arial" w:hAnsi="Arial" w:cs="Arial"/>
          <w:sz w:val="22"/>
          <w:szCs w:val="22"/>
        </w:rPr>
        <w:t>,</w:t>
      </w:r>
      <w:r w:rsidRPr="003C7C92">
        <w:rPr>
          <w:rFonts w:ascii="Arial" w:hAnsi="Arial" w:cs="Arial"/>
          <w:i/>
          <w:iCs/>
          <w:sz w:val="22"/>
          <w:szCs w:val="22"/>
        </w:rPr>
        <w:t xml:space="preserve"> GZMA</w:t>
      </w:r>
      <w:r>
        <w:rPr>
          <w:rFonts w:ascii="Arial" w:hAnsi="Arial" w:cs="Arial"/>
          <w:sz w:val="22"/>
          <w:szCs w:val="22"/>
        </w:rPr>
        <w:t xml:space="preserve">, </w:t>
      </w:r>
      <w:r w:rsidRPr="003C7C92">
        <w:rPr>
          <w:rFonts w:ascii="Arial" w:hAnsi="Arial" w:cs="Arial"/>
          <w:i/>
          <w:iCs/>
          <w:sz w:val="22"/>
          <w:szCs w:val="22"/>
        </w:rPr>
        <w:t>GZMK</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 xml:space="preserve">E). Several of the upregulated genes are shared across all the tumor-predominant CD4 Clusters (Figure </w:t>
      </w:r>
      <w:r w:rsidR="007C7455">
        <w:rPr>
          <w:rFonts w:ascii="Arial" w:hAnsi="Arial" w:cs="Arial"/>
          <w:sz w:val="22"/>
          <w:szCs w:val="22"/>
        </w:rPr>
        <w:t>4</w:t>
      </w:r>
      <w:r w:rsidR="009E221A">
        <w:rPr>
          <w:rFonts w:ascii="Arial" w:hAnsi="Arial" w:cs="Arial"/>
          <w:sz w:val="22"/>
          <w:szCs w:val="22"/>
        </w:rPr>
        <w:t>F</w:t>
      </w:r>
      <w:r>
        <w:rPr>
          <w:rFonts w:ascii="Arial" w:hAnsi="Arial" w:cs="Arial"/>
          <w:sz w:val="22"/>
          <w:szCs w:val="22"/>
        </w:rPr>
        <w:t xml:space="preserve">), however each cluster also had unique expression markers. Both CD4_2 and CD4_4 had increased levels of </w:t>
      </w:r>
      <w:r w:rsidRPr="00016C1A">
        <w:rPr>
          <w:rFonts w:ascii="Arial" w:hAnsi="Arial" w:cs="Arial"/>
          <w:i/>
          <w:iCs/>
          <w:sz w:val="22"/>
          <w:szCs w:val="22"/>
        </w:rPr>
        <w:t>IFNG</w:t>
      </w:r>
      <w:r>
        <w:rPr>
          <w:rFonts w:ascii="Arial" w:hAnsi="Arial" w:cs="Arial"/>
          <w:sz w:val="22"/>
          <w:szCs w:val="22"/>
        </w:rPr>
        <w:t xml:space="preserve">, but CD4_2 was enriched for heat shock proteins, while CD4_4 had cytotoxic component and there was expression of </w:t>
      </w:r>
      <w:r w:rsidRPr="00864F4C">
        <w:rPr>
          <w:rFonts w:ascii="Arial" w:hAnsi="Arial" w:cs="Arial"/>
          <w:i/>
          <w:iCs/>
          <w:sz w:val="22"/>
          <w:szCs w:val="22"/>
        </w:rPr>
        <w:t>CD8A</w:t>
      </w:r>
      <w:r>
        <w:rPr>
          <w:rFonts w:ascii="Arial" w:hAnsi="Arial" w:cs="Arial"/>
          <w:sz w:val="22"/>
          <w:szCs w:val="22"/>
        </w:rPr>
        <w:t>, which likely represents modest contamination of CD8</w:t>
      </w:r>
      <w:r w:rsidRPr="00864F4C">
        <w:rPr>
          <w:rFonts w:ascii="Arial" w:hAnsi="Arial" w:cs="Arial"/>
          <w:sz w:val="22"/>
          <w:szCs w:val="22"/>
          <w:vertAlign w:val="superscript"/>
        </w:rPr>
        <w:t>+</w:t>
      </w:r>
      <w:r>
        <w:rPr>
          <w:rFonts w:ascii="Arial" w:hAnsi="Arial" w:cs="Arial"/>
          <w:sz w:val="22"/>
          <w:szCs w:val="22"/>
        </w:rPr>
        <w:t xml:space="preserve"> T cells (Figure </w:t>
      </w:r>
      <w:r w:rsidR="007C7455">
        <w:rPr>
          <w:rFonts w:ascii="Arial" w:hAnsi="Arial" w:cs="Arial"/>
          <w:sz w:val="22"/>
          <w:szCs w:val="22"/>
        </w:rPr>
        <w:t>4</w:t>
      </w:r>
      <w:r w:rsidR="009E221A">
        <w:rPr>
          <w:rFonts w:ascii="Arial" w:hAnsi="Arial" w:cs="Arial"/>
          <w:sz w:val="22"/>
          <w:szCs w:val="22"/>
        </w:rPr>
        <w:t>F</w:t>
      </w:r>
      <w:r>
        <w:rPr>
          <w:rFonts w:ascii="Arial" w:hAnsi="Arial" w:cs="Arial"/>
          <w:sz w:val="22"/>
          <w:szCs w:val="22"/>
        </w:rPr>
        <w:t xml:space="preserve">). The tumor-infiltrating Tregs, CD4_5, had high levels of </w:t>
      </w:r>
      <w:r w:rsidR="00016C1A" w:rsidRPr="00016C1A">
        <w:rPr>
          <w:rFonts w:ascii="Arial" w:hAnsi="Arial" w:cs="Arial"/>
          <w:i/>
          <w:iCs/>
          <w:sz w:val="22"/>
          <w:szCs w:val="22"/>
        </w:rPr>
        <w:t>CTLA4</w:t>
      </w:r>
      <w:r w:rsidR="00016C1A">
        <w:rPr>
          <w:rFonts w:ascii="Arial" w:hAnsi="Arial" w:cs="Arial"/>
          <w:sz w:val="22"/>
          <w:szCs w:val="22"/>
        </w:rPr>
        <w:t>, GITR (</w:t>
      </w:r>
      <w:r w:rsidR="00016C1A" w:rsidRPr="00016C1A">
        <w:rPr>
          <w:rFonts w:ascii="Arial" w:hAnsi="Arial" w:cs="Arial"/>
          <w:i/>
          <w:iCs/>
          <w:sz w:val="22"/>
          <w:szCs w:val="22"/>
        </w:rPr>
        <w:t>TNFRSF18</w:t>
      </w:r>
      <w:r w:rsidR="00016C1A">
        <w:rPr>
          <w:rFonts w:ascii="Arial" w:hAnsi="Arial" w:cs="Arial"/>
          <w:sz w:val="22"/>
          <w:szCs w:val="22"/>
        </w:rPr>
        <w:t xml:space="preserve">) and </w:t>
      </w:r>
      <w:r w:rsidR="00016C1A" w:rsidRPr="00016C1A">
        <w:rPr>
          <w:rFonts w:ascii="Arial" w:hAnsi="Arial" w:cs="Arial"/>
          <w:i/>
          <w:iCs/>
          <w:sz w:val="22"/>
          <w:szCs w:val="22"/>
        </w:rPr>
        <w:t>TIGIT</w:t>
      </w:r>
      <w:r w:rsidR="00016C1A">
        <w:rPr>
          <w:rFonts w:ascii="Arial" w:hAnsi="Arial" w:cs="Arial"/>
          <w:sz w:val="22"/>
          <w:szCs w:val="22"/>
        </w:rPr>
        <w:t xml:space="preserve">. In addition CD4_5 had the highly-specific expression </w:t>
      </w:r>
      <w:r w:rsidRPr="00BC0F7E">
        <w:rPr>
          <w:rFonts w:ascii="Arial" w:hAnsi="Arial" w:cs="Arial"/>
          <w:i/>
          <w:iCs/>
          <w:sz w:val="22"/>
          <w:szCs w:val="22"/>
        </w:rPr>
        <w:t>CCR8</w:t>
      </w:r>
      <w:r>
        <w:rPr>
          <w:rFonts w:ascii="Arial" w:hAnsi="Arial" w:cs="Arial"/>
          <w:sz w:val="22"/>
          <w:szCs w:val="22"/>
        </w:rPr>
        <w:t xml:space="preserve"> and </w:t>
      </w:r>
      <w:r w:rsidRPr="00BC0F7E">
        <w:rPr>
          <w:rFonts w:ascii="Arial" w:hAnsi="Arial" w:cs="Arial"/>
          <w:i/>
          <w:iCs/>
          <w:sz w:val="22"/>
          <w:szCs w:val="22"/>
        </w:rPr>
        <w:t>LAYN</w:t>
      </w:r>
      <w:r>
        <w:rPr>
          <w:rFonts w:ascii="Arial" w:hAnsi="Arial" w:cs="Arial"/>
          <w:sz w:val="22"/>
          <w:szCs w:val="22"/>
        </w:rPr>
        <w:t xml:space="preserve">, corresponding to previous reports </w:t>
      </w:r>
      <w:r>
        <w:rPr>
          <w:rFonts w:ascii="Arial" w:hAnsi="Arial" w:cs="Arial"/>
          <w:sz w:val="22"/>
          <w:szCs w:val="22"/>
        </w:rPr>
        <w:fldChar w:fldCharType="begin" w:fldLock="1"/>
      </w:r>
      <w:r w:rsidR="00184FDB">
        <w:rPr>
          <w:rFonts w:ascii="Arial" w:hAnsi="Arial" w:cs="Arial"/>
          <w:sz w:val="22"/>
          <w:szCs w:val="22"/>
        </w:rPr>
        <w:instrText>ADDIN CSL_CITATION {"citationItems":[{"id":"ITEM-1","itemData":{"DOI":"10.1016/j.immuni.2016.10.032","ISBN":"1097-4180 (Electronic) 1074-7613 (Linking)","ISSN":"10974180","PMID":"27851913","abstract":"Regulatory T (Treg) cells reside in lymphoid organs and barrier tissues where they control different types of inflammatory responses. Treg cells are also found in human cancers, and studies in animal models suggest that they contribute to cancer progression. However, properties of human intratumoral Treg cells and those present in corresponding normal tissue remain largely unknown. Here, we analyzed features of Treg cells in untreated human breast carcinomas, normal mammary gland, and peripheral blood. Tumor-resident Treg cells were potently suppressive and their gene-expression pattern resembled that of normal breast tissue, but not of activated peripheral blood Treg cells. Nevertheless, a number of cytokine and chemokine receptor genes, most notably CCR8, were upregulated in tumor-resident Treg cells in comparison to normal tissue-resident ones. Our studies suggest that targeting CCR8 for the depletion of tumor-resident Treg cells might represent a promising immunotherapeutic approach for the treatment of breast cancer.","author":[{"dropping-particle":"","family":"Plitas","given":"George","non-dropping-particle":"","parse-names":false,"suffix":""},{"dropping-particle":"","family":"Konopacki","given":"Catherine","non-dropping-particle":"","parse-names":false,"suffix":""},{"dropping-particle":"","family":"Wu","given":"Kenmin","non-dropping-particle":"","parse-names":false,"suffix":""},{"dropping-particle":"","family":"Bos","given":"Paula D.","non-dropping-particle":"","parse-names":false,"suffix":""},{"dropping-particle":"","family":"Morrow","given":"Monica","non-dropping-particle":"","parse-names":false,"suffix":""},{"dropping-particle":"V.","family":"Putintseva","given":"Ekaterina","non-dropping-particle":"","parse-names":false,"suffix":""},{"dropping-particle":"","family":"Chudakov","given":"Dmitriy M.","non-dropping-particle":"","parse-names":false,"suffix":""},{"dropping-particle":"","family":"Rudensky","given":"Alexander Y.","non-dropping-particle":"","parse-names":false,"suffix":""}],"container-title":"Immunity","id":"ITEM-1","issue":"5","issued":{"date-parts":[["2016"]]},"page":"1122-1134","title":"Regulatory T Cells Exhibit Distinct Features in Human Breast Cancer","type":"article-journal","volume":"45"},"uris":["http://www.mendeley.com/documents/?uuid=7c6a2f77-d9da-4cd4-88b1-0346bc1de7ef"]},{"id":"ITEM-2","itemData":{"DOI":"10.1016/j.immuni.2016.10.021","ISBN":"1097-4180 (Electronic)\\r1074-7613 (Linking)","ISSN":"10974180","PMID":"27851914","abstract":"Tumor-infiltrating regulatory T lymphocytes (Treg) can suppress effector T cells specific for tumor antigens. Deeper molecular definitions of tumor-infiltrating-lymphocytes could thus offer therapeutic opportunities. Transcriptomes of T helper 1 (Th1), Th17, and Treg cells infiltrating colorectal or non-small-cell lung cancers were compared to transcriptomes of the same subsets from normal tissues and validated at the single-cell level. We found that tumor-infiltrating Treg cells were highly suppressive, upregulated several immune-checkpoints, and expressed on the cell surfaces specific signature molecules such as interleukin-1 receptor 2 (IL1R2), programmed death (PD)-1 Ligand1, PD-1 Ligand2, and CCR8 chemokine, which were not previously described on Treg cells. Remarkably, high expression in whole-tumor samples of Treg cell signature genes, such as LAYN, MAGEH1, or CCR8, correlated with poor prognosis. Our findings provide insights into the molecular identity and functions of human tumor-infiltrating Treg cells and define potential targets for tumor immunotherapy.","author":[{"dropping-particle":"","family":"Simone","given":"Marco","non-dropping-particle":"De","parse-names":false,"suffix":""},{"dropping-particle":"","family":"Arrigoni","given":"Alberto","non-dropping-particle":"","parse-names":false,"suffix":""},{"dropping-particle":"","family":"Rossetti","given":"Grazisa","non-dropping-particle":"","parse-names":false,"suffix":""},{"dropping-particle":"","family":"Gruarin","given":"Paola","non-dropping-particle":"","parse-names":false,"suffix":""},{"dropping-particle":"","family":"Ranzani","given":"Valeria","non-dropping-particle":"","parse-names":false,"suffix":""},{"dropping-particle":"","family":"Politano","given":"Claudia","non-dropping-particle":"","parse-names":false,"suffix":""},{"dropping-particle":"","family":"Bonnal","given":"Raoul J.P.","non-dropping-particle":"","parse-names":false,"suffix":""},{"dropping-particle":"","family":"Provasi","given":"Elena","non-dropping-particle":"","parse-names":false,"suffix":""},{"dropping-particle":"","family":"Sarnicola","given":"Maria Lucia","non-dropping-particle":"","parse-names":false,"suffix":""},{"dropping-particle":"","family":"Panzeri","given":"Ilaria","non-dropping-particle":"","parse-names":false,"suffix":""},{"dropping-particle":"","family":"Moro","given":"Monica","non-dropping-particle":"","parse-names":false,"suffix":""},{"dropping-particle":"","family":"Crosti","given":"Mariacristina","non-dropping-particle":"","parse-names":false,"suffix":""},{"dropping-particle":"","family":"Mazzara","given":"Saveria","non-dropping-particle":"","parse-names":false,"suffix":""},{"dropping-particle":"","family":"Vaira","given":"Valentina","non-dropping-particle":"","parse-names":false,"suffix":""},{"dropping-particle":"","family":"Bosari","given":"Silvano","non-dropping-particle":"","parse-names":false,"suffix":""},{"dropping-particle":"","family":"Palleschi","given":"Alessandro","non-dropping-particle":"","parse-names":false,"suffix":""},{"dropping-particle":"","family":"Santambrogio","given":"Luigi","non-dropping-particle":"","parse-names":false,"suffix":""},{"dropping-particle":"","family":"Bovo","given":"Giorgio","non-dropping-particle":"","parse-names":false,"suffix":""},{"dropping-particle":"","family":"Zucchini","given":"Nicola","non-dropping-particle":"","parse-names":false,"suffix":""},{"dropping-particle":"","family":"Totis","given":"Mauro","non-dropping-particle":"","parse-names":false,"suffix":""},{"dropping-particle":"","family":"Gianotti","given":"Luca","non-dropping-particle":"","parse-names":false,"suffix":""},{"dropping-particle":"","family":"Cesana","given":"Giancarlo","non-dropping-particle":"","parse-names":false,"suffix":""},{"dropping-particle":"","family":"Perego","given":"Roberto A.","non-dropping-particle":"","parse-names":false,"suffix":""},{"dropping-particle":"","family":"Maroni","given":"Nirvana","non-dropping-particle":"","parse-names":false,"suffix":""},{"dropping-particle":"","family":"Pisani Ceretti","given":"Andrea","non-dropping-particle":"","parse-names":false,"suffix":""},{"dropping-particle":"","family":"Opocher","given":"Enrico","non-dropping-particle":"","parse-names":false,"suffix":""},{"dropping-particle":"","family":"Francesco","given":"Raffaele","non-dropping-particle":"De","parse-names":false,"suffix":""},{"dropping-particle":"","family":"Geginat","given":"Jens","non-dropping-particle":"","parse-names":false,"suffix":""},{"dropping-particle":"","family":"Stunnenberg","given":"Hendrik G.","non-dropping-particle":"","parse-names":false,"suffix":""},{"dropping-particle":"","family":"Abrignani","given":"Sergio","non-dropping-particle":"","parse-names":false,"suffix":""},{"dropping-particle":"","family":"Pagani","given":"Massimiliano","non-dropping-particle":"","parse-names":false,"suffix":""}],"container-title":"Immunity","id":"ITEM-2","issue":"5","issued":{"date-parts":[["2016"]]},"page":"1135-1147","title":"Transcriptional Landscape of Human Tissue Lymphocytes Unveils Uniqueness of Tumor-Infiltrating T Regulatory Cells","type":"article-journal","volume":"45"},"uris":["http://www.mendeley.com/documents/?uuid=e5db328f-a472-4b38-a003-df8f28942128"]}],"mendeley":{"formattedCitation":"(42,43)","plainTextFormattedCitation":"(42,43)","previouslyFormattedCitation":"(42,43)"},"properties":{"noteIndex":0},"schema":"https://github.com/citation-style-language/schema/raw/master/csl-citation.json"}</w:instrText>
      </w:r>
      <w:r>
        <w:rPr>
          <w:rFonts w:ascii="Arial" w:hAnsi="Arial" w:cs="Arial"/>
          <w:sz w:val="22"/>
          <w:szCs w:val="22"/>
        </w:rPr>
        <w:fldChar w:fldCharType="separate"/>
      </w:r>
      <w:r w:rsidR="00663A94" w:rsidRPr="00663A94">
        <w:rPr>
          <w:rFonts w:ascii="Arial" w:hAnsi="Arial" w:cs="Arial"/>
          <w:noProof/>
          <w:sz w:val="22"/>
          <w:szCs w:val="22"/>
        </w:rPr>
        <w:t>(42,43)</w:t>
      </w:r>
      <w:r>
        <w:rPr>
          <w:rFonts w:ascii="Arial" w:hAnsi="Arial" w:cs="Arial"/>
          <w:sz w:val="22"/>
          <w:szCs w:val="22"/>
        </w:rPr>
        <w:fldChar w:fldCharType="end"/>
      </w:r>
      <w:r>
        <w:rPr>
          <w:rFonts w:ascii="Arial" w:hAnsi="Arial" w:cs="Arial"/>
          <w:sz w:val="22"/>
          <w:szCs w:val="22"/>
        </w:rPr>
        <w:t>.</w:t>
      </w:r>
      <w:r w:rsidR="00016C1A">
        <w:rPr>
          <w:rFonts w:ascii="Arial" w:hAnsi="Arial" w:cs="Arial"/>
          <w:sz w:val="22"/>
          <w:szCs w:val="22"/>
        </w:rPr>
        <w:t xml:space="preserve"> The CD4_6 cluster had increased expression of the IL-6 cytokine, </w:t>
      </w:r>
      <w:r w:rsidR="00016C1A" w:rsidRPr="00016C1A">
        <w:rPr>
          <w:rFonts w:ascii="Arial" w:hAnsi="Arial" w:cs="Arial"/>
          <w:i/>
          <w:iCs/>
          <w:sz w:val="22"/>
          <w:szCs w:val="22"/>
        </w:rPr>
        <w:t>OSM6</w:t>
      </w:r>
      <w:r w:rsidR="00016C1A">
        <w:rPr>
          <w:rFonts w:ascii="Arial" w:hAnsi="Arial" w:cs="Arial"/>
          <w:sz w:val="22"/>
          <w:szCs w:val="22"/>
        </w:rPr>
        <w:t xml:space="preserve">, and </w:t>
      </w:r>
      <w:r w:rsidR="00016C1A" w:rsidRPr="00016C1A">
        <w:rPr>
          <w:rFonts w:ascii="Arial" w:hAnsi="Arial" w:cs="Arial"/>
          <w:i/>
          <w:iCs/>
          <w:sz w:val="22"/>
          <w:szCs w:val="22"/>
        </w:rPr>
        <w:t>AREG</w:t>
      </w:r>
      <w:r w:rsidR="00016C1A">
        <w:rPr>
          <w:rFonts w:ascii="Arial" w:hAnsi="Arial" w:cs="Arial"/>
          <w:sz w:val="22"/>
          <w:szCs w:val="22"/>
        </w:rPr>
        <w:t xml:space="preserve"> and </w:t>
      </w:r>
      <w:r w:rsidR="00016C1A" w:rsidRPr="00016C1A">
        <w:rPr>
          <w:rFonts w:ascii="Arial" w:hAnsi="Arial" w:cs="Arial"/>
          <w:i/>
          <w:iCs/>
          <w:sz w:val="22"/>
          <w:szCs w:val="22"/>
        </w:rPr>
        <w:t>SOCS3</w:t>
      </w:r>
      <w:r w:rsidR="00016C1A">
        <w:rPr>
          <w:rFonts w:ascii="Arial" w:hAnsi="Arial" w:cs="Arial"/>
          <w:sz w:val="22"/>
          <w:szCs w:val="22"/>
        </w:rPr>
        <w:t xml:space="preserve">, downstream of interleukin signaling (Figure </w:t>
      </w:r>
      <w:r w:rsidR="007C7455">
        <w:rPr>
          <w:rFonts w:ascii="Arial" w:hAnsi="Arial" w:cs="Arial"/>
          <w:sz w:val="22"/>
          <w:szCs w:val="22"/>
        </w:rPr>
        <w:t>4</w:t>
      </w:r>
      <w:r w:rsidR="009E221A">
        <w:rPr>
          <w:rFonts w:ascii="Arial" w:hAnsi="Arial" w:cs="Arial"/>
          <w:sz w:val="22"/>
          <w:szCs w:val="22"/>
        </w:rPr>
        <w:t>F</w:t>
      </w:r>
      <w:r w:rsidR="00016C1A">
        <w:rPr>
          <w:rFonts w:ascii="Arial" w:hAnsi="Arial" w:cs="Arial"/>
          <w:sz w:val="22"/>
          <w:szCs w:val="22"/>
        </w:rPr>
        <w:t xml:space="preserve">). The differential expression closely matched the </w:t>
      </w:r>
      <w:r w:rsidR="000A6675">
        <w:rPr>
          <w:rFonts w:ascii="Arial" w:hAnsi="Arial" w:cs="Arial"/>
          <w:sz w:val="22"/>
          <w:szCs w:val="22"/>
        </w:rPr>
        <w:t xml:space="preserve">pathway analysis, with CD4_4 enriched for cytolytic and type I interferon signaling (Figure </w:t>
      </w:r>
      <w:r w:rsidR="007C7455">
        <w:rPr>
          <w:rFonts w:ascii="Arial" w:hAnsi="Arial" w:cs="Arial"/>
          <w:sz w:val="22"/>
          <w:szCs w:val="22"/>
        </w:rPr>
        <w:t>4</w:t>
      </w:r>
      <w:r w:rsidR="009E221A">
        <w:rPr>
          <w:rFonts w:ascii="Arial" w:hAnsi="Arial" w:cs="Arial"/>
          <w:sz w:val="22"/>
          <w:szCs w:val="22"/>
        </w:rPr>
        <w:t>E</w:t>
      </w:r>
      <w:r w:rsidR="000A6675">
        <w:rPr>
          <w:rFonts w:ascii="Arial" w:hAnsi="Arial" w:cs="Arial"/>
          <w:sz w:val="22"/>
          <w:szCs w:val="22"/>
        </w:rPr>
        <w:t>).</w:t>
      </w:r>
      <w:r w:rsidR="00016C1A">
        <w:rPr>
          <w:rFonts w:ascii="Arial" w:hAnsi="Arial" w:cs="Arial"/>
          <w:sz w:val="22"/>
          <w:szCs w:val="22"/>
        </w:rPr>
        <w:t xml:space="preserve"> </w:t>
      </w:r>
      <w:r>
        <w:rPr>
          <w:rFonts w:ascii="Arial" w:hAnsi="Arial" w:cs="Arial"/>
          <w:sz w:val="22"/>
          <w:szCs w:val="22"/>
        </w:rPr>
        <w:t xml:space="preserve">The CD4_5 and CD4_7 Treg cluster had preferential enrichment for metabolic pathways, with high levels of terminal differentiation in tumor-infiltrated CD4_5 (Figure </w:t>
      </w:r>
      <w:r w:rsidR="007C7455">
        <w:rPr>
          <w:rFonts w:ascii="Arial" w:hAnsi="Arial" w:cs="Arial"/>
          <w:sz w:val="22"/>
          <w:szCs w:val="22"/>
        </w:rPr>
        <w:t>4</w:t>
      </w:r>
      <w:r w:rsidR="009E221A">
        <w:rPr>
          <w:rFonts w:ascii="Arial" w:hAnsi="Arial" w:cs="Arial"/>
          <w:sz w:val="22"/>
          <w:szCs w:val="22"/>
        </w:rPr>
        <w:t>E</w:t>
      </w:r>
      <w:r>
        <w:rPr>
          <w:rFonts w:ascii="Arial" w:hAnsi="Arial" w:cs="Arial"/>
          <w:sz w:val="22"/>
          <w:szCs w:val="22"/>
        </w:rPr>
        <w:t xml:space="preserve">). </w:t>
      </w:r>
      <w:r w:rsidR="000A6675">
        <w:rPr>
          <w:rFonts w:ascii="Arial" w:hAnsi="Arial" w:cs="Arial"/>
          <w:sz w:val="22"/>
          <w:szCs w:val="22"/>
        </w:rPr>
        <w:t xml:space="preserve">The </w:t>
      </w:r>
      <w:r w:rsidR="000A6675" w:rsidRPr="000A6675">
        <w:rPr>
          <w:rFonts w:ascii="Arial" w:hAnsi="Arial" w:cs="Arial"/>
          <w:i/>
          <w:iCs/>
          <w:sz w:val="22"/>
          <w:szCs w:val="22"/>
        </w:rPr>
        <w:t>OSM</w:t>
      </w:r>
      <w:r w:rsidR="000A6675">
        <w:rPr>
          <w:rFonts w:ascii="Arial" w:hAnsi="Arial" w:cs="Arial"/>
          <w:sz w:val="22"/>
          <w:szCs w:val="22"/>
        </w:rPr>
        <w:t xml:space="preserve">-high CD4_6 was enriched for IL-6/JAK/STAT3 signaling and inflammatory response genes. </w:t>
      </w:r>
    </w:p>
    <w:p w14:paraId="09418C44" w14:textId="39277FDD" w:rsidR="001D7F41" w:rsidRPr="0002326A" w:rsidRDefault="001D7F41" w:rsidP="00F72CA7">
      <w:pPr>
        <w:pStyle w:val="Paragraph"/>
        <w:snapToGrid w:val="0"/>
        <w:spacing w:line="480" w:lineRule="auto"/>
        <w:ind w:firstLine="0"/>
        <w:rPr>
          <w:rFonts w:ascii="Arial" w:hAnsi="Arial" w:cs="Arial"/>
          <w:sz w:val="22"/>
          <w:szCs w:val="22"/>
        </w:rPr>
      </w:pPr>
    </w:p>
    <w:p w14:paraId="3B61040C" w14:textId="073BE075" w:rsidR="0068587F" w:rsidRPr="0002326A" w:rsidRDefault="0068587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Prominent infiltration of macrophages in ccRCC</w:t>
      </w:r>
      <w:r w:rsidR="00EC37F9" w:rsidRPr="0002326A">
        <w:rPr>
          <w:rFonts w:ascii="Arial" w:hAnsi="Arial" w:cs="Arial"/>
          <w:i/>
          <w:iCs/>
          <w:sz w:val="22"/>
          <w:szCs w:val="22"/>
        </w:rPr>
        <w:t xml:space="preserve"> have transcriptional divergence.</w:t>
      </w:r>
    </w:p>
    <w:p w14:paraId="0E76C4F5" w14:textId="172FDFA2" w:rsidR="0068587F" w:rsidRPr="0002326A" w:rsidRDefault="0068587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lastRenderedPageBreak/>
        <w:t xml:space="preserve">With the previous observation of an overall increase in macrophages and decreased monocytes in integrated UMAP (Figure 1E), we next focused on differential analyses of the myeloid populations (Figure </w:t>
      </w:r>
      <w:r w:rsidR="00BC0F7E">
        <w:rPr>
          <w:rFonts w:ascii="Arial" w:hAnsi="Arial" w:cs="Arial"/>
          <w:sz w:val="22"/>
          <w:szCs w:val="22"/>
        </w:rPr>
        <w:t>5</w:t>
      </w:r>
      <w:r w:rsidRPr="0002326A">
        <w:rPr>
          <w:rFonts w:ascii="Arial" w:hAnsi="Arial" w:cs="Arial"/>
          <w:sz w:val="22"/>
          <w:szCs w:val="22"/>
        </w:rPr>
        <w:t>A). Across monocytes, macrophages and dendritic cells, sub</w:t>
      </w:r>
      <w:r w:rsidR="0002326A">
        <w:rPr>
          <w:rFonts w:ascii="Arial" w:hAnsi="Arial" w:cs="Arial"/>
          <w:sz w:val="22"/>
          <w:szCs w:val="22"/>
        </w:rPr>
        <w:t>c</w:t>
      </w:r>
      <w:r w:rsidRPr="0002326A">
        <w:rPr>
          <w:rFonts w:ascii="Arial" w:hAnsi="Arial" w:cs="Arial"/>
          <w:sz w:val="22"/>
          <w:szCs w:val="22"/>
        </w:rPr>
        <w:t xml:space="preserve">lustering found 20 distinct clusters (Figure </w:t>
      </w:r>
      <w:r w:rsidR="00BC0F7E">
        <w:rPr>
          <w:rFonts w:ascii="Arial" w:hAnsi="Arial" w:cs="Arial"/>
          <w:sz w:val="22"/>
          <w:szCs w:val="22"/>
        </w:rPr>
        <w:t>5</w:t>
      </w:r>
      <w:r w:rsidRPr="0002326A">
        <w:rPr>
          <w:rFonts w:ascii="Arial" w:hAnsi="Arial" w:cs="Arial"/>
          <w:sz w:val="22"/>
          <w:szCs w:val="22"/>
        </w:rPr>
        <w:t xml:space="preserve">A). Tissue-specific distribution was observed, with the majority tumor-infiltrating myeloid cells in </w:t>
      </w:r>
      <w:r w:rsidR="0002326A" w:rsidRPr="0002326A">
        <w:rPr>
          <w:rFonts w:ascii="Arial" w:hAnsi="Arial" w:cs="Arial"/>
          <w:sz w:val="22"/>
          <w:szCs w:val="22"/>
        </w:rPr>
        <w:t>subcluster</w:t>
      </w:r>
      <w:r w:rsidR="0002326A">
        <w:rPr>
          <w:rFonts w:ascii="Arial" w:hAnsi="Arial" w:cs="Arial"/>
          <w:sz w:val="22"/>
          <w:szCs w:val="22"/>
        </w:rPr>
        <w:t>s</w:t>
      </w:r>
      <w:r w:rsidRPr="0002326A">
        <w:rPr>
          <w:rFonts w:ascii="Arial" w:hAnsi="Arial" w:cs="Arial"/>
          <w:sz w:val="22"/>
          <w:szCs w:val="22"/>
        </w:rPr>
        <w:t xml:space="preserve"> 0, 3, 7, 8 and 15 (Figure </w:t>
      </w:r>
      <w:r w:rsidR="00BC0F7E">
        <w:rPr>
          <w:rFonts w:ascii="Arial" w:hAnsi="Arial" w:cs="Arial"/>
          <w:sz w:val="22"/>
          <w:szCs w:val="22"/>
        </w:rPr>
        <w:t>5</w:t>
      </w:r>
      <w:r w:rsidRPr="0002326A">
        <w:rPr>
          <w:rFonts w:ascii="Arial" w:hAnsi="Arial" w:cs="Arial"/>
          <w:sz w:val="22"/>
          <w:szCs w:val="22"/>
        </w:rPr>
        <w:t xml:space="preserve">B). In contrast, </w:t>
      </w:r>
      <w:r w:rsidR="00EC37F9" w:rsidRPr="0002326A">
        <w:rPr>
          <w:rFonts w:ascii="Arial" w:hAnsi="Arial" w:cs="Arial"/>
          <w:sz w:val="22"/>
          <w:szCs w:val="22"/>
        </w:rPr>
        <w:t xml:space="preserve">both normal kidney parenchyma and peripheral blood were comprised of a majority of monocytic subclusters (Figure </w:t>
      </w:r>
      <w:r w:rsidR="00BC0F7E">
        <w:rPr>
          <w:rFonts w:ascii="Arial" w:hAnsi="Arial" w:cs="Arial"/>
          <w:sz w:val="22"/>
          <w:szCs w:val="22"/>
        </w:rPr>
        <w:t>5</w:t>
      </w:r>
      <w:r w:rsidR="00EC37F9" w:rsidRPr="0002326A">
        <w:rPr>
          <w:rFonts w:ascii="Arial" w:hAnsi="Arial" w:cs="Arial"/>
          <w:sz w:val="22"/>
          <w:szCs w:val="22"/>
        </w:rPr>
        <w:t xml:space="preserve">B). </w:t>
      </w:r>
      <w:r w:rsidR="008812EB" w:rsidRPr="0002326A">
        <w:rPr>
          <w:rFonts w:ascii="Arial" w:hAnsi="Arial" w:cs="Arial"/>
          <w:sz w:val="22"/>
          <w:szCs w:val="22"/>
        </w:rPr>
        <w:t xml:space="preserve">Populations were assigned using canonical markers and in addition to the previously </w:t>
      </w:r>
      <w:r w:rsidR="0002326A" w:rsidRPr="0002326A">
        <w:rPr>
          <w:rFonts w:ascii="Arial" w:hAnsi="Arial" w:cs="Arial"/>
          <w:sz w:val="22"/>
          <w:szCs w:val="22"/>
        </w:rPr>
        <w:t>described</w:t>
      </w:r>
      <w:r w:rsidR="008812EB" w:rsidRPr="0002326A">
        <w:rPr>
          <w:rFonts w:ascii="Arial" w:hAnsi="Arial" w:cs="Arial"/>
          <w:sz w:val="22"/>
          <w:szCs w:val="22"/>
        </w:rPr>
        <w:t xml:space="preserve"> singleR approach with macrophage subclusters (0, 3, 7, 13 and 14) identified using markers such as </w:t>
      </w:r>
      <w:r w:rsidR="008812EB" w:rsidRPr="0002326A">
        <w:rPr>
          <w:rFonts w:ascii="Arial" w:hAnsi="Arial" w:cs="Arial"/>
          <w:i/>
          <w:iCs/>
          <w:sz w:val="22"/>
          <w:szCs w:val="22"/>
        </w:rPr>
        <w:t>CD1C</w:t>
      </w:r>
      <w:r w:rsidR="008812EB" w:rsidRPr="0002326A">
        <w:rPr>
          <w:rFonts w:ascii="Arial" w:hAnsi="Arial" w:cs="Arial"/>
          <w:sz w:val="22"/>
          <w:szCs w:val="22"/>
        </w:rPr>
        <w:t xml:space="preserve">, </w:t>
      </w:r>
      <w:r w:rsidR="008812EB" w:rsidRPr="0002326A">
        <w:rPr>
          <w:rFonts w:ascii="Arial" w:hAnsi="Arial" w:cs="Arial"/>
          <w:i/>
          <w:iCs/>
          <w:sz w:val="22"/>
          <w:szCs w:val="22"/>
        </w:rPr>
        <w:t>CLEC10A</w:t>
      </w:r>
      <w:r w:rsidR="008812EB" w:rsidRPr="0002326A">
        <w:rPr>
          <w:rFonts w:ascii="Arial" w:hAnsi="Arial" w:cs="Arial"/>
          <w:sz w:val="22"/>
          <w:szCs w:val="22"/>
        </w:rPr>
        <w:t xml:space="preserve"> (CD301), </w:t>
      </w:r>
      <w:r w:rsidR="008812EB" w:rsidRPr="0002326A">
        <w:rPr>
          <w:rFonts w:ascii="Arial" w:hAnsi="Arial" w:cs="Arial"/>
          <w:i/>
          <w:iCs/>
          <w:sz w:val="22"/>
          <w:szCs w:val="22"/>
        </w:rPr>
        <w:t>FCER1A</w:t>
      </w:r>
      <w:r w:rsidR="008812EB" w:rsidRPr="0002326A">
        <w:rPr>
          <w:rFonts w:ascii="Arial" w:hAnsi="Arial" w:cs="Arial"/>
          <w:sz w:val="22"/>
          <w:szCs w:val="22"/>
        </w:rPr>
        <w:t xml:space="preserve">, and </w:t>
      </w:r>
      <w:r w:rsidR="008812EB" w:rsidRPr="0002326A">
        <w:rPr>
          <w:rFonts w:ascii="Arial" w:hAnsi="Arial" w:cs="Arial"/>
          <w:i/>
          <w:iCs/>
          <w:sz w:val="22"/>
          <w:szCs w:val="22"/>
        </w:rPr>
        <w:t xml:space="preserve">MSR1 </w:t>
      </w:r>
      <w:r w:rsidR="008812EB" w:rsidRPr="0002326A">
        <w:rPr>
          <w:rFonts w:ascii="Arial" w:hAnsi="Arial" w:cs="Arial"/>
          <w:sz w:val="22"/>
          <w:szCs w:val="22"/>
        </w:rPr>
        <w:t xml:space="preserve">(Figure </w:t>
      </w:r>
      <w:r w:rsidR="00BC0F7E">
        <w:rPr>
          <w:rFonts w:ascii="Arial" w:hAnsi="Arial" w:cs="Arial"/>
          <w:sz w:val="22"/>
          <w:szCs w:val="22"/>
        </w:rPr>
        <w:t>5</w:t>
      </w:r>
      <w:r w:rsidR="008812EB" w:rsidRPr="0002326A">
        <w:rPr>
          <w:rFonts w:ascii="Arial" w:hAnsi="Arial" w:cs="Arial"/>
          <w:sz w:val="22"/>
          <w:szCs w:val="22"/>
        </w:rPr>
        <w:t>C). In total, we observed a decreased proportion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in tissue-infiltrating myeloid cells compared to peripheral blood and an increase in macrophages (Figure </w:t>
      </w:r>
      <w:r w:rsidR="00BC0F7E">
        <w:rPr>
          <w:rFonts w:ascii="Arial" w:hAnsi="Arial" w:cs="Arial"/>
          <w:sz w:val="22"/>
          <w:szCs w:val="22"/>
        </w:rPr>
        <w:t>5</w:t>
      </w:r>
      <w:r w:rsidR="008812EB" w:rsidRPr="0002326A">
        <w:rPr>
          <w:rFonts w:ascii="Arial" w:hAnsi="Arial" w:cs="Arial"/>
          <w:sz w:val="22"/>
          <w:szCs w:val="22"/>
        </w:rPr>
        <w:t>D). Normal renal parenchyma had a variable increase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CD16</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which was not significant. </w:t>
      </w:r>
      <w:r w:rsidR="00EC37F9" w:rsidRPr="0002326A">
        <w:rPr>
          <w:rFonts w:ascii="Arial" w:hAnsi="Arial" w:cs="Arial"/>
          <w:sz w:val="22"/>
          <w:szCs w:val="22"/>
        </w:rPr>
        <w:t>As previously seen, we found a small number of DC (subclusters 15, 16, and 19) with distinct expression profiles associated with conventional  DC 1, plasmacytoid DC, and monocyte-derived DCs, respectively (</w:t>
      </w:r>
      <w:r w:rsidR="00EC37F9" w:rsidRPr="004B43AC">
        <w:rPr>
          <w:rFonts w:ascii="Arial" w:hAnsi="Arial" w:cs="Arial"/>
          <w:sz w:val="22"/>
          <w:szCs w:val="22"/>
        </w:rPr>
        <w:t xml:space="preserve">Supplemental Figure </w:t>
      </w:r>
      <w:r w:rsidR="004B43AC" w:rsidRPr="004B43AC">
        <w:rPr>
          <w:rFonts w:ascii="Arial" w:hAnsi="Arial" w:cs="Arial"/>
          <w:sz w:val="22"/>
          <w:szCs w:val="22"/>
        </w:rPr>
        <w:t>3</w:t>
      </w:r>
      <w:r w:rsidR="00EC37F9" w:rsidRPr="0002326A">
        <w:rPr>
          <w:rFonts w:ascii="Arial" w:hAnsi="Arial" w:cs="Arial"/>
          <w:sz w:val="22"/>
          <w:szCs w:val="22"/>
        </w:rPr>
        <w:t>).</w:t>
      </w:r>
      <w:r w:rsidR="006B42C9">
        <w:rPr>
          <w:rFonts w:ascii="Arial" w:hAnsi="Arial" w:cs="Arial"/>
          <w:sz w:val="22"/>
          <w:szCs w:val="22"/>
        </w:rPr>
        <w:t xml:space="preserve"> </w:t>
      </w:r>
    </w:p>
    <w:p w14:paraId="657F3D7B" w14:textId="77777777" w:rsidR="008812EB" w:rsidRPr="0002326A" w:rsidRDefault="008812EB" w:rsidP="00F72CA7">
      <w:pPr>
        <w:pStyle w:val="Paragraph"/>
        <w:snapToGrid w:val="0"/>
        <w:spacing w:line="480" w:lineRule="auto"/>
        <w:ind w:firstLine="0"/>
        <w:rPr>
          <w:rFonts w:ascii="Arial" w:hAnsi="Arial" w:cs="Arial"/>
          <w:sz w:val="22"/>
          <w:szCs w:val="22"/>
        </w:rPr>
      </w:pPr>
    </w:p>
    <w:p w14:paraId="40DD77BF" w14:textId="36FDF631" w:rsidR="008812EB" w:rsidRPr="0002326A" w:rsidRDefault="008812EB" w:rsidP="00666678">
      <w:pPr>
        <w:pStyle w:val="Paragraph"/>
        <w:snapToGrid w:val="0"/>
        <w:spacing w:line="480" w:lineRule="auto"/>
        <w:ind w:firstLine="0"/>
        <w:rPr>
          <w:rFonts w:ascii="Arial" w:hAnsi="Arial" w:cs="Arial"/>
          <w:sz w:val="22"/>
          <w:szCs w:val="22"/>
        </w:rPr>
      </w:pPr>
      <w:r w:rsidRPr="0002326A">
        <w:rPr>
          <w:rFonts w:ascii="Arial" w:hAnsi="Arial" w:cs="Arial"/>
          <w:sz w:val="22"/>
          <w:szCs w:val="22"/>
        </w:rPr>
        <w:t xml:space="preserve">Next we isolated the five macrophage subclusters, relabeling them tumor-associated macrophage 1 (TAM_1), TAM_2, TAM_3, resident macrophage (rM) and peripheral macrophage (pM) based on the relative percent of cells derived from the respective tissue (Figure 3E). </w:t>
      </w:r>
      <w:r w:rsidR="00050C57" w:rsidRPr="0002326A">
        <w:rPr>
          <w:rFonts w:ascii="Arial" w:hAnsi="Arial" w:cs="Arial"/>
          <w:sz w:val="22"/>
          <w:szCs w:val="22"/>
        </w:rPr>
        <w:t>Alt</w:t>
      </w:r>
      <w:r w:rsidR="00A84007" w:rsidRPr="0002326A">
        <w:rPr>
          <w:rFonts w:ascii="Arial" w:hAnsi="Arial" w:cs="Arial"/>
          <w:sz w:val="22"/>
          <w:szCs w:val="22"/>
        </w:rPr>
        <w:t>h</w:t>
      </w:r>
      <w:r w:rsidR="00050C57" w:rsidRPr="0002326A">
        <w:rPr>
          <w:rFonts w:ascii="Arial" w:hAnsi="Arial" w:cs="Arial"/>
          <w:sz w:val="22"/>
          <w:szCs w:val="22"/>
        </w:rPr>
        <w:t xml:space="preserve">ough similar </w:t>
      </w:r>
      <w:r w:rsidR="004C58A7">
        <w:rPr>
          <w:rFonts w:ascii="Arial" w:hAnsi="Arial" w:cs="Arial"/>
          <w:sz w:val="22"/>
          <w:szCs w:val="22"/>
        </w:rPr>
        <w:t>in distribution along the UMAP, which preserves global structure of expression</w:t>
      </w:r>
      <w:r w:rsidR="00050C57" w:rsidRPr="0002326A">
        <w:rPr>
          <w:rFonts w:ascii="Arial" w:hAnsi="Arial" w:cs="Arial"/>
          <w:sz w:val="22"/>
          <w:szCs w:val="22"/>
        </w:rPr>
        <w:t xml:space="preserve">, these five clusters had distinct expression </w:t>
      </w:r>
      <w:r w:rsidR="00050C57" w:rsidRPr="00663A94">
        <w:rPr>
          <w:rFonts w:ascii="Arial" w:hAnsi="Arial" w:cs="Arial"/>
          <w:sz w:val="22"/>
          <w:szCs w:val="22"/>
        </w:rPr>
        <w:t>patterns</w:t>
      </w:r>
      <w:r w:rsidR="00A84007" w:rsidRPr="00663A94">
        <w:rPr>
          <w:rFonts w:ascii="Arial" w:hAnsi="Arial" w:cs="Arial"/>
          <w:sz w:val="22"/>
          <w:szCs w:val="22"/>
        </w:rPr>
        <w:t xml:space="preserve">. For example, the </w:t>
      </w:r>
      <w:r w:rsidR="004B43AC" w:rsidRPr="00663A94">
        <w:rPr>
          <w:rFonts w:ascii="Arial" w:hAnsi="Arial" w:cs="Arial"/>
          <w:sz w:val="22"/>
          <w:szCs w:val="22"/>
        </w:rPr>
        <w:t>CD88</w:t>
      </w:r>
      <w:r w:rsidR="004B43AC" w:rsidRPr="00663A94">
        <w:rPr>
          <w:rFonts w:ascii="Arial" w:hAnsi="Arial" w:cs="Arial"/>
          <w:sz w:val="22"/>
          <w:szCs w:val="22"/>
          <w:vertAlign w:val="superscript"/>
        </w:rPr>
        <w:t>high</w:t>
      </w:r>
      <w:r w:rsidR="00A84007" w:rsidRPr="00663A94">
        <w:rPr>
          <w:rFonts w:ascii="Arial" w:hAnsi="Arial" w:cs="Arial"/>
          <w:sz w:val="22"/>
          <w:szCs w:val="22"/>
          <w:vertAlign w:val="superscript"/>
        </w:rPr>
        <w:t xml:space="preserve"> </w:t>
      </w:r>
      <w:r w:rsidR="004B43AC" w:rsidRPr="00663A94">
        <w:rPr>
          <w:rFonts w:ascii="Arial" w:hAnsi="Arial" w:cs="Arial"/>
          <w:sz w:val="22"/>
          <w:szCs w:val="22"/>
        </w:rPr>
        <w:t>(</w:t>
      </w:r>
      <w:r w:rsidR="004B43AC" w:rsidRPr="00663A94">
        <w:rPr>
          <w:rFonts w:ascii="Arial" w:hAnsi="Arial" w:cs="Arial"/>
          <w:i/>
          <w:iCs/>
          <w:sz w:val="22"/>
          <w:szCs w:val="22"/>
        </w:rPr>
        <w:t>C5AR1</w:t>
      </w:r>
      <w:r w:rsidR="004B43AC" w:rsidRPr="00663A94">
        <w:rPr>
          <w:rFonts w:ascii="Arial" w:hAnsi="Arial" w:cs="Arial"/>
          <w:sz w:val="22"/>
          <w:szCs w:val="22"/>
        </w:rPr>
        <w:t>) CD54</w:t>
      </w:r>
      <w:r w:rsidR="004B43AC" w:rsidRPr="00663A94">
        <w:rPr>
          <w:rFonts w:ascii="Arial" w:hAnsi="Arial" w:cs="Arial"/>
          <w:sz w:val="22"/>
          <w:szCs w:val="22"/>
          <w:vertAlign w:val="superscript"/>
        </w:rPr>
        <w:t>+</w:t>
      </w:r>
      <w:r w:rsidR="004B43AC" w:rsidRPr="00663A94">
        <w:rPr>
          <w:rFonts w:ascii="Arial" w:hAnsi="Arial" w:cs="Arial"/>
          <w:sz w:val="22"/>
          <w:szCs w:val="22"/>
        </w:rPr>
        <w:t xml:space="preserve"> (</w:t>
      </w:r>
      <w:r w:rsidR="004B43AC" w:rsidRPr="00663A94">
        <w:rPr>
          <w:rFonts w:ascii="Arial" w:hAnsi="Arial" w:cs="Arial"/>
          <w:i/>
          <w:iCs/>
          <w:sz w:val="22"/>
          <w:szCs w:val="22"/>
        </w:rPr>
        <w:t>ICAM1</w:t>
      </w:r>
      <w:r w:rsidR="004B43AC" w:rsidRPr="00663A94">
        <w:rPr>
          <w:rFonts w:ascii="Arial" w:hAnsi="Arial" w:cs="Arial"/>
          <w:sz w:val="22"/>
          <w:szCs w:val="22"/>
        </w:rPr>
        <w:t>)</w:t>
      </w:r>
      <w:r w:rsidR="00A84007" w:rsidRPr="00663A94">
        <w:rPr>
          <w:rFonts w:ascii="Arial" w:hAnsi="Arial" w:cs="Arial"/>
          <w:sz w:val="22"/>
          <w:szCs w:val="22"/>
        </w:rPr>
        <w:t xml:space="preserve"> TAM_1 expressed increased levels of chemokines and cytokines, like </w:t>
      </w:r>
      <w:r w:rsidR="00A84007" w:rsidRPr="00663A94">
        <w:rPr>
          <w:rFonts w:ascii="Arial" w:hAnsi="Arial" w:cs="Arial"/>
          <w:i/>
          <w:iCs/>
          <w:sz w:val="22"/>
          <w:szCs w:val="22"/>
        </w:rPr>
        <w:t>CCL3</w:t>
      </w:r>
      <w:r w:rsidR="00A84007" w:rsidRPr="00663A94">
        <w:rPr>
          <w:rFonts w:ascii="Arial" w:hAnsi="Arial" w:cs="Arial"/>
          <w:sz w:val="22"/>
          <w:szCs w:val="22"/>
        </w:rPr>
        <w:t xml:space="preserve">, </w:t>
      </w:r>
      <w:r w:rsidR="00A84007" w:rsidRPr="00663A94">
        <w:rPr>
          <w:rFonts w:ascii="Arial" w:hAnsi="Arial" w:cs="Arial"/>
          <w:i/>
          <w:iCs/>
          <w:sz w:val="22"/>
          <w:szCs w:val="22"/>
        </w:rPr>
        <w:t>CCL4</w:t>
      </w:r>
      <w:r w:rsidR="00A84007" w:rsidRPr="00663A94">
        <w:rPr>
          <w:rFonts w:ascii="Arial" w:hAnsi="Arial" w:cs="Arial"/>
          <w:sz w:val="22"/>
          <w:szCs w:val="22"/>
        </w:rPr>
        <w:t xml:space="preserve">, </w:t>
      </w:r>
      <w:r w:rsidR="00A84007" w:rsidRPr="00663A94">
        <w:rPr>
          <w:rFonts w:ascii="Arial" w:hAnsi="Arial" w:cs="Arial"/>
          <w:i/>
          <w:iCs/>
          <w:sz w:val="22"/>
          <w:szCs w:val="22"/>
        </w:rPr>
        <w:t>CXCL2</w:t>
      </w:r>
      <w:r w:rsidR="00A84007" w:rsidRPr="00663A94">
        <w:rPr>
          <w:rFonts w:ascii="Arial" w:hAnsi="Arial" w:cs="Arial"/>
          <w:sz w:val="22"/>
          <w:szCs w:val="22"/>
        </w:rPr>
        <w:t xml:space="preserve">, and </w:t>
      </w:r>
      <w:r w:rsidR="00A84007" w:rsidRPr="00663A94">
        <w:rPr>
          <w:rFonts w:ascii="Arial" w:hAnsi="Arial" w:cs="Arial"/>
          <w:i/>
          <w:iCs/>
          <w:sz w:val="22"/>
          <w:szCs w:val="22"/>
        </w:rPr>
        <w:t>IL10</w:t>
      </w:r>
      <w:r w:rsidR="00A84007" w:rsidRPr="00663A94">
        <w:rPr>
          <w:rFonts w:ascii="Arial" w:hAnsi="Arial" w:cs="Arial"/>
          <w:sz w:val="22"/>
          <w:szCs w:val="22"/>
        </w:rPr>
        <w:t xml:space="preserve">; </w:t>
      </w:r>
      <w:r w:rsidR="00E30496" w:rsidRPr="00663A94">
        <w:rPr>
          <w:rFonts w:ascii="Arial" w:hAnsi="Arial" w:cs="Arial"/>
          <w:sz w:val="22"/>
          <w:szCs w:val="22"/>
        </w:rPr>
        <w:t>CD64</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FCGR1A</w:t>
      </w:r>
      <w:r w:rsidR="00E30496" w:rsidRPr="00663A94">
        <w:rPr>
          <w:rFonts w:ascii="Arial" w:hAnsi="Arial" w:cs="Arial"/>
          <w:sz w:val="22"/>
          <w:szCs w:val="22"/>
        </w:rPr>
        <w:t>)</w:t>
      </w:r>
      <w:r w:rsidR="00A84007" w:rsidRPr="00663A94">
        <w:rPr>
          <w:rFonts w:ascii="Arial" w:hAnsi="Arial" w:cs="Arial"/>
          <w:sz w:val="22"/>
          <w:szCs w:val="22"/>
        </w:rPr>
        <w:t xml:space="preserve"> </w:t>
      </w:r>
      <w:r w:rsidR="00E30496" w:rsidRPr="00663A94">
        <w:rPr>
          <w:rFonts w:ascii="Arial" w:hAnsi="Arial" w:cs="Arial"/>
          <w:sz w:val="22"/>
          <w:szCs w:val="22"/>
        </w:rPr>
        <w:t>CD16</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FCGR3A</w:t>
      </w:r>
      <w:r w:rsidR="00E30496" w:rsidRPr="00663A94">
        <w:rPr>
          <w:rFonts w:ascii="Arial" w:hAnsi="Arial" w:cs="Arial"/>
          <w:sz w:val="22"/>
          <w:szCs w:val="22"/>
        </w:rPr>
        <w:t>)</w:t>
      </w:r>
      <w:r w:rsidR="00A84007" w:rsidRPr="00663A94">
        <w:rPr>
          <w:rFonts w:ascii="Arial" w:hAnsi="Arial" w:cs="Arial"/>
          <w:sz w:val="22"/>
          <w:szCs w:val="22"/>
        </w:rPr>
        <w:t xml:space="preserve"> TAM_2 subcluster expressed the apolipop</w:t>
      </w:r>
      <w:r w:rsidR="0002326A" w:rsidRPr="00663A94">
        <w:rPr>
          <w:rFonts w:ascii="Arial" w:hAnsi="Arial" w:cs="Arial"/>
          <w:sz w:val="22"/>
          <w:szCs w:val="22"/>
        </w:rPr>
        <w:t xml:space="preserve">rotein </w:t>
      </w:r>
      <w:r w:rsidR="00A84007" w:rsidRPr="00663A94">
        <w:rPr>
          <w:rFonts w:ascii="Arial" w:hAnsi="Arial" w:cs="Arial"/>
          <w:sz w:val="22"/>
          <w:szCs w:val="22"/>
        </w:rPr>
        <w:t xml:space="preserve">gene </w:t>
      </w:r>
      <w:r w:rsidR="00A84007" w:rsidRPr="00663A94">
        <w:rPr>
          <w:rFonts w:ascii="Arial" w:hAnsi="Arial" w:cs="Arial"/>
          <w:i/>
          <w:iCs/>
          <w:sz w:val="22"/>
          <w:szCs w:val="22"/>
        </w:rPr>
        <w:t>APOE</w:t>
      </w:r>
      <w:r w:rsidR="00A84007" w:rsidRPr="00663A94">
        <w:rPr>
          <w:rFonts w:ascii="Arial" w:hAnsi="Arial" w:cs="Arial"/>
          <w:sz w:val="22"/>
          <w:szCs w:val="22"/>
        </w:rPr>
        <w:t>, lysosomal lipase (</w:t>
      </w:r>
      <w:r w:rsidR="00A84007" w:rsidRPr="00663A94">
        <w:rPr>
          <w:rFonts w:ascii="Arial" w:hAnsi="Arial" w:cs="Arial"/>
          <w:i/>
          <w:iCs/>
          <w:sz w:val="22"/>
          <w:szCs w:val="22"/>
        </w:rPr>
        <w:t>LIPA</w:t>
      </w:r>
      <w:r w:rsidR="00A84007" w:rsidRPr="00663A94">
        <w:rPr>
          <w:rFonts w:ascii="Arial" w:hAnsi="Arial" w:cs="Arial"/>
          <w:sz w:val="22"/>
          <w:szCs w:val="22"/>
        </w:rPr>
        <w:t>), and ferroportin (</w:t>
      </w:r>
      <w:r w:rsidR="00A84007" w:rsidRPr="00663A94">
        <w:rPr>
          <w:rFonts w:ascii="Arial" w:hAnsi="Arial" w:cs="Arial"/>
          <w:i/>
          <w:iCs/>
          <w:sz w:val="22"/>
          <w:szCs w:val="22"/>
        </w:rPr>
        <w:t>SLC40A1</w:t>
      </w:r>
      <w:r w:rsidR="00A84007" w:rsidRPr="00663A94">
        <w:rPr>
          <w:rFonts w:ascii="Arial" w:hAnsi="Arial" w:cs="Arial"/>
          <w:sz w:val="22"/>
          <w:szCs w:val="22"/>
        </w:rPr>
        <w:t xml:space="preserve">); and </w:t>
      </w:r>
      <w:r w:rsidR="00E30496" w:rsidRPr="00663A94">
        <w:rPr>
          <w:rFonts w:ascii="Arial" w:hAnsi="Arial" w:cs="Arial"/>
          <w:i/>
          <w:iCs/>
          <w:sz w:val="22"/>
          <w:szCs w:val="22"/>
        </w:rPr>
        <w:t>CD1C</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CD86</w:t>
      </w:r>
      <w:r w:rsidR="00E30496" w:rsidRPr="00663A94">
        <w:rPr>
          <w:rFonts w:ascii="Arial" w:hAnsi="Arial" w:cs="Arial"/>
          <w:sz w:val="22"/>
          <w:szCs w:val="22"/>
        </w:rPr>
        <w:t xml:space="preserve">+ </w:t>
      </w:r>
      <w:r w:rsidR="00A84007" w:rsidRPr="00663A94">
        <w:rPr>
          <w:rFonts w:ascii="Arial" w:hAnsi="Arial" w:cs="Arial"/>
          <w:sz w:val="22"/>
          <w:szCs w:val="22"/>
        </w:rPr>
        <w:t xml:space="preserve">TAM_3 had high levels of </w:t>
      </w:r>
      <w:r w:rsidR="00A84007" w:rsidRPr="00663A94">
        <w:rPr>
          <w:rFonts w:ascii="Arial" w:hAnsi="Arial" w:cs="Arial"/>
          <w:i/>
          <w:iCs/>
          <w:sz w:val="22"/>
          <w:szCs w:val="22"/>
        </w:rPr>
        <w:t>IL1R2</w:t>
      </w:r>
      <w:r w:rsidR="00A84007" w:rsidRPr="00663A94">
        <w:rPr>
          <w:rFonts w:ascii="Arial" w:hAnsi="Arial" w:cs="Arial"/>
          <w:sz w:val="22"/>
          <w:szCs w:val="22"/>
        </w:rPr>
        <w:t xml:space="preserve"> and Langerhin (</w:t>
      </w:r>
      <w:r w:rsidR="00A84007" w:rsidRPr="00663A94">
        <w:rPr>
          <w:rFonts w:ascii="Arial" w:hAnsi="Arial" w:cs="Arial"/>
          <w:i/>
          <w:iCs/>
          <w:sz w:val="22"/>
          <w:szCs w:val="22"/>
        </w:rPr>
        <w:t>CD207</w:t>
      </w:r>
      <w:r w:rsidR="00A84007" w:rsidRPr="00663A94">
        <w:rPr>
          <w:rFonts w:ascii="Arial" w:hAnsi="Arial" w:cs="Arial"/>
          <w:sz w:val="22"/>
          <w:szCs w:val="22"/>
        </w:rPr>
        <w:t xml:space="preserve">), a marker of the </w:t>
      </w:r>
      <w:r w:rsidR="00A84007" w:rsidRPr="00663A94">
        <w:rPr>
          <w:rFonts w:ascii="Arial" w:hAnsi="Arial" w:cs="Arial"/>
          <w:sz w:val="22"/>
          <w:szCs w:val="22"/>
        </w:rPr>
        <w:lastRenderedPageBreak/>
        <w:t xml:space="preserve">skin-resident Langerhan cells (Figure </w:t>
      </w:r>
      <w:r w:rsidR="00BC0F7E" w:rsidRPr="00663A94">
        <w:rPr>
          <w:rFonts w:ascii="Arial" w:hAnsi="Arial" w:cs="Arial"/>
          <w:sz w:val="22"/>
          <w:szCs w:val="22"/>
        </w:rPr>
        <w:t>5</w:t>
      </w:r>
      <w:r w:rsidR="00A84007" w:rsidRPr="00663A94">
        <w:rPr>
          <w:rFonts w:ascii="Arial" w:hAnsi="Arial" w:cs="Arial"/>
          <w:sz w:val="22"/>
          <w:szCs w:val="22"/>
        </w:rPr>
        <w:t xml:space="preserve">F). </w:t>
      </w:r>
      <w:r w:rsidR="0020613A" w:rsidRPr="00663A94">
        <w:rPr>
          <w:rFonts w:ascii="Arial" w:hAnsi="Arial" w:cs="Arial"/>
          <w:sz w:val="22"/>
          <w:szCs w:val="22"/>
        </w:rPr>
        <w:t>The pM sub</w:t>
      </w:r>
      <w:r w:rsidR="00666678" w:rsidRPr="00663A94">
        <w:rPr>
          <w:rFonts w:ascii="Arial" w:hAnsi="Arial" w:cs="Arial"/>
          <w:sz w:val="22"/>
          <w:szCs w:val="22"/>
        </w:rPr>
        <w:t>c</w:t>
      </w:r>
      <w:r w:rsidR="0020613A" w:rsidRPr="00663A94">
        <w:rPr>
          <w:rFonts w:ascii="Arial" w:hAnsi="Arial" w:cs="Arial"/>
          <w:sz w:val="22"/>
          <w:szCs w:val="22"/>
        </w:rPr>
        <w:t>luster had the highest level of the</w:t>
      </w:r>
      <w:r w:rsidR="0020613A" w:rsidRPr="0002326A">
        <w:rPr>
          <w:rFonts w:ascii="Arial" w:hAnsi="Arial" w:cs="Arial"/>
          <w:sz w:val="22"/>
          <w:szCs w:val="22"/>
        </w:rPr>
        <w:t xml:space="preserve"> cell adhesion molecules </w:t>
      </w:r>
      <w:r w:rsidR="0020613A" w:rsidRPr="0002326A">
        <w:rPr>
          <w:rFonts w:ascii="Arial" w:hAnsi="Arial" w:cs="Arial"/>
          <w:i/>
          <w:iCs/>
          <w:sz w:val="22"/>
          <w:szCs w:val="22"/>
        </w:rPr>
        <w:t>CLEC10A</w:t>
      </w:r>
      <w:r w:rsidR="0020613A" w:rsidRPr="0002326A">
        <w:rPr>
          <w:rFonts w:ascii="Arial" w:hAnsi="Arial" w:cs="Arial"/>
          <w:sz w:val="22"/>
          <w:szCs w:val="22"/>
        </w:rPr>
        <w:t xml:space="preserve">, </w:t>
      </w:r>
      <w:r w:rsidR="0020613A" w:rsidRPr="0002326A">
        <w:rPr>
          <w:rFonts w:ascii="Arial" w:hAnsi="Arial" w:cs="Arial"/>
          <w:i/>
          <w:iCs/>
          <w:sz w:val="22"/>
          <w:szCs w:val="22"/>
        </w:rPr>
        <w:t>SELL</w:t>
      </w:r>
      <w:r w:rsidR="0020613A" w:rsidRPr="0002326A">
        <w:rPr>
          <w:rFonts w:ascii="Arial" w:hAnsi="Arial" w:cs="Arial"/>
          <w:sz w:val="22"/>
          <w:szCs w:val="22"/>
        </w:rPr>
        <w:t xml:space="preserve"> (CD62L), and </w:t>
      </w:r>
      <w:r w:rsidR="0020613A" w:rsidRPr="0002326A">
        <w:rPr>
          <w:rFonts w:ascii="Arial" w:hAnsi="Arial" w:cs="Arial"/>
          <w:i/>
          <w:iCs/>
          <w:sz w:val="22"/>
          <w:szCs w:val="22"/>
        </w:rPr>
        <w:t>ITGB7</w:t>
      </w:r>
      <w:r w:rsidR="0020613A" w:rsidRPr="0002326A">
        <w:rPr>
          <w:rFonts w:ascii="Arial" w:hAnsi="Arial" w:cs="Arial"/>
          <w:sz w:val="22"/>
          <w:szCs w:val="22"/>
        </w:rPr>
        <w:t xml:space="preserve">, which can dimerize with </w:t>
      </w:r>
      <w:r w:rsidR="0020613A" w:rsidRPr="0002326A">
        <w:rPr>
          <w:rFonts w:ascii="Arial" w:hAnsi="Arial" w:cs="Arial"/>
          <w:i/>
          <w:iCs/>
          <w:sz w:val="22"/>
          <w:szCs w:val="22"/>
        </w:rPr>
        <w:t>ITGA4</w:t>
      </w:r>
      <w:r w:rsidR="0020613A" w:rsidRPr="0002326A">
        <w:rPr>
          <w:rFonts w:ascii="Arial" w:hAnsi="Arial" w:cs="Arial"/>
          <w:sz w:val="22"/>
          <w:szCs w:val="22"/>
        </w:rPr>
        <w:t xml:space="preserve"> (CD49d) or </w:t>
      </w:r>
      <w:r w:rsidR="0020613A" w:rsidRPr="0002326A">
        <w:rPr>
          <w:rFonts w:ascii="Arial" w:hAnsi="Arial" w:cs="Arial"/>
          <w:i/>
          <w:iCs/>
          <w:sz w:val="22"/>
          <w:szCs w:val="22"/>
        </w:rPr>
        <w:t>ITGAE</w:t>
      </w:r>
      <w:r w:rsidR="0020613A" w:rsidRPr="0002326A">
        <w:rPr>
          <w:rFonts w:ascii="Arial" w:hAnsi="Arial" w:cs="Arial"/>
          <w:sz w:val="22"/>
          <w:szCs w:val="22"/>
        </w:rPr>
        <w:t xml:space="preserve"> (CD103).</w:t>
      </w:r>
      <w:r w:rsidR="006C2FF3" w:rsidRPr="0002326A">
        <w:rPr>
          <w:rFonts w:ascii="Arial" w:hAnsi="Arial" w:cs="Arial"/>
          <w:sz w:val="22"/>
          <w:szCs w:val="22"/>
        </w:rPr>
        <w:t xml:space="preserve"> Like the CD8</w:t>
      </w:r>
      <w:r w:rsidR="006C2FF3" w:rsidRPr="0002326A">
        <w:rPr>
          <w:rFonts w:ascii="Arial" w:hAnsi="Arial" w:cs="Arial"/>
          <w:sz w:val="22"/>
          <w:szCs w:val="22"/>
          <w:vertAlign w:val="superscript"/>
        </w:rPr>
        <w:t>+</w:t>
      </w:r>
      <w:r w:rsidR="006C2FF3" w:rsidRPr="0002326A">
        <w:rPr>
          <w:rFonts w:ascii="Arial" w:hAnsi="Arial" w:cs="Arial"/>
          <w:sz w:val="22"/>
          <w:szCs w:val="22"/>
        </w:rPr>
        <w:t xml:space="preserve"> T cells, we built cell trajectories based on varied genes </w:t>
      </w:r>
      <w:r w:rsidR="004C58A7">
        <w:rPr>
          <w:rFonts w:ascii="Arial" w:hAnsi="Arial" w:cs="Arial"/>
          <w:sz w:val="22"/>
          <w:szCs w:val="22"/>
        </w:rPr>
        <w:t>and found</w:t>
      </w:r>
      <w:r w:rsidR="006C2FF3" w:rsidRPr="0002326A">
        <w:rPr>
          <w:rFonts w:ascii="Arial" w:hAnsi="Arial" w:cs="Arial"/>
          <w:sz w:val="22"/>
          <w:szCs w:val="22"/>
        </w:rPr>
        <w:t xml:space="preserve"> two distinct curves converging into TAM_3 and pM (Figure </w:t>
      </w:r>
      <w:r w:rsidR="00BC0F7E">
        <w:rPr>
          <w:rFonts w:ascii="Arial" w:hAnsi="Arial" w:cs="Arial"/>
          <w:sz w:val="22"/>
          <w:szCs w:val="22"/>
        </w:rPr>
        <w:t>5</w:t>
      </w:r>
      <w:r w:rsidR="006C2FF3" w:rsidRPr="0002326A">
        <w:rPr>
          <w:rFonts w:ascii="Arial" w:hAnsi="Arial" w:cs="Arial"/>
          <w:sz w:val="22"/>
          <w:szCs w:val="22"/>
        </w:rPr>
        <w:t xml:space="preserve">G). In order to </w:t>
      </w:r>
      <w:r w:rsidR="00666678" w:rsidRPr="0002326A">
        <w:rPr>
          <w:rFonts w:ascii="Arial" w:hAnsi="Arial" w:cs="Arial"/>
          <w:sz w:val="22"/>
          <w:szCs w:val="22"/>
        </w:rPr>
        <w:t>assess potential</w:t>
      </w:r>
      <w:r w:rsidR="006C2FF3" w:rsidRPr="0002326A">
        <w:rPr>
          <w:rFonts w:ascii="Arial" w:hAnsi="Arial" w:cs="Arial"/>
          <w:sz w:val="22"/>
          <w:szCs w:val="22"/>
        </w:rPr>
        <w:t xml:space="preserve"> functional difference</w:t>
      </w:r>
      <w:r w:rsidR="00666678" w:rsidRPr="0002326A">
        <w:rPr>
          <w:rFonts w:ascii="Arial" w:hAnsi="Arial" w:cs="Arial"/>
          <w:sz w:val="22"/>
          <w:szCs w:val="22"/>
        </w:rPr>
        <w:t xml:space="preserve">s for the macrophages, </w:t>
      </w:r>
      <w:r w:rsidR="006C2FF3" w:rsidRPr="0002326A">
        <w:rPr>
          <w:rFonts w:ascii="Arial" w:hAnsi="Arial" w:cs="Arial"/>
          <w:sz w:val="22"/>
          <w:szCs w:val="22"/>
        </w:rPr>
        <w:t xml:space="preserve">we performed gene set enrichment analysis (Figure </w:t>
      </w:r>
      <w:r w:rsidR="00BC0F7E">
        <w:rPr>
          <w:rFonts w:ascii="Arial" w:hAnsi="Arial" w:cs="Arial"/>
          <w:sz w:val="22"/>
          <w:szCs w:val="22"/>
        </w:rPr>
        <w:t>5</w:t>
      </w:r>
      <w:r w:rsidR="006C2FF3" w:rsidRPr="0002326A">
        <w:rPr>
          <w:rFonts w:ascii="Arial" w:hAnsi="Arial" w:cs="Arial"/>
          <w:sz w:val="22"/>
          <w:szCs w:val="22"/>
        </w:rPr>
        <w:t>H</w:t>
      </w:r>
      <w:r w:rsidR="00666678" w:rsidRPr="0002326A">
        <w:rPr>
          <w:rFonts w:ascii="Arial" w:hAnsi="Arial" w:cs="Arial"/>
          <w:sz w:val="22"/>
          <w:szCs w:val="22"/>
        </w:rPr>
        <w:t>). As previously observed in single-cell data</w:t>
      </w:r>
      <w:r w:rsidR="00D710B8">
        <w:rPr>
          <w:rFonts w:ascii="Arial" w:hAnsi="Arial" w:cs="Arial"/>
          <w:sz w:val="22"/>
          <w:szCs w:val="22"/>
        </w:rPr>
        <w:t xml:space="preserve"> </w:t>
      </w:r>
      <w:r w:rsidR="00D710B8">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mendeley":{"formattedCitation":"(25)","plainTextFormattedCitation":"(25)","previouslyFormattedCitation":"(25)"},"properties":{"noteIndex":0},"schema":"https://github.com/citation-style-language/schema/raw/master/csl-citation.json"}</w:instrText>
      </w:r>
      <w:r w:rsidR="00D710B8">
        <w:rPr>
          <w:rFonts w:ascii="Arial" w:hAnsi="Arial" w:cs="Arial"/>
          <w:sz w:val="22"/>
          <w:szCs w:val="22"/>
        </w:rPr>
        <w:fldChar w:fldCharType="separate"/>
      </w:r>
      <w:r w:rsidR="00B7170F" w:rsidRPr="00B7170F">
        <w:rPr>
          <w:rFonts w:ascii="Arial" w:hAnsi="Arial" w:cs="Arial"/>
          <w:noProof/>
          <w:sz w:val="22"/>
          <w:szCs w:val="22"/>
        </w:rPr>
        <w:t>(25)</w:t>
      </w:r>
      <w:r w:rsidR="00D710B8">
        <w:rPr>
          <w:rFonts w:ascii="Arial" w:hAnsi="Arial" w:cs="Arial"/>
          <w:sz w:val="22"/>
          <w:szCs w:val="22"/>
        </w:rPr>
        <w:fldChar w:fldCharType="end"/>
      </w:r>
      <w:r w:rsidR="00D710B8">
        <w:rPr>
          <w:rFonts w:ascii="Arial" w:hAnsi="Arial" w:cs="Arial"/>
          <w:sz w:val="22"/>
          <w:szCs w:val="22"/>
        </w:rPr>
        <w:t xml:space="preserve">, </w:t>
      </w:r>
      <w:r w:rsidR="00666678" w:rsidRPr="0002326A">
        <w:rPr>
          <w:rFonts w:ascii="Arial" w:hAnsi="Arial" w:cs="Arial"/>
          <w:sz w:val="22"/>
          <w:szCs w:val="22"/>
        </w:rPr>
        <w:t>no subclusters w</w:t>
      </w:r>
      <w:r w:rsidR="004C58A7">
        <w:rPr>
          <w:rFonts w:ascii="Arial" w:hAnsi="Arial" w:cs="Arial"/>
          <w:sz w:val="22"/>
          <w:szCs w:val="22"/>
        </w:rPr>
        <w:t>ere</w:t>
      </w:r>
      <w:r w:rsidR="00666678" w:rsidRPr="0002326A">
        <w:rPr>
          <w:rFonts w:ascii="Arial" w:hAnsi="Arial" w:cs="Arial"/>
          <w:sz w:val="22"/>
          <w:szCs w:val="22"/>
        </w:rPr>
        <w:t xml:space="preserve"> distinctly M1 or M2 polarized. For example, TAM_1 had enrichment for gene sets commonly associated with the M2 macrophage compartment, such has angiogenesis and the production of lipid mediators, while also having the highest levels of TNFɑ signaling enrichment, a common M1 macrophage characteristic. Across the three TAM subclusters, modest enrichment in both type 1 and type 2 interferon signaling was observed (Figure </w:t>
      </w:r>
      <w:r w:rsidR="00BC0F7E">
        <w:rPr>
          <w:rFonts w:ascii="Arial" w:hAnsi="Arial" w:cs="Arial"/>
          <w:sz w:val="22"/>
          <w:szCs w:val="22"/>
        </w:rPr>
        <w:t>5</w:t>
      </w:r>
      <w:r w:rsidR="00666678" w:rsidRPr="0002326A">
        <w:rPr>
          <w:rFonts w:ascii="Arial" w:hAnsi="Arial" w:cs="Arial"/>
          <w:sz w:val="22"/>
          <w:szCs w:val="22"/>
        </w:rPr>
        <w:t xml:space="preserve">H). The non-TAM subclusters, rM and pM had relatively lower levels of enrichment with the exception of proinflammatory signaling and glycolysis, respectively (Figure </w:t>
      </w:r>
      <w:r w:rsidR="00BC0F7E">
        <w:rPr>
          <w:rFonts w:ascii="Arial" w:hAnsi="Arial" w:cs="Arial"/>
          <w:sz w:val="22"/>
          <w:szCs w:val="22"/>
        </w:rPr>
        <w:t>5</w:t>
      </w:r>
      <w:r w:rsidR="00666678" w:rsidRPr="0002326A">
        <w:rPr>
          <w:rFonts w:ascii="Arial" w:hAnsi="Arial" w:cs="Arial"/>
          <w:sz w:val="22"/>
          <w:szCs w:val="22"/>
        </w:rPr>
        <w:t xml:space="preserve">H). </w:t>
      </w:r>
      <w:r w:rsidR="006B42C9">
        <w:rPr>
          <w:rFonts w:ascii="Arial" w:hAnsi="Arial" w:cs="Arial"/>
          <w:sz w:val="22"/>
          <w:szCs w:val="22"/>
        </w:rPr>
        <w:t xml:space="preserve">We also found an increase in antigen processing and presentation of lipid antigens via MHC-I in TAM_2 and TAM_3, while TAM_1 had higher enrichment for polysaccharide antigens (Supplemental Figure 4). </w:t>
      </w:r>
    </w:p>
    <w:p w14:paraId="691A00A3" w14:textId="77777777" w:rsidR="00607C32" w:rsidRPr="0002326A" w:rsidRDefault="00607C32" w:rsidP="008274D0">
      <w:pPr>
        <w:pStyle w:val="Paragraph"/>
        <w:snapToGrid w:val="0"/>
        <w:ind w:firstLine="0"/>
        <w:rPr>
          <w:rFonts w:ascii="Arial" w:hAnsi="Arial" w:cs="Arial"/>
          <w:b/>
          <w:bCs/>
          <w:color w:val="000000"/>
          <w:sz w:val="22"/>
          <w:szCs w:val="22"/>
        </w:rPr>
      </w:pPr>
    </w:p>
    <w:p w14:paraId="58FBB8DE" w14:textId="12BE99DB" w:rsidR="00302E3B" w:rsidRPr="0002326A" w:rsidRDefault="00607C32" w:rsidP="008274D0">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Discussion</w:t>
      </w:r>
    </w:p>
    <w:p w14:paraId="35211ED5" w14:textId="52A894AA" w:rsidR="00E14BFC" w:rsidRPr="0002326A" w:rsidRDefault="00E14BFC" w:rsidP="008274D0">
      <w:pPr>
        <w:pStyle w:val="Paragraph"/>
        <w:snapToGrid w:val="0"/>
        <w:ind w:firstLine="0"/>
        <w:rPr>
          <w:rFonts w:ascii="Arial" w:hAnsi="Arial" w:cs="Arial"/>
          <w:b/>
          <w:bCs/>
          <w:color w:val="000000"/>
          <w:sz w:val="22"/>
          <w:szCs w:val="22"/>
        </w:rPr>
      </w:pPr>
    </w:p>
    <w:p w14:paraId="70A8D2C0" w14:textId="46560F83" w:rsidR="00E14BFC" w:rsidRPr="0002326A" w:rsidRDefault="00E14BFC" w:rsidP="00E14BFC">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With the improved understanding on how immunotherapies work, the phenotypic and functional profile of immune cells in the tumor microenvironment is now well known to influence prognosis and disease outcome. Comprehensive knowledge of gene expression signatures to fully understand the roles of specific immune populations in cancer is of high biological relevance; not only in identifying dysregulated immune determinants of cancer progression but also as a useful tool for the selection of patients, evaluating the likelihood of benefit from immunotherapy and further identifying clinically significant subpopulations. </w:t>
      </w:r>
    </w:p>
    <w:p w14:paraId="285C1BF2" w14:textId="77777777" w:rsidR="00E14BFC" w:rsidRPr="0002326A" w:rsidRDefault="00E14BFC" w:rsidP="008274D0">
      <w:pPr>
        <w:pStyle w:val="Paragraph"/>
        <w:snapToGrid w:val="0"/>
        <w:ind w:firstLine="0"/>
        <w:rPr>
          <w:rFonts w:ascii="Arial" w:hAnsi="Arial" w:cs="Arial"/>
          <w:b/>
          <w:bCs/>
          <w:color w:val="000000"/>
          <w:sz w:val="22"/>
          <w:szCs w:val="22"/>
        </w:rPr>
      </w:pPr>
    </w:p>
    <w:p w14:paraId="66177F08" w14:textId="45A844E8" w:rsidR="008A78E5" w:rsidRPr="0002326A" w:rsidRDefault="00607C32" w:rsidP="008A78E5">
      <w:pPr>
        <w:spacing w:line="480" w:lineRule="auto"/>
        <w:jc w:val="both"/>
        <w:rPr>
          <w:rFonts w:ascii="Arial" w:hAnsi="Arial" w:cs="Arial"/>
          <w:color w:val="000000"/>
          <w:sz w:val="22"/>
          <w:szCs w:val="22"/>
        </w:rPr>
      </w:pPr>
      <w:r w:rsidRPr="0002326A">
        <w:rPr>
          <w:rFonts w:ascii="Arial" w:hAnsi="Arial" w:cs="Arial"/>
          <w:color w:val="000000"/>
          <w:sz w:val="22"/>
          <w:szCs w:val="22"/>
        </w:rPr>
        <w:lastRenderedPageBreak/>
        <w:t>Despite immunotherapy being a mainstay of treatment for</w:t>
      </w:r>
      <w:r w:rsidR="0038281C" w:rsidRPr="0002326A">
        <w:rPr>
          <w:rFonts w:ascii="Arial" w:hAnsi="Arial" w:cs="Arial"/>
          <w:color w:val="000000"/>
          <w:sz w:val="22"/>
          <w:szCs w:val="22"/>
        </w:rPr>
        <w:t xml:space="preserve"> advanced and treatment-naive</w:t>
      </w:r>
      <w:r w:rsidRPr="0002326A">
        <w:rPr>
          <w:rFonts w:ascii="Arial" w:hAnsi="Arial" w:cs="Arial"/>
          <w:color w:val="000000"/>
          <w:sz w:val="22"/>
          <w:szCs w:val="22"/>
        </w:rPr>
        <w:t xml:space="preserve"> ccRCC</w:t>
      </w:r>
      <w:r w:rsidR="00CE4B61" w:rsidRPr="0002326A">
        <w:rPr>
          <w:rFonts w:ascii="Arial" w:hAnsi="Arial" w:cs="Arial"/>
          <w:color w:val="000000"/>
          <w:sz w:val="22"/>
          <w:szCs w:val="22"/>
        </w:rPr>
        <w:t xml:space="preserve"> </w:t>
      </w:r>
      <w:r w:rsidR="00CE4B61"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carcinoma","type":"article-journal","volume":"380"},"uris":["http://www.mendeley.com/documents/?uuid=523e8e8a-8dc3-423a-9dc7-7eae19365c85"]},{"id":"ITEM-2","itemData":{"DOI":"10.1056/NEJMoa1712126","ISSN":"15334406","PMID":"29562145","abstract":"BACKGROUND: Nivolumab plus ipilimumab produced objective responses in patients with advanced renal-cell carcinoma in a pilot study. This phase 3 trial compared nivolumab plus ipilimumab with sunitinib for previously untreated clear-cell advanced renal-cell carcinoma. METHODS: We randomly assigned adults in a 1:1 ratio to receive either nivolumab (3 mg per kilogram of body weight) plus ipilimumab (1 mg per kilogram) intravenously every 3 weeks for four doses, followed by nivolumab (3 mg per kilogram) every 2 weeks, or sunitinib (50 mg) orally once daily for 4 weeks (6-week cycle). The coprimary end points were overall survival (alpha level, 0.04), objective response rate (alpha level, 0.001), and progression-free survival (alpha level, 0.009) among patients with intermediate or poor prognostic risk. RESULTS: A total of 1096 patients were assigned to receive nivolumab plus ipilimumab (550 patients) or sunitinib (546 patients); 425 and 422, respectively, had intermediate or poor risk. At a median follow-up of 25.2 months in intermediate- and poor-risk patients, the 18-month overall survival rate was 75% (95% confidence interval [CI], 70 to 78) with nivolumab plus ipilimumab and 60% (95% CI, 55 to 65) with sunitinib; the median overall survival was not reached with nivolumab plus ipilimumab versus 26.0 months with sunitinib (hazard ratio for death, 0.63; P&lt;0.001). The objective response rate was 42% versus 27% (P&lt;0.001), and the complete response rate was 9% versus 1%. The median progression-free survival was 11.6 months and 8.4 months, respectively (hazard ratio for disease progression or death, 0.82; P = 0.03, not significant per the prespecified 0.009 threshold). Treatment-related adverse events occurred in 509 of 547 patients (93%) in the nivolumab-plus-ipilimumab group and 521 of 535 patients (97%) in the sunitinib group; grade 3 or 4 events occurred in 250 patients (46%) and 335 patients (63%), respectively. Treatment-related adverse events leading to discontinuation occurred in 22% and 12% of the patients in the respective groups. CONCLUSIONS: Overall survival and objective response rates were significantly higher with nivolumab plus ipilimumab than with sunitinib among intermediate- and poor-risk patients with previously untreated advanced renal-cell carcinoma.","author":[{"dropping-particle":"","family":"Motzer","given":"R. J.","non-dropping-particle":"","parse-names":false,"suffix":""},{"dropping-particle":"","family":"Tannir","given":"N. M.","non-dropping-particle":"","parse-names":false,"suffix":""},{"dropping-particle":"","family":"McDermott","given":"D. F.","non-dropping-particle":"","parse-names":false,"suffix":""},{"dropping-particle":"","family":"Arén Frontera","given":"O.","non-dropping-particle":"","parse-names":false,"suffix":""},{"dropping-particle":"","family":"Melichar","given":"B.","non-dropping-particle":"","parse-names":false,"suffix":""},{"dropping-particle":"","family":"Choueiri","given":"T. K.","non-dropping-particle":"","parse-names":false,"suffix":""},{"dropping-particle":"","family":"Plimack","given":"E. R.","non-dropping-particle":"","parse-names":false,"suffix":""},{"dropping-particle":"","family":"Barthélémy","given":"P.","non-dropping-particle":"","parse-names":false,"suffix":""},{"dropping-particle":"","family":"Porta","given":"C.","non-dropping-particle":"","parse-names":false,"suffix":""},{"dropping-particle":"","family":"George","given":"S.","non-dropping-particle":"","parse-names":false,"suffix":""},{"dropping-particle":"","family":"Powles","given":"T.","non-dropping-particle":"","parse-names":false,"suffix":""},{"dropping-particle":"","family":"Donskov","given":"F.","non-dropping-particle":"","parse-names":false,"suffix":""},{"dropping-particle":"","family":"Neiman","given":"V.","non-dropping-particle":"","parse-names":false,"suffix":""},{"dropping-particle":"","family":"Kollmannsberger","given":"C. K.","non-dropping-particle":"","parse-names":false,"suffix":""},{"dropping-particle":"","family":"Salman","given":"P.","non-dropping-particle":"","parse-names":false,"suffix":""},{"dropping-particle":"","family":"Gurney","given":"H.","non-dropping-particle":"","parse-names":false,"suffix":""},{"dropping-particle":"","family":"Hawkins","given":"R.","non-dropping-particle":"","parse-names":false,"suffix":""},{"dropping-particle":"","family":"Ravaud","given":"A.","non-dropping-particle":"","parse-names":false,"suffix":""},{"dropping-particle":"","family":"Grimm","given":"M. O.","non-dropping-particle":"","parse-names":false,"suffix":""},{"dropping-particle":"","family":"Bracarda","given":"S.","non-dropping-particle":"","parse-names":false,"suffix":""},{"dropping-particle":"","family":"Barrios","given":"C. H.","non-dropping-particle":"","parse-names":false,"suffix":""},{"dropping-particle":"","family":"Tomita","given":"Y.","non-dropping-particle":"","parse-names":false,"suffix":""},{"dropping-particle":"","family":"Castellano","given":"D.","non-dropping-particle":"","parse-names":false,"suffix":""},{"dropping-particle":"","family":"Rini","given":"B. I.","non-dropping-particle":"","parse-names":false,"suffix":""},{"dropping-particle":"","family":"Chen","given":"A. C.","non-dropping-particle":"","parse-names":false,"suffix":""},{"dropping-particle":"","family":"Mekan","given":"S.","non-dropping-particle":"","parse-names":false,"suffix":""},{"dropping-particle":"","family":"McHenry","given":"M. B.","non-dropping-particle":"","parse-names":false,"suffix":""},{"dropping-particle":"","family":"Wind-Rotolo","given":"M.","non-dropping-particle":"","parse-names":false,"suffix":""},{"dropping-particle":"","family":"Doan","given":"J.","non-dropping-particle":"","parse-names":false,"suffix":""},{"dropping-particle":"","family":"Sharma","given":"P.","non-dropping-particle":"","parse-names":false,"suffix":""},{"dropping-particle":"","family":"Hammers","given":"H. J.","non-dropping-particle":"","parse-names":false,"suffix":""},{"dropping-particle":"","family":"Escudier","given":"B.","non-dropping-particle":"","parse-names":false,"suffix":""}],"container-title":"New England Journal of Medicine","id":"ITEM-2","issue":"14","issued":{"date-parts":[["2018"]]},"page":"1277-1290","title":"Nivolumab plus Ipilimumab versus Sunitinib in advanced renal-cell carcinoma","type":"article-journal","volume":"378"},"uris":["http://www.mendeley.com/documents/?uuid=a2bb983d-5063-4214-913a-533c8efa8399"]},{"id":"ITEM-3","itemData":{"DOI":"10.1056/NEJMoa1510665","ISSN":"15334406","PMID":"26406148","abstract":"BACKGROUND Nivolumab, a programmed death 1 (PD-1) checkpoint inhibitor, was associated with encouraging overall survival in uncontrolled studies involving previously treated patients with advanced renal-cell carcinoma. This randomized, open-label, phase 3 study compared nivolumab with everolimus in patients with renal-cell carcinoma who had received previous treatment. METHODS A total of 821 patients with advanced clear-cell renal-cell carcinoma for which they had received previous treatment with one or two regimens of antiangiogenic therapy were randomly assigned (in a 1:1 ratio) to receive 3 mg of nivolumab per kilogram of body weight intravenously every 2 weeks or a 10-mg everolimus tablet orally once daily. The primary end point was overall survival. The secondary end points included the objective response rate and safety. RESULTS The median overall survival was 25.0 months (95% confidence interval [CI], 21.8 to not estimable) with nivolumab and 19.6 months (95% CI, 17.6 to 23.1) with everolimus. The hazard ratio for death with nivolumab versus everolimus was 0.73 (98.5% CI, 0.57 to 0.93; P = 0.002), which met the prespecified criterion for superiority (P≤0.0148). The objective response rate was greater with nivolumab than with everolimus (25% vs. 5%; odds ratio, 5.98 [95% CI, 3.68 to 9.72]; P&lt;0.001). The median progression-free survival was 4.6 months (95% CI, 3.7 to 5.4) with nivolumab and 4.4 months (95% CI, 3.7 to 5.5) with everolimus (hazard ratio, 0.88; 95% CI, 0.75 to 1.03; P = 0.11). Grade 3 or 4 treatment-related adverse events occurred in 19% of the patients receiving nivolumab and in 37% of the patients receiving everolimus; the most common event with nivolumab was fatigue (in 2% of the patients), and the most common event with everolimus was anemia (in 8%). CONCLUSIONS Among patients with previously treated advanced renal-cell carcinoma, overall survival was longer and fewer grade 3 or 4 adverse events occurred with nivolumab than with everolimus.","author":[{"dropping-particle":"","family":"Motzer","given":"Robert J.","non-dropping-particle":"","parse-names":false,"suffix":""},{"dropping-particle":"","family":"Escudier","given":"Bernard","non-dropping-particle":"","parse-names":false,"suffix":""},{"dropping-particle":"","family":"McDermott","given":"David F.","non-dropping-particle":"","parse-names":false,"suffix":""},{"dropping-particle":"","family":"George","given":"Saby","non-dropping-particle":"","parse-names":false,"suffix":""},{"dropping-particle":"","family":"Hammers","given":"Hans J.","non-dropping-particle":"","parse-names":false,"suffix":""},{"dropping-particle":"","family":"Srinivas","given":"Sandhya","non-dropping-particle":"","parse-names":false,"suffix":""},{"dropping-particle":"","family":"Tykodi","given":"Scott S.","non-dropping-particle":"","parse-names":false,"suffix":""},{"dropping-particle":"","family":"Sosman","given":"Jeffrey A.","non-dropping-particle":"","parse-names":false,"suffix":""},{"dropping-particle":"","family":"Procopio","given":"Giuseppe","non-dropping-particle":"","parse-names":false,"suffix":""},{"dropping-particle":"","family":"Plimack","given":"Elizabeth R.","non-dropping-particle":"","parse-names":false,"suffix":""},{"dropping-particle":"","family":"Castellano","given":"Daniel","non-dropping-particle":"","parse-names":false,"suffix":""},{"dropping-particle":"","family":"Choueiri","given":"Toni K.","non-dropping-particle":"","parse-names":false,"suffix":""},{"dropping-particle":"","family":"Gurney","given":"Howard","non-dropping-particle":"","parse-names":false,"suffix":""},{"dropping-particle":"","family":"Donskov","given":"Frede","non-dropping-particle":"","parse-names":false,"suffix":""},{"dropping-particle":"","family":"Bono","given":"Petri","non-dropping-particle":"","parse-names":false,"suffix":""},{"dropping-particle":"","family":"Wagstaff","given":"John","non-dropping-particle":"","parse-names":false,"suffix":""},{"dropping-particle":"","family":"Gauler","given":"Thomas C.","non-dropping-particle":"","parse-names":false,"suffix":""},{"dropping-particle":"","family":"Ueda","given":"Takeshi","non-dropping-particle":"","parse-names":false,"suffix":""},{"dropping-particle":"","family":"Tomita","given":"Yoshihiko","non-dropping-particle":"","parse-names":false,"suffix":""},{"dropping-particle":"","family":"Schutz","given":"Fabio A.","non-dropping-particle":"","parse-names":false,"suffix":""},{"dropping-particle":"","family":"Kollmannsberger","given":"Christian","non-dropping-particle":"","parse-names":false,"suffix":""},{"dropping-particle":"","family":"Larkin","given":"James","non-dropping-particle":"","parse-names":false,"suffix":""},{"dropping-particle":"","family":"Ravaud","given":"Alain","non-dropping-particle":"","parse-names":false,"suffix":""},{"dropping-particle":"","family":"Simon","given":"Jason S.","non-dropping-particle":"","parse-names":false,"suffix":""},{"dropping-particle":"","family":"Xu","given":"Li An","non-dropping-particle":"","parse-names":false,"suffix":""},{"dropping-particle":"","family":"Waxman","given":"Ian M.","non-dropping-particle":"","parse-names":false,"suffix":""},{"dropping-particle":"","family":"Sharma","given":"Padmanee","non-dropping-particle":"","parse-names":false,"suffix":""}],"container-title":"New England Journal of Medicine","id":"ITEM-3","issue":"19","issued":{"date-parts":[["2015"]]},"page":"1803-1813","title":"Nivolumab versus everolimus in advanced renal-cell carcinoma","type":"article-journal","volume":"373"},"uris":["http://www.mendeley.com/documents/?uuid=ae74d8af-376f-43d3-bae0-48a2573bd96f"]}],"mendeley":{"formattedCitation":"(3,44,45)","plainTextFormattedCitation":"(3,44,45)","previouslyFormattedCitation":"(3,44,45)"},"properties":{"noteIndex":0},"schema":"https://github.com/citation-style-language/schema/raw/master/csl-citation.json"}</w:instrText>
      </w:r>
      <w:r w:rsidR="00CE4B61"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(3,44,45)</w:t>
      </w:r>
      <w:r w:rsidR="00CE4B61" w:rsidRPr="0002326A">
        <w:rPr>
          <w:rFonts w:ascii="Arial" w:hAnsi="Arial" w:cs="Arial"/>
          <w:color w:val="000000"/>
          <w:sz w:val="22"/>
          <w:szCs w:val="22"/>
        </w:rPr>
        <w:fldChar w:fldCharType="end"/>
      </w:r>
      <w:r w:rsidR="00CE4B61" w:rsidRPr="0002326A">
        <w:rPr>
          <w:rFonts w:ascii="Arial" w:hAnsi="Arial" w:cs="Arial"/>
          <w:color w:val="000000"/>
          <w:sz w:val="22"/>
          <w:szCs w:val="22"/>
        </w:rPr>
        <w:t xml:space="preserve">, </w:t>
      </w:r>
      <w:r w:rsidR="0038281C" w:rsidRPr="0002326A">
        <w:rPr>
          <w:rFonts w:ascii="Arial" w:hAnsi="Arial" w:cs="Arial"/>
          <w:color w:val="000000"/>
          <w:sz w:val="22"/>
          <w:szCs w:val="22"/>
        </w:rPr>
        <w:t>ccRCC tumors</w:t>
      </w:r>
      <w:r w:rsidRPr="0002326A">
        <w:rPr>
          <w:rFonts w:ascii="Arial" w:hAnsi="Arial" w:cs="Arial"/>
          <w:color w:val="000000"/>
          <w:sz w:val="22"/>
          <w:szCs w:val="22"/>
        </w:rPr>
        <w:t xml:space="preserve"> ha</w:t>
      </w:r>
      <w:r w:rsidR="0038281C" w:rsidRPr="0002326A">
        <w:rPr>
          <w:rFonts w:ascii="Arial" w:hAnsi="Arial" w:cs="Arial"/>
          <w:color w:val="000000"/>
          <w:sz w:val="22"/>
          <w:szCs w:val="22"/>
        </w:rPr>
        <w:t>ve</w:t>
      </w:r>
      <w:r w:rsidRPr="0002326A">
        <w:rPr>
          <w:rFonts w:ascii="Arial" w:hAnsi="Arial" w:cs="Arial"/>
          <w:color w:val="000000"/>
          <w:sz w:val="22"/>
          <w:szCs w:val="22"/>
        </w:rPr>
        <w:t xml:space="preserve"> </w:t>
      </w:r>
      <w:r w:rsidR="0038281C" w:rsidRPr="0002326A">
        <w:rPr>
          <w:rFonts w:ascii="Arial" w:hAnsi="Arial" w:cs="Arial"/>
          <w:color w:val="000000"/>
          <w:sz w:val="22"/>
          <w:szCs w:val="22"/>
        </w:rPr>
        <w:t xml:space="preserve">numerous </w:t>
      </w:r>
      <w:r w:rsidRPr="0002326A">
        <w:rPr>
          <w:rFonts w:ascii="Arial" w:hAnsi="Arial" w:cs="Arial"/>
          <w:color w:val="000000"/>
          <w:sz w:val="22"/>
          <w:szCs w:val="22"/>
        </w:rPr>
        <w:t>counter</w:t>
      </w:r>
      <w:r w:rsidR="0038281C" w:rsidRPr="0002326A">
        <w:rPr>
          <w:rFonts w:ascii="Arial" w:hAnsi="Arial" w:cs="Arial"/>
          <w:color w:val="000000"/>
          <w:sz w:val="22"/>
          <w:szCs w:val="22"/>
        </w:rPr>
        <w:t xml:space="preserve">intuitive immune findings </w:t>
      </w:r>
      <w:r w:rsidRPr="0002326A">
        <w:rPr>
          <w:rFonts w:ascii="Arial" w:hAnsi="Arial" w:cs="Arial"/>
          <w:color w:val="000000"/>
          <w:sz w:val="22"/>
          <w:szCs w:val="22"/>
        </w:rPr>
        <w:t xml:space="preserve">compared with other </w:t>
      </w:r>
      <w:r w:rsidR="0038281C" w:rsidRPr="0002326A">
        <w:rPr>
          <w:rFonts w:ascii="Arial" w:hAnsi="Arial" w:cs="Arial"/>
          <w:color w:val="000000"/>
          <w:sz w:val="22"/>
          <w:szCs w:val="22"/>
        </w:rPr>
        <w:t>immunotherapy-responsive</w:t>
      </w:r>
      <w:r w:rsidRPr="0002326A">
        <w:rPr>
          <w:rFonts w:ascii="Arial" w:hAnsi="Arial" w:cs="Arial"/>
          <w:color w:val="000000"/>
          <w:sz w:val="22"/>
          <w:szCs w:val="22"/>
        </w:rPr>
        <w:t xml:space="preserve"> tumors </w:t>
      </w:r>
      <w:r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{"citationItems":[{"id":"ITEM-1","itemData":{"DOI":"10.1158/2159-8290.CD-19-0499","ISSN":"21598290","PMID":"31527133","abstract":"Renal cell carcinoma stands out as one of the most immune-infiltrated tumors in pan-cancer comparisons. Features of the tumor microenvironment heavily affect disease biology and may affect responses to systemic therapy. With evolving frontline options in the metastatic setting, several immune checkpoint blockade regimens have emerged as efficacious, and there is growing interest in characterizing features of tumor biology that can reproducibly prognosticate patients and/or predict the likelihood of their deriving therapeutic benefit. Herein, we review pertinent characteristics of the tumor microenvironment with dedicated attention to candidate prognostic and predictive signatures as well as possible targets for future drug development. Significance: Tumor microenvironment features broadly characterizing angiogenesis and inflammatory signatures have shown striking differences in response to immune checkpoint blockade and antiangiogenic agents. Integration of stromal and immune biomarkers may hence produce predictive and prognostic signatures to guide management with existing regimens as well as future drug development.","author":[{"dropping-particle":"","family":"Vuong","given":"Lynda","non-dropping-particle":"","parse-names":false,"suffix":""},{"dropping-particle":"","family":"Kotecha","given":"Ritesh R.","non-dropping-particle":"","parse-names":false,"suffix":""},{"dropping-particle":"","family":"Voss","given":"Martin H.","non-dropping-particle":"","parse-names":false,"suffix":""},{"dropping-particle":"","family":"Hakimi","given":"A. Ari","non-dropping-particle":"","parse-names":false,"suffix":""}],"container-title":"Cancer Discovery","id":"ITEM-1","issue":"10","issued":{"date-parts":[["2019"]]},"page":"1349-1357","title":"Tumor microenvironment dynamics in clear-cell renal cell carcinoma","type":"article-journal","volume":"9"},"uris":["http://www.mendeley.com/documents/?uuid=ad1602b7-f943-4e92-8e1d-da6fedce9dce"]}],"mendeley":{"formattedCitation":"(46)","plainTextFormattedCitation":"(46)","previouslyFormattedCitation":"(46)"},"properties":{"noteIndex":0},"schema":"https://github.com/citation-style-language/schema/raw/master/csl-citation.json"}</w:instrText>
      </w:r>
      <w:r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(46)</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14BFC" w:rsidRPr="0002326A">
        <w:rPr>
          <w:rFonts w:ascii="Arial" w:hAnsi="Arial" w:cs="Arial"/>
          <w:color w:val="000000"/>
          <w:sz w:val="22"/>
          <w:szCs w:val="22"/>
        </w:rPr>
        <w:t>For example</w:t>
      </w:r>
      <w:r w:rsidRPr="0002326A">
        <w:rPr>
          <w:rFonts w:ascii="Arial" w:hAnsi="Arial" w:cs="Arial"/>
          <w:color w:val="000000"/>
          <w:sz w:val="22"/>
          <w:szCs w:val="22"/>
        </w:rPr>
        <w:t>, u</w:t>
      </w:r>
      <w:r w:rsidR="00302E3B" w:rsidRPr="0002326A">
        <w:rPr>
          <w:rFonts w:ascii="Arial" w:hAnsi="Arial" w:cs="Arial"/>
          <w:color w:val="000000"/>
          <w:sz w:val="22"/>
          <w:szCs w:val="22"/>
        </w:rPr>
        <w:t>nlike other tumors that respond to immune checkpoint blockade, ccRCC has a relatively low tumor mutational load</w:t>
      </w:r>
      <w:r w:rsidR="0038281C" w:rsidRPr="0002326A">
        <w:rPr>
          <w:rFonts w:ascii="Arial" w:hAnsi="Arial" w:cs="Arial"/>
          <w:color w:val="000000"/>
          <w:sz w:val="22"/>
          <w:szCs w:val="22"/>
        </w:rPr>
        <w:t>, which is thought to drive T-cell infiltration</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M.","non-dropping-particle":"Van","parse-names":false,"suffix":""}],"container-title":"Science","id":"ITEM-1","issue":"6377","issued":{"date-parts":[["2018"]]},"page":"801-806","title":"Genomic correlates of response to immune checkpoint therapies in clear cell renal cell carcinoma","type":"article-journal","volume":"359"},"uris":["http://www.mendeley.com/documents/?uuid=fd49aeb7-c337-4536-9ab3-f616516d0485"]},{"id":"ITEM-2","itemData":{"DOI":"10.1038/nature12222","ISSN":"00280836","PMID":"23792563","abstract":"Genetic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J.","non-dropping-particle":"","parse-names":false,"suffix":""}],"container-title":"Nature","id":"ITEM-2","issue":"7456","issued":{"date-parts":[["2013"]]},"page":"43-49","title":"Comprehensivemolecular characterization of clear cell renal cell carcinoma","type":"article-journal","volume":"499"},"uris":["http://www.mendeley.com/documents/?uuid=d6020cd7-f897-4ff4-b600-c843bbbf7719"]}],"mendeley":{"formattedCitation":"(19,47)","plainTextFormattedCitation":"(19,47)","previouslyFormattedCitation":"(19,47)"},"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(19,47)</w:t>
      </w:r>
      <w:r w:rsidR="00302E3B" w:rsidRPr="0002326A">
        <w:rPr>
          <w:rFonts w:ascii="Arial" w:hAnsi="Arial" w:cs="Arial"/>
          <w:color w:val="000000"/>
          <w:sz w:val="22"/>
          <w:szCs w:val="22"/>
        </w:rPr>
        <w:fldChar w:fldCharType="end"/>
      </w:r>
      <w:r w:rsidR="0038281C" w:rsidRPr="0002326A">
        <w:rPr>
          <w:rFonts w:ascii="Arial" w:hAnsi="Arial" w:cs="Arial"/>
          <w:color w:val="000000"/>
          <w:sz w:val="22"/>
          <w:szCs w:val="22"/>
        </w:rPr>
        <w:t>,</w:t>
      </w:r>
      <w:r w:rsidR="00302E3B" w:rsidRPr="0002326A">
        <w:rPr>
          <w:rFonts w:ascii="Arial" w:hAnsi="Arial" w:cs="Arial"/>
          <w:color w:val="000000"/>
          <w:sz w:val="22"/>
          <w:szCs w:val="22"/>
        </w:rPr>
        <w:t xml:space="preserve"> and is not associated with response to anti-PD-1 therapy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(15)","plainTextFormattedCitation":"(15)","previouslyFormattedCitation":"(15)"},"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(15)</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Pr="0002326A">
        <w:rPr>
          <w:rFonts w:ascii="Arial" w:hAnsi="Arial" w:cs="Arial"/>
          <w:color w:val="000000"/>
          <w:sz w:val="22"/>
          <w:szCs w:val="22"/>
        </w:rPr>
        <w:t xml:space="preserve"> Despite this low mutational burden,</w:t>
      </w:r>
      <w:r w:rsidR="00E14BFC" w:rsidRPr="0002326A">
        <w:rPr>
          <w:rFonts w:ascii="Arial" w:hAnsi="Arial" w:cs="Arial"/>
          <w:color w:val="000000"/>
          <w:sz w:val="22"/>
          <w:szCs w:val="22"/>
        </w:rPr>
        <w:t xml:space="preserve"> </w:t>
      </w:r>
      <w:r w:rsidRPr="0002326A">
        <w:rPr>
          <w:rFonts w:ascii="Arial" w:hAnsi="Arial" w:cs="Arial"/>
          <w:color w:val="000000"/>
          <w:sz w:val="22"/>
          <w:szCs w:val="22"/>
        </w:rPr>
        <w:t xml:space="preserve">ccRCC has the highest T cell infiltration score among tumor types within the TCGA </w:t>
      </w:r>
      <w:r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mendeley":{"formattedCitation":"(48)","plainTextFormattedCitation":"(48)","previouslyFormattedCitation":"(48)"},"properties":{"noteIndex":0},"schema":"https://github.com/citation-style-language/schema/raw/master/csl-citation.json"}</w:instrText>
      </w:r>
      <w:r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(48)</w:t>
      </w:r>
      <w:r w:rsidRPr="0002326A">
        <w:rPr>
          <w:rFonts w:ascii="Arial" w:hAnsi="Arial" w:cs="Arial"/>
          <w:color w:val="000000"/>
          <w:sz w:val="22"/>
          <w:szCs w:val="22"/>
        </w:rPr>
        <w:fldChar w:fldCharType="end"/>
      </w:r>
      <w:r w:rsidRPr="0002326A">
        <w:rPr>
          <w:rFonts w:ascii="Arial" w:hAnsi="Arial" w:cs="Arial"/>
          <w:color w:val="000000"/>
          <w:sz w:val="22"/>
          <w:szCs w:val="22"/>
        </w:rPr>
        <w:t>.</w:t>
      </w:r>
      <w:r w:rsidR="00302E3B" w:rsidRPr="0002326A">
        <w:rPr>
          <w:rFonts w:ascii="Arial" w:hAnsi="Arial" w:cs="Arial"/>
          <w:color w:val="000000"/>
          <w:sz w:val="22"/>
          <w:szCs w:val="22"/>
        </w:rPr>
        <w:t xml:space="preserve"> Similarly, therapeutic response</w:t>
      </w:r>
      <w:r w:rsidR="004C58A7">
        <w:rPr>
          <w:rFonts w:ascii="Arial" w:hAnsi="Arial" w:cs="Arial"/>
          <w:color w:val="000000"/>
          <w:sz w:val="22"/>
          <w:szCs w:val="22"/>
        </w:rPr>
        <w:t>s</w:t>
      </w:r>
      <w:r w:rsidR="00302E3B" w:rsidRPr="0002326A">
        <w:rPr>
          <w:rFonts w:ascii="Arial" w:hAnsi="Arial" w:cs="Arial"/>
          <w:color w:val="000000"/>
          <w:sz w:val="22"/>
          <w:szCs w:val="22"/>
        </w:rPr>
        <w:t xml:space="preserve"> to anti-PD-1 therapy have been correlated with HLA heterozygosity</w:t>
      </w:r>
      <w:r w:rsidRPr="0002326A">
        <w:rPr>
          <w:rFonts w:ascii="Arial" w:hAnsi="Arial" w:cs="Arial"/>
          <w:color w:val="000000"/>
          <w:sz w:val="22"/>
          <w:szCs w:val="22"/>
        </w:rPr>
        <w:t xml:space="preserve"> in lung cancers and melanoma</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A.","non-dropping-particle":"","parse-names":false,"suffix":""}],"container-title":"Science","id":"ITEM-1","issue":"6375","issued":{"date-parts":[["2018"]]},"page":"582-587","title":"Patient HLA class I genotype influences cancer response to checkpoint blockade immunotherapy","type":"article-journal","volume":"359"},"uris":["http://www.mendeley.com/documents/?uuid=7713df84-bd85-4628-9927-8c8a7a10b51d"]}],"mendeley":{"formattedCitation":"(49)","plainTextFormattedCitation":"(49)","previouslyFormattedCitation":"(49)"},"properties":{"noteIndex":0},"schema":"https://github.com/citation-style-language/schema/raw/master/csl-citation.json"}</w:instrText>
      </w:r>
      <w:r w:rsidR="00302E3B"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(49)</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 xml:space="preserve">, which does not seem to be the case for ccRCC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(15)","plainTextFormattedCitation":"(15)","previouslyFormattedCitation":"(15)"},"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(15)</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0038281C" w:rsidRPr="0002326A">
        <w:rPr>
          <w:rFonts w:ascii="Arial" w:hAnsi="Arial" w:cs="Arial"/>
          <w:color w:val="000000"/>
          <w:sz w:val="22"/>
          <w:szCs w:val="22"/>
        </w:rPr>
        <w:t xml:space="preserve"> </w:t>
      </w:r>
      <w:r w:rsidR="00955319" w:rsidRPr="0002326A">
        <w:rPr>
          <w:rFonts w:ascii="Arial" w:hAnsi="Arial" w:cs="Arial"/>
          <w:color w:val="000000"/>
          <w:sz w:val="22"/>
          <w:szCs w:val="22"/>
        </w:rPr>
        <w:t xml:space="preserve">Taken together, these disparate findings suggest a more complex interrelationship of the immune compartment for ccRCC tumors. </w:t>
      </w:r>
      <w:r w:rsidR="0005365F" w:rsidRPr="0002326A">
        <w:rPr>
          <w:rFonts w:ascii="Arial" w:hAnsi="Arial" w:cs="Arial"/>
          <w:color w:val="000000"/>
          <w:sz w:val="22"/>
          <w:szCs w:val="22"/>
        </w:rPr>
        <w:t xml:space="preserve">While a few recent studies have explored human ccRCC at a single-cell level </w:t>
      </w:r>
      <w:r w:rsidR="002F352E"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6402","issued":{"date-parts":[["2018"]]},"page":"594-599","title":"Single-cell transcriptomes from human kidneys reveal the cellular identity of renal tumors","type":"article-journal","volume":"361"},"uris":["http://www.mendeley.com/documents/?uuid=e3614b27-27e2-4126-ac60-e0d38fd07652"]},{"id":"ITEM-2","itemData":{"DOI":"10.1186/s13059-016-0945-9","ISSN":"1474760X","abstract":"BACKGROUND: Intratumoral heterogeneity hampers the success of marker-based anticancer treatment because the targeted therapy may eliminate a specific subpopulation of tumor cells while leaving others unharmed. Accordingly, a rational strategy minimizing survival of the drug-resistant subpopulation is essential to achieve long-term therapeutic efficacy. RESULTS: Using single-cell RNA sequencing (RNA-seq), we examine the intratumoral heterogeneity of a pair of primary renal cell carcinoma and its lung metastasis. Activation of drug target pathways demonstrates considerable variability between the primary and metastatic sites, as well as among individual cancer cells within each site. Based on the prediction of multiple drug target pathway activation, we derive a combinatorial regimen co-targeting two mutually exclusive pathways for the metastatic cancer cells. This combinatorial strategy shows significant increase in the treatment efficacy over monotherapy in the experimental validation using patient-derived xenograft platforms in vitro and in vivo. CONCLUSIONS: Our findings demonstrate the investigational application of single-cell RNA-seq in the design of an anticancer regimen. The approach may overcome intratumoral heterogeneity which hampers the success of precision medicine.","author":[{"dropping-particle":"","family":"Kim","given":"Kyu Tae","non-dropping-particle":"","parse-names":false,"suffix":""},{"dropping-particle":"","family":"Lee","given":"Hye Won","non-dropping-particle":"","parse-names":false,"suffix":""},{"dropping-particle":"","family":"Lee","given":"Hae Ock","non-dropping-particle":"","parse-names":false,"suffix":""},{"dropping-particle":"","family":"Song","given":"Hye Jin","non-dropping-particle":"","parse-names":false,"suffix":""},{"dropping-particle":"","family":"Jeong","given":"Da Eun","non-dropping-particle":"","parse-names":false,"suffix":""},{"dropping-particle":"","family":"Shin","given":"Sang","non-dropping-particle":"","parse-names":false,"suffix":""},{"dropping-particle":"","family":"Kim","given":"Hyunho","non-dropping-particle":"","parse-names":false,"suffix":""},{"dropping-particle":"","family":"Shin","given":"Yoojin","non-dropping-particle":"","parse-names":false,"suffix":""},{"dropping-particle":"","family":"Nam","given":"Do Hyun","non-dropping-particle":"","parse-names":false,"suffix":""},{"dropping-particle":"","family":"Jeong","given":"Byong Chang","non-dropping-particle":"","parse-names":false,"suffix":""},{"dropping-particle":"","family":"Kirsch","given":"David G.","non-dropping-particle":"","parse-names":false,"suffix":""},{"dropping-particle":"","family":"Joo","given":"Kyeung Min","non-dropping-particle":"","parse-names":false,"suffix":""},{"dropping-particle":"","family":"Park","given":"Woong Yang","non-dropping-particle":"","parse-names":false,"suffix":""}],"container-title":"Genome biology","id":"ITEM-2","issue":"1","issued":{"date-parts":[["2016"]]},"page":"1-17","title":"Application of single-cell RNA sequencing in optimizing a combinatorial therapeutic strategy in metastatic renal cell carcinoma","type":"article-journal","volume":"17"},"uris":["http://www.mendeley.com/documents/?uuid=49ee6900-c8cc-4d89-bd92-aeb8dbe0cdea"]},{"id":"ITEM-3","itemData":{"ISSN":"1664-8021","author":[{"dropping-particle":"","family":"Zhou","given":"Wenyang","non-dropping-particle":"","parse-names":false,"suffix":""},{"dropping-particle":"","family":"Yang","given":"Fan","non-dropping-particle":"","parse-names":false,"suffix":""},{"dropping-particle":"","family":"Xu","given":"Zhaochun","non-dropping-particle":"","parse-names":false,"suffix":""},{"dropping-particle":"","family":"Luo","given":"Meng","non-dropping-particle":"","parse-names":false,"suffix":""},{"dropping-particle":"","family":"Wang","given":"Pingping","non-dropping-particle":"","parse-names":false,"suffix":""},{"dropping-particle":"","family":"Guo","given":"Yu","non-dropping-particle":"","parse-names":false,"suffix":""},{"dropping-particle":"","family":"Nie","given":"Huan","non-dropping-particle":"","parse-names":false,"suffix":""},{"dropping-particle":"","family":"Yao","given":"Lifen","non-dropping-particle":"","parse-names":false,"suffix":""},{"dropping-particle":"","family":"Jiang","given":"Qinghua","non-dropping-particle":"","parse-names":false,"suffix":""}],"container-title":"Frontiers in Genetics","id":"ITEM-3","issued":{"date-parts":[["2020"]]},"page":"1379","publisher":"Frontiers","title":"Comprehensive Analysis of Copy Number Variations in Kidney Cancer by Single-Cell Exome Sequencing","type":"article-journal","volume":"10"},"uris":["http://www.mendeley.com/documents/?uuid=3678173f-036f-48b2-b4d5-d478b1936b53"]},{"id":"ITEM-4","itemData":{"DOI":"10.1038/s41586-020-2056-8","ISSN":"14764687","PMID":"32103181","abstract":"Despite the resounding clinical success in cancer treatment of antibodies that block the interaction of PD1 with its ligand PDL11, the mechanisms involved remain unknown. A major limitation to understanding the origin and fate of T cells in tumour immunity is the lack of quantitative information on the distribution of individual clonotypes of T cells in patients with cancer. Here, by performing deep single-cell sequencing of RNA and T cell receptors in patients with different types of cancer, we survey the profiles of various populations of T cells and T cell receptors in tumours, normal adjacent tissue, and peripheral blood. We find clear evidence of clonotypic expansion of effector-like T cells not only within the tumour but also in normal adjacent tissue. Patients with gene signatures of such clonotypic expansion respond best to anti-PDL1 therapy. Notably, expanded clonotypes found in the tumour and normal adjacent tissue can also typically be detected in peripheral blood, which suggests a convenient approach to patient identification. Analyses of our data together with several external datasets suggest that intratumoural T cells, especially in responsive patients, are replenished with fresh, non-exhausted replacement cells from sites outside the tumour, suggesting continued activity of the cancer immunity cycle in these patients, the acceleration of which may be associated with clinical response.","author":[{"dropping-particle":"","family":"Wu","given":"Thomas D.","non-dropping-particle":"","parse-names":false,"suffix":""},{"dropping-particle":"","family":"Madireddi","given":"Shravan","non-dropping-particle":"","parse-names":false,"suffix":""},{"dropping-particle":"","family":"Almeida","given":"Patricia E.","non-dropping-particle":"de","parse-names":false,"suffix":""},{"dropping-particle":"","family":"Banchereau","given":"Romain","non-dropping-particle":"","parse-names":false,"suffix":""},{"dropping-particle":"","family":"Chen","given":"Ying Jiun J.","non-dropping-particle":"","parse-names":false,"suffix":""},{"dropping-particle":"","family":"Chitre","given":"Avantika S.","non-dropping-particle":"","parse-names":false,"suffix":""},{"dropping-particle":"","family":"Chiang","given":"Eugene Y.","non-dropping-particle":"","parse-names":false,"suffix":""},{"dropping-particle":"","family":"Iftikhar","given":"Hina","non-dropping-particle":"","parse-names":false,"suffix":""},{"dropping-particle":"","family":"O’Gorman","given":"William E.","non-dropping-particle":"","parse-names":false,"suffix":""},{"dropping-particle":"","family":"Au-Yeung","given":"Amelia","non-dropping-particle":"","parse-names":false,"suffix":""},{"dropping-particle":"","family":"Takahashi","given":"Chikara","non-dropping-particle":"","parse-names":false,"suffix":""},{"dropping-particle":"","family":"Goldstein","given":"Leonard D.","non-dropping-particle":"","parse-names":false,"suffix":""},{"dropping-particle":"","family":"Poon","given":"Chungkee","non-dropping-particle":"","parse-names":false,"suffix":""},{"dropping-particle":"","family":"Keerthivasan","given":"Shilpa","non-dropping-particle":"","parse-names":false,"suffix":""},{"dropping-particle":"","family":"Almeida Nagata","given":"Denise E.","non-dropping-particle":"de","parse-names":false,"suffix":""},{"dropping-particle":"","family":"Du","given":"Xiangnan","non-dropping-particle":"","parse-names":false,"suffix":""},{"dropping-particle":"","family":"Lee","given":"Hyang Mi","non-dropping-particle":"","parse-names":false,"suffix":""},{"dropping-particle":"","family":"Banta","given":"Karl L.","non-dropping-particle":"","parse-names":false,"suffix":""},{"dropping-particle":"","family":"Mariathasan","given":"Sanjeev","non-dropping-particle":"","parse-names":false,"suffix":""},{"dropping-particle":"","family":"Thakur","given":"Meghna","non-dropping-particle":"Das","parse-names":false,"suffix":""},{"dropping-particle":"","family":"Huseni","given":"Mahrukh A.","non-dropping-particle":"","parse-names":false,"suffix":""},{"dropping-particle":"","family":"Ballinger","given":"Marcus","non-dropping-particle":"","parse-names":false,"suffix":""},{"dropping-particle":"","family":"Estay","given":"Ivette","non-dropping-particle":"","parse-names":false,"suffix":""},{"dropping-particle":"","family":"Caplazi","given":"Patrick","non-dropping-particle":"","parse-names":false,"suffix":""},{"dropping-particle":"","family":"Modrusan","given":"Zora","non-dropping-particle":"","parse-names":false,"suffix":""},{"dropping-particle":"","family":"Delamarre","given":"Lélia","non-dropping-particle":"","parse-names":false,"suffix":""},{"dropping-particle":"","family":"Mellman","given":"Ira","non-dropping-particle":"","parse-names":false,"suffix":""},{"dropping-particle":"","family":"Bourgon","given":"Richard","non-dropping-particle":"","parse-names":false,"suffix":""},{"dropping-particle":"","family":"Grogan","given":"Jane L.","non-dropping-particle":"","parse-names":false,"suffix":""}],"container-title":"Nature","id":"ITEM-4","issue":"7798","issued":{"date-parts":[["2020"]]},"page":"274-278","title":"Peripheral T cell expansion predicts tumour infiltration and clinical response","type":"article-journal","volume":"579"},"uris":["http://www.mendeley.com/documents/?uuid=b7f4526b-482e-4a42-87a6-eadf14656b78"]}],"mendeley":{"formattedCitation":"(31,50–52)","plainTextFormattedCitation":"(31,50–52)","previouslyFormattedCitation":"(31,50–52)"},"properties":{"noteIndex":0},"schema":"https://github.com/citation-style-language/schema/raw/master/csl-citation.json"}</w:instrText>
      </w:r>
      <w:r w:rsidR="002F352E"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(31,50–52)</w:t>
      </w:r>
      <w:r w:rsidR="002F352E" w:rsidRPr="0002326A">
        <w:rPr>
          <w:rFonts w:ascii="Arial" w:hAnsi="Arial" w:cs="Arial"/>
          <w:color w:val="000000"/>
          <w:sz w:val="22"/>
          <w:szCs w:val="22"/>
        </w:rPr>
        <w:fldChar w:fldCharType="end"/>
      </w:r>
      <w:r w:rsidR="0005365F" w:rsidRPr="0002326A">
        <w:rPr>
          <w:rFonts w:ascii="Arial" w:hAnsi="Arial" w:cs="Arial"/>
          <w:color w:val="000000"/>
          <w:sz w:val="22"/>
          <w:szCs w:val="22"/>
        </w:rPr>
        <w:t>, the technique has not yet been applied to tumor-infiltrating immune cells to characterize the global transcriptional immune</w:t>
      </w:r>
      <w:r w:rsidR="0038281C" w:rsidRPr="0002326A">
        <w:rPr>
          <w:rFonts w:ascii="Arial" w:hAnsi="Arial" w:cs="Arial"/>
          <w:color w:val="000000"/>
          <w:sz w:val="22"/>
          <w:szCs w:val="22"/>
        </w:rPr>
        <w:t xml:space="preserve"> and T cell receptor</w:t>
      </w:r>
      <w:r w:rsidR="0005365F" w:rsidRPr="0002326A">
        <w:rPr>
          <w:rFonts w:ascii="Arial" w:hAnsi="Arial" w:cs="Arial"/>
          <w:color w:val="000000"/>
          <w:sz w:val="22"/>
          <w:szCs w:val="22"/>
        </w:rPr>
        <w:t xml:space="preserve"> landscape along with underlying mechanisms contributing to this unique tumor environment.</w:t>
      </w:r>
    </w:p>
    <w:p w14:paraId="47F3BC0A" w14:textId="77777777" w:rsidR="008A78E5" w:rsidRPr="0002326A" w:rsidRDefault="008A78E5" w:rsidP="008A78E5">
      <w:pPr>
        <w:spacing w:line="480" w:lineRule="auto"/>
        <w:jc w:val="both"/>
        <w:rPr>
          <w:rFonts w:ascii="Arial" w:hAnsi="Arial" w:cs="Arial"/>
          <w:color w:val="000000"/>
          <w:sz w:val="22"/>
          <w:szCs w:val="22"/>
        </w:rPr>
      </w:pPr>
    </w:p>
    <w:p w14:paraId="1F157180" w14:textId="04C7F1D2" w:rsidR="00F218E4" w:rsidRDefault="00955319" w:rsidP="00885FC7">
      <w:pPr>
        <w:pStyle w:val="Paragraph"/>
        <w:snapToGrid w:val="0"/>
        <w:spacing w:line="480" w:lineRule="auto"/>
        <w:ind w:firstLine="0"/>
        <w:rPr>
          <w:rFonts w:ascii="Arial" w:hAnsi="Arial" w:cs="Arial"/>
          <w:color w:val="000000"/>
          <w:sz w:val="22"/>
          <w:szCs w:val="22"/>
        </w:rPr>
      </w:pPr>
      <w:r w:rsidRPr="0002326A">
        <w:rPr>
          <w:rFonts w:ascii="Arial" w:hAnsi="Arial" w:cs="Arial"/>
          <w:sz w:val="22"/>
          <w:szCs w:val="22"/>
        </w:rPr>
        <w:t xml:space="preserve">T cells are recognized as key effectors of the adaptive anti-tumor immune response. </w:t>
      </w:r>
      <w:r w:rsidRPr="0002326A">
        <w:rPr>
          <w:rFonts w:ascii="Arial" w:hAnsi="Arial" w:cs="Arial"/>
          <w:color w:val="000000"/>
          <w:sz w:val="22"/>
          <w:szCs w:val="22"/>
        </w:rPr>
        <w:t xml:space="preserve">Several studies have demonstrated association of these cells with an unfavorable response to therapy and poor patient survival in ccRCC </w:t>
      </w:r>
      <w:r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Research","id":"ITEM-1","issue":"13","issued":{"date-parts":[["2015"]]},"page":"3031-3040","title":"Orchestration and prognostic significance of immune checkpoints in the microenvironment of primary and metastatic renal cell cancer","type":"article-journal","volume":"21"},"uris":["http://www.mendeley.com/documents/?uuid=ec3302ef-5ce4-4969-9eec-dd95284e1655"]},{"id":"ITEM-2","itemData":{"ISSN":"00085472","abstract":"Tumor-infiltrating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Research","id":"ITEM-2","issue":"13","issued":{"date-parts":[["2001"]]},"page":"5132-5136","title":"Proliferative activity of intratumoral CD8+ T-lymphocytes as a prognostic factor in human renal cell carcinoma: Clinicopathologic demonstration of antitumor immunity","type":"article-journal","volume":"61"},"uris":["http://www.mendeley.com/documents/?uuid=bfd43a63-9c57-4731-8476-c9271b9b9144"]}],"mendeley":{"formattedCitation":"(6,13)","plainTextFormattedCitation":"(6,13)","previouslyFormattedCitation":"(6,13)"},"properties":{"noteIndex":0},"schema":"https://github.com/citation-style-language/schema/raw/master/csl-citation.json"}</w:instrText>
      </w:r>
      <w:r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(6,13)</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In a comprehensive study, </w:t>
      </w:r>
      <w:r w:rsidRPr="0002326A">
        <w:rPr>
          <w:rFonts w:ascii="Arial" w:hAnsi="Arial" w:cs="Arial"/>
          <w:sz w:val="22"/>
          <w:szCs w:val="22"/>
        </w:rPr>
        <w:t xml:space="preserve">T cells represented the dominant lymphocytic population in most ccRCC cases, B cells were rarely detected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-1","issue":"1","issued":{"date-parts":[["2015"]]},"page":"e985082","title":"Immune signature of tumor infiltrating immune cells in renal cancer","type":"article-journal","volume":"4"},"uris":["http://www.mendeley.com/documents/?uuid=78ab30de-3499-4c01-85e8-d0cc478a4777"]}],"mendeley":{"formattedCitation":"(23)","plainTextFormattedCitation":"(23)","previouslyFormattedCitation":"(23)"},"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(23)</w:t>
      </w:r>
      <w:r w:rsidRPr="0002326A">
        <w:rPr>
          <w:rFonts w:ascii="Arial" w:hAnsi="Arial" w:cs="Arial"/>
          <w:sz w:val="22"/>
          <w:szCs w:val="22"/>
        </w:rPr>
        <w:fldChar w:fldCharType="end"/>
      </w:r>
      <w:r w:rsidRPr="0002326A">
        <w:rPr>
          <w:rFonts w:ascii="Arial" w:hAnsi="Arial" w:cs="Arial"/>
          <w:sz w:val="22"/>
          <w:szCs w:val="22"/>
        </w:rPr>
        <w:t>, consistent with our findings</w:t>
      </w:r>
      <w:r w:rsidR="000A09C5">
        <w:rPr>
          <w:rFonts w:ascii="Arial" w:hAnsi="Arial" w:cs="Arial"/>
          <w:sz w:val="22"/>
          <w:szCs w:val="22"/>
        </w:rPr>
        <w:t xml:space="preserve"> of increased CD4</w:t>
      </w:r>
      <w:r w:rsidR="000A09C5" w:rsidRPr="000A09C5">
        <w:rPr>
          <w:rFonts w:ascii="Arial" w:hAnsi="Arial" w:cs="Arial"/>
          <w:sz w:val="22"/>
          <w:szCs w:val="22"/>
          <w:vertAlign w:val="superscript"/>
        </w:rPr>
        <w:t>+</w:t>
      </w:r>
      <w:r w:rsidR="000A09C5">
        <w:rPr>
          <w:rFonts w:ascii="Arial" w:hAnsi="Arial" w:cs="Arial"/>
          <w:sz w:val="22"/>
          <w:szCs w:val="22"/>
        </w:rPr>
        <w:t xml:space="preserve"> and CD8</w:t>
      </w:r>
      <w:r w:rsidR="000A09C5" w:rsidRPr="000A09C5">
        <w:rPr>
          <w:rFonts w:ascii="Arial" w:hAnsi="Arial" w:cs="Arial"/>
          <w:sz w:val="22"/>
          <w:szCs w:val="22"/>
          <w:vertAlign w:val="superscript"/>
        </w:rPr>
        <w:t>+</w:t>
      </w:r>
      <w:r w:rsidR="000A09C5">
        <w:rPr>
          <w:rFonts w:ascii="Arial" w:hAnsi="Arial" w:cs="Arial"/>
          <w:sz w:val="22"/>
          <w:szCs w:val="22"/>
        </w:rPr>
        <w:t xml:space="preserve"> T cells</w:t>
      </w:r>
      <w:r w:rsidRPr="0002326A">
        <w:rPr>
          <w:rFonts w:ascii="Arial" w:hAnsi="Arial" w:cs="Arial"/>
          <w:sz w:val="22"/>
          <w:szCs w:val="22"/>
        </w:rPr>
        <w:t xml:space="preserve"> (Figure 1)</w:t>
      </w:r>
      <w:r w:rsidRPr="0002326A">
        <w:rPr>
          <w:rFonts w:ascii="Arial" w:hAnsi="Arial" w:cs="Arial"/>
          <w:color w:val="000000"/>
          <w:sz w:val="22"/>
          <w:szCs w:val="22"/>
        </w:rPr>
        <w:t>. We find that the blood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non-heterogeneous and poorly reflect tumor-infiltrating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 transcriptional profiles</w:t>
      </w:r>
      <w:r w:rsidR="004576D0" w:rsidRPr="0002326A">
        <w:rPr>
          <w:rFonts w:ascii="Arial" w:hAnsi="Arial" w:cs="Arial"/>
          <w:color w:val="000000"/>
          <w:sz w:val="22"/>
          <w:szCs w:val="22"/>
        </w:rPr>
        <w:t xml:space="preserve"> (Figure </w:t>
      </w:r>
      <w:r w:rsidR="009766CA">
        <w:rPr>
          <w:rFonts w:ascii="Arial" w:hAnsi="Arial" w:cs="Arial"/>
          <w:color w:val="000000"/>
          <w:sz w:val="22"/>
          <w:szCs w:val="22"/>
        </w:rPr>
        <w:t>3</w:t>
      </w:r>
      <w:r w:rsidR="004576D0" w:rsidRPr="0002326A">
        <w:rPr>
          <w:rFonts w:ascii="Arial" w:hAnsi="Arial" w:cs="Arial"/>
          <w:color w:val="000000"/>
          <w:sz w:val="22"/>
          <w:szCs w:val="22"/>
        </w:rPr>
        <w:t>A,D)</w:t>
      </w:r>
      <w:r w:rsidRPr="0002326A">
        <w:rPr>
          <w:rFonts w:ascii="Arial" w:hAnsi="Arial" w:cs="Arial"/>
          <w:color w:val="000000"/>
          <w:sz w:val="22"/>
          <w:szCs w:val="22"/>
        </w:rPr>
        <w:t xml:space="preserve">. </w:t>
      </w:r>
      <w:r w:rsidR="00E4107A" w:rsidRPr="0002326A">
        <w:rPr>
          <w:rFonts w:ascii="Arial" w:hAnsi="Arial" w:cs="Arial"/>
          <w:color w:val="000000"/>
          <w:sz w:val="22"/>
          <w:szCs w:val="22"/>
        </w:rPr>
        <w:t>Organizing the structure of the CD8</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 cell manifold, we found four distinct branches that </w:t>
      </w:r>
      <w:r w:rsidR="00885FC7" w:rsidRPr="0002326A">
        <w:rPr>
          <w:rFonts w:ascii="Arial" w:hAnsi="Arial" w:cs="Arial"/>
          <w:color w:val="000000"/>
          <w:sz w:val="22"/>
          <w:szCs w:val="22"/>
        </w:rPr>
        <w:t xml:space="preserve">may </w:t>
      </w:r>
      <w:r w:rsidR="00E4107A" w:rsidRPr="0002326A">
        <w:rPr>
          <w:rFonts w:ascii="Arial" w:hAnsi="Arial" w:cs="Arial"/>
          <w:color w:val="000000"/>
          <w:sz w:val="22"/>
          <w:szCs w:val="22"/>
        </w:rPr>
        <w:t>represented</w:t>
      </w:r>
      <w:r w:rsidR="00885FC7" w:rsidRPr="0002326A">
        <w:rPr>
          <w:rFonts w:ascii="Arial" w:hAnsi="Arial" w:cs="Arial"/>
          <w:color w:val="000000"/>
          <w:sz w:val="22"/>
          <w:szCs w:val="22"/>
        </w:rPr>
        <w:t xml:space="preserve"> transcriptional states upon</w:t>
      </w:r>
      <w:r w:rsidR="00E4107A" w:rsidRPr="0002326A">
        <w:rPr>
          <w:rFonts w:ascii="Arial" w:hAnsi="Arial" w:cs="Arial"/>
          <w:color w:val="000000"/>
          <w:sz w:val="22"/>
          <w:szCs w:val="22"/>
        </w:rPr>
        <w:t xml:space="preserve"> tumor-infiltration, two associated with a PD-1</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TIM-3</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w:t>
      </w:r>
      <w:r w:rsidR="008A78E5" w:rsidRPr="0002326A">
        <w:rPr>
          <w:rFonts w:ascii="Arial" w:hAnsi="Arial" w:cs="Arial"/>
          <w:color w:val="000000"/>
          <w:sz w:val="22"/>
          <w:szCs w:val="22"/>
        </w:rPr>
        <w:t>exhausted</w:t>
      </w:r>
      <w:r w:rsidR="00E4107A" w:rsidRPr="0002326A">
        <w:rPr>
          <w:rFonts w:ascii="Arial" w:hAnsi="Arial" w:cs="Arial"/>
          <w:color w:val="000000"/>
          <w:sz w:val="22"/>
          <w:szCs w:val="22"/>
        </w:rPr>
        <w:t xml:space="preserve"> sub</w:t>
      </w:r>
      <w:r w:rsidR="008A78E5" w:rsidRPr="0002326A">
        <w:rPr>
          <w:rFonts w:ascii="Arial" w:hAnsi="Arial" w:cs="Arial"/>
          <w:color w:val="000000"/>
          <w:sz w:val="22"/>
          <w:szCs w:val="22"/>
        </w:rPr>
        <w:t>c</w:t>
      </w:r>
      <w:r w:rsidR="00E4107A" w:rsidRPr="0002326A">
        <w:rPr>
          <w:rFonts w:ascii="Arial" w:hAnsi="Arial" w:cs="Arial"/>
          <w:color w:val="000000"/>
          <w:sz w:val="22"/>
          <w:szCs w:val="22"/>
        </w:rPr>
        <w:t xml:space="preserve">luster, </w:t>
      </w:r>
      <w:r w:rsidR="004576D0" w:rsidRPr="0002326A">
        <w:rPr>
          <w:rFonts w:ascii="Arial" w:hAnsi="Arial" w:cs="Arial"/>
          <w:color w:val="000000"/>
          <w:sz w:val="22"/>
          <w:szCs w:val="22"/>
        </w:rPr>
        <w:t xml:space="preserve">a </w:t>
      </w:r>
      <w:r w:rsidR="00E4107A" w:rsidRPr="0002326A">
        <w:rPr>
          <w:rFonts w:ascii="Arial" w:hAnsi="Arial" w:cs="Arial"/>
          <w:color w:val="000000"/>
          <w:sz w:val="22"/>
          <w:szCs w:val="22"/>
        </w:rPr>
        <w:t>proliferative subcluster</w:t>
      </w:r>
      <w:r w:rsidR="008A78E5" w:rsidRPr="0002326A">
        <w:rPr>
          <w:rFonts w:ascii="Arial" w:hAnsi="Arial" w:cs="Arial"/>
          <w:color w:val="000000"/>
          <w:sz w:val="22"/>
          <w:szCs w:val="22"/>
        </w:rPr>
        <w:t>,</w:t>
      </w:r>
      <w:r w:rsidR="00E4107A" w:rsidRPr="0002326A">
        <w:rPr>
          <w:rFonts w:ascii="Arial" w:hAnsi="Arial" w:cs="Arial"/>
          <w:color w:val="000000"/>
          <w:sz w:val="22"/>
          <w:szCs w:val="22"/>
        </w:rPr>
        <w:t xml:space="preserve"> and a fourth with the higher lev</w:t>
      </w:r>
      <w:r w:rsidR="008A78E5" w:rsidRPr="0002326A">
        <w:rPr>
          <w:rFonts w:ascii="Arial" w:hAnsi="Arial" w:cs="Arial"/>
          <w:color w:val="000000"/>
          <w:sz w:val="22"/>
          <w:szCs w:val="22"/>
        </w:rPr>
        <w:t>e</w:t>
      </w:r>
      <w:r w:rsidR="00E4107A" w:rsidRPr="0002326A">
        <w:rPr>
          <w:rFonts w:ascii="Arial" w:hAnsi="Arial" w:cs="Arial"/>
          <w:color w:val="000000"/>
          <w:sz w:val="22"/>
          <w:szCs w:val="22"/>
        </w:rPr>
        <w:t xml:space="preserve">ls of cytokine signaling (Figure </w:t>
      </w:r>
      <w:r w:rsidR="009766CA">
        <w:rPr>
          <w:rFonts w:ascii="Arial" w:hAnsi="Arial" w:cs="Arial"/>
          <w:color w:val="000000"/>
          <w:sz w:val="22"/>
          <w:szCs w:val="22"/>
        </w:rPr>
        <w:t>3</w:t>
      </w:r>
      <w:r w:rsidR="00E4107A" w:rsidRPr="0002326A">
        <w:rPr>
          <w:rFonts w:ascii="Arial" w:hAnsi="Arial" w:cs="Arial"/>
          <w:color w:val="000000"/>
          <w:sz w:val="22"/>
          <w:szCs w:val="22"/>
        </w:rPr>
        <w:t>E,G). The la</w:t>
      </w:r>
      <w:r w:rsidR="008A78E5" w:rsidRPr="0002326A">
        <w:rPr>
          <w:rFonts w:ascii="Arial" w:hAnsi="Arial" w:cs="Arial"/>
          <w:color w:val="000000"/>
          <w:sz w:val="22"/>
          <w:szCs w:val="22"/>
        </w:rPr>
        <w:t>t</w:t>
      </w:r>
      <w:r w:rsidR="00E4107A" w:rsidRPr="0002326A">
        <w:rPr>
          <w:rFonts w:ascii="Arial" w:hAnsi="Arial" w:cs="Arial"/>
          <w:color w:val="000000"/>
          <w:sz w:val="22"/>
          <w:szCs w:val="22"/>
        </w:rPr>
        <w:t>ter cluster, CD8_7 was</w:t>
      </w:r>
      <w:r w:rsidR="008A78E5" w:rsidRPr="0002326A">
        <w:rPr>
          <w:rFonts w:ascii="Arial" w:hAnsi="Arial" w:cs="Arial"/>
          <w:color w:val="000000"/>
          <w:sz w:val="22"/>
          <w:szCs w:val="22"/>
        </w:rPr>
        <w:t xml:space="preserve"> </w:t>
      </w:r>
      <w:r w:rsidR="008A78E5" w:rsidRPr="0002326A">
        <w:rPr>
          <w:rFonts w:ascii="Arial" w:hAnsi="Arial" w:cs="Arial"/>
          <w:color w:val="000000"/>
          <w:sz w:val="22"/>
          <w:szCs w:val="22"/>
        </w:rPr>
        <w:lastRenderedPageBreak/>
        <w:t>also</w:t>
      </w:r>
      <w:r w:rsidR="00E4107A" w:rsidRPr="0002326A">
        <w:rPr>
          <w:rFonts w:ascii="Arial" w:hAnsi="Arial" w:cs="Arial"/>
          <w:color w:val="000000"/>
          <w:sz w:val="22"/>
          <w:szCs w:val="22"/>
        </w:rPr>
        <w:t xml:space="preserve"> unique with minimal overlap in clonotypes compared to the other tumor-infiltrating predominant subcluster. Recent single-cell analyses in melanoma showed </w:t>
      </w:r>
      <w:r w:rsidRPr="0002326A">
        <w:rPr>
          <w:rFonts w:ascii="Arial" w:hAnsi="Arial" w:cs="Arial"/>
          <w:color w:val="000000"/>
          <w:sz w:val="22"/>
          <w:szCs w:val="22"/>
        </w:rPr>
        <w:t>CD8</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with lower activation and exhausted expression patterns were associated with improved anti-PD-1 responses </w:t>
      </w:r>
      <w:r w:rsidR="00E4107A"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E4107A"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00E4107A"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4107A" w:rsidRPr="0002326A">
        <w:rPr>
          <w:rFonts w:ascii="Arial" w:hAnsi="Arial" w:cs="Arial"/>
          <w:color w:val="000000"/>
          <w:sz w:val="22"/>
          <w:szCs w:val="22"/>
        </w:rPr>
        <w:t>T</w:t>
      </w:r>
      <w:r w:rsidRPr="0002326A">
        <w:rPr>
          <w:rFonts w:ascii="Arial" w:hAnsi="Arial" w:cs="Arial"/>
          <w:color w:val="000000"/>
          <w:sz w:val="22"/>
          <w:szCs w:val="22"/>
        </w:rPr>
        <w:t>hese responsive T cells</w:t>
      </w:r>
      <w:r w:rsidR="00E4107A" w:rsidRPr="0002326A">
        <w:rPr>
          <w:rFonts w:ascii="Arial" w:hAnsi="Arial" w:cs="Arial"/>
          <w:color w:val="000000"/>
          <w:sz w:val="22"/>
          <w:szCs w:val="22"/>
        </w:rPr>
        <w:t xml:space="preserve"> had</w:t>
      </w:r>
      <w:r w:rsidRPr="0002326A">
        <w:rPr>
          <w:rFonts w:ascii="Arial" w:hAnsi="Arial" w:cs="Arial"/>
          <w:color w:val="000000"/>
          <w:sz w:val="22"/>
          <w:szCs w:val="22"/>
        </w:rPr>
        <w:t xml:space="preserve"> minimal </w:t>
      </w:r>
      <w:r w:rsidR="008A78E5" w:rsidRPr="0002326A">
        <w:rPr>
          <w:rFonts w:ascii="Arial" w:hAnsi="Arial" w:cs="Arial"/>
          <w:color w:val="000000"/>
          <w:sz w:val="22"/>
          <w:szCs w:val="22"/>
        </w:rPr>
        <w:t xml:space="preserve">shared clonotypes, similar to CD8_7 </w:t>
      </w:r>
      <w:r w:rsidR="008A78E5"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8A78E5"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 Other studies have found the ccRCC tumors polyclonal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cells with an </w:t>
      </w:r>
      <w:r w:rsidR="00885FC7" w:rsidRPr="0002326A">
        <w:rPr>
          <w:rFonts w:ascii="Arial" w:hAnsi="Arial" w:cs="Arial"/>
          <w:color w:val="000000"/>
          <w:sz w:val="22"/>
          <w:szCs w:val="22"/>
        </w:rPr>
        <w:t>“</w:t>
      </w:r>
      <w:r w:rsidR="008A78E5" w:rsidRPr="0002326A">
        <w:rPr>
          <w:rFonts w:ascii="Arial" w:hAnsi="Arial" w:cs="Arial"/>
          <w:color w:val="000000"/>
          <w:sz w:val="22"/>
          <w:szCs w:val="22"/>
        </w:rPr>
        <w:t>immune-regulated</w:t>
      </w:r>
      <w:r w:rsidR="00885FC7" w:rsidRPr="0002326A">
        <w:rPr>
          <w:rFonts w:ascii="Arial" w:hAnsi="Arial" w:cs="Arial"/>
          <w:color w:val="000000"/>
          <w:sz w:val="22"/>
          <w:szCs w:val="22"/>
        </w:rPr>
        <w:t>”</w:t>
      </w:r>
      <w:r w:rsidR="008A78E5" w:rsidRPr="0002326A">
        <w:rPr>
          <w:rFonts w:ascii="Arial" w:hAnsi="Arial" w:cs="Arial"/>
          <w:color w:val="000000"/>
          <w:sz w:val="22"/>
          <w:szCs w:val="22"/>
        </w:rPr>
        <w:t xml:space="preserve"> phenotype and lower cytotoxicity compared to tumors with oligoclonal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w:t>
      </w:r>
      <w:r w:rsidR="004C58A7">
        <w:rPr>
          <w:rFonts w:ascii="Arial" w:hAnsi="Arial" w:cs="Arial"/>
          <w:color w:val="000000"/>
          <w:sz w:val="22"/>
          <w:szCs w:val="22"/>
        </w:rPr>
        <w:t>s</w:t>
      </w:r>
      <w:r w:rsidR="008A78E5" w:rsidRPr="0002326A">
        <w:rPr>
          <w:rFonts w:ascii="Arial" w:hAnsi="Arial" w:cs="Arial"/>
          <w:color w:val="000000"/>
          <w:sz w:val="22"/>
          <w:szCs w:val="22"/>
        </w:rPr>
        <w:t xml:space="preserve"> </w:t>
      </w:r>
      <w:r w:rsidR="008A78E5"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Research","id":"ITEM-1","issue":"15","issued":{"date-parts":[["2017"]]},"page":"4416-4428","title":"Tumor-infiltrating and peripheral blood T-cell immunophenotypes predict early relapse in localized clear cell renal cell carcinoma","type":"article-journal","volume":"23"},"uris":["http://www.mendeley.com/documents/?uuid=20c9d997-3de2-4bb5-8279-f69c2b319dba"]}],"mendeley":{"formattedCitation":"(53)","plainTextFormattedCitation":"(53)","previouslyFormattedCitation":"(53)"},"properties":{"noteIndex":0},"schema":"https://github.com/citation-style-language/schema/raw/master/csl-citation.json"}</w:instrText>
      </w:r>
      <w:r w:rsidR="008A78E5"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(53)</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w:t>
      </w:r>
      <w:r w:rsidR="007E6E65">
        <w:rPr>
          <w:rFonts w:ascii="Arial" w:hAnsi="Arial" w:cs="Arial"/>
          <w:color w:val="000000"/>
          <w:sz w:val="22"/>
          <w:szCs w:val="22"/>
        </w:rPr>
        <w:t xml:space="preserve"> Recent SCRS studies of pre- versus post-treatment of anti-PD-1 in basal cell carcinoma found</w:t>
      </w:r>
      <w:r w:rsidR="007E6E65">
        <w:rPr>
          <w:rFonts w:ascii="Arial" w:hAnsi="Arial" w:cs="Arial"/>
          <w:color w:val="000000"/>
          <w:sz w:val="22"/>
          <w:szCs w:val="22"/>
        </w:rPr>
        <w:t xml:space="preserve"> have </w:t>
      </w:r>
      <w:r w:rsidR="007E6E65">
        <w:rPr>
          <w:rFonts w:ascii="Arial" w:hAnsi="Arial" w:cs="Arial"/>
          <w:color w:val="000000"/>
          <w:sz w:val="22"/>
          <w:szCs w:val="22"/>
        </w:rPr>
        <w:t>increased number and clonal expansion of</w:t>
      </w:r>
      <w:r w:rsidR="007E6E65">
        <w:rPr>
          <w:rFonts w:ascii="Arial" w:hAnsi="Arial" w:cs="Arial"/>
          <w:color w:val="000000"/>
          <w:sz w:val="22"/>
          <w:szCs w:val="22"/>
        </w:rPr>
        <w:t xml:space="preserve"> CD39</w:t>
      </w:r>
      <w:r w:rsidR="007E6E65">
        <w:rPr>
          <w:rFonts w:ascii="Arial" w:hAnsi="Arial" w:cs="Arial"/>
          <w:color w:val="000000"/>
          <w:sz w:val="22"/>
          <w:szCs w:val="22"/>
          <w:vertAlign w:val="superscript"/>
        </w:rPr>
        <w:t>+</w:t>
      </w:r>
      <w:r w:rsidR="007E6E65">
        <w:rPr>
          <w:rFonts w:ascii="Arial" w:hAnsi="Arial" w:cs="Arial"/>
          <w:color w:val="000000"/>
          <w:sz w:val="22"/>
          <w:szCs w:val="22"/>
        </w:rPr>
        <w:t xml:space="preserve"> CD8</w:t>
      </w:r>
      <w:r w:rsidR="007E6E65">
        <w:rPr>
          <w:rFonts w:ascii="Arial" w:hAnsi="Arial" w:cs="Arial"/>
          <w:color w:val="000000"/>
          <w:sz w:val="22"/>
          <w:szCs w:val="22"/>
          <w:vertAlign w:val="superscript"/>
        </w:rPr>
        <w:t>+</w:t>
      </w:r>
      <w:r w:rsidR="007E6E65">
        <w:rPr>
          <w:rFonts w:ascii="Arial" w:hAnsi="Arial" w:cs="Arial"/>
          <w:color w:val="000000"/>
          <w:sz w:val="22"/>
          <w:szCs w:val="22"/>
        </w:rPr>
        <w:t xml:space="preserve"> T cells after immunotherapy </w:t>
      </w:r>
      <w:r w:rsidR="007E6E65">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{"citationItems":[{"id":"ITEM-1","itemData":{"DOI":"10.1038/s41591-019-0522-3","ISSN":"1546170X","PMID":"31359002","abstract":"Immunotherapies that block inhibitory checkpoint receptors on T cells have transformed the clinical care of patients with cancer1. However, whether the T cell response to checkpoint blockade relies on reinvigoration of pre-existing tumor-infiltrating lymphocytes or on recruitment of novel T cells remains unclear2–4. Here we performed paired single-cell RNA and T cell receptor sequencing on 79,046 cells from site-matched tumors from patients with basal or squamous cell carcinoma before and after anti-PD-1 therapy. Tracking T cell receptor clones and transcriptional phenotypes revealed coupling of tumor recognition, clonal expansion and T cell dysfunction marked by clonal expansion of CD8+CD39+ T cells, which co-expressed markers of chronic T cell activation and exhaustion. However, the expansion of T cell clones did not derive from pre-existing tumor-infiltrating T lymphocytes; instead, the expanded clones consisted of novel clonotypes that had not previously been observed in the same tumor. Clonal replacement of T cells was preferentially observed in exhausted CD8+ T cells and evident in patients with basal or squamous cell carcinoma. These results demonstrate that pre-existing tumor-specific T cells may have limited reinvigoration capacity, and that the T cell response to checkpoint blockade derives from a distinct repertoire of T cell clones that may have just recently entered the tumor.","author":[{"dropping-particle":"","family":"Yost","given":"Kathryn E.","non-dropping-particle":"","parse-names":false,"suffix":""},{"dropping-particle":"","family":"Satpathy","given":"Ansuman T.","non-dropping-particle":"","parse-names":false,"suffix":""},{"dropping-particle":"","family":"Wells","given":"Daniel K.","non-dropping-particle":"","parse-names":false,"suffix":""},{"dropping-particle":"","family":"Qi","given":"Yanyan","non-dropping-particle":"","parse-names":false,"suffix":""},{"dropping-particle":"","family":"Wang","given":"Chunlin","non-dropping-particle":"","parse-names":false,"suffix":""},{"dropping-particle":"","family":"Kageyama","given":"Robin","non-dropping-particle":"","parse-names":false,"suffix":""},{"dropping-particle":"","family":"McNamara","given":"Katherine L.","non-dropping-particle":"","parse-names":false,"suffix":""},{"dropping-particle":"","family":"Granja","given":"Jeffrey M.","non-dropping-particle":"","parse-names":false,"suffix":""},{"dropping-particle":"","family":"Sarin","given":"Kavita Y.","non-dropping-particle":"","parse-names":false,"suffix":""},{"dropping-particle":"","family":"Brown","given":"Ryanne A.","non-dropping-particle":"","parse-names":false,"suffix":""},{"dropping-particle":"","family":"Gupta","given":"Rohit K.","non-dropping-particle":"","parse-names":false,"suffix":""},{"dropping-particle":"","family":"Curtis","given":"Christina","non-dropping-particle":"","parse-names":false,"suffix":""},{"dropping-particle":"","family":"Bucktrout","given":"Samantha L.","non-dropping-particle":"","parse-names":false,"suffix":""},{"dropping-particle":"","family":"Davis","given":"Mark M.","non-dropping-particle":"","parse-names":false,"suffix":""},{"dropping-particle":"","family":"Chang","given":"Anne Lynn S.","non-dropping-particle":"","parse-names":false,"suffix":""},{"dropping-particle":"","family":"Chang","given":"Howard Y.","non-dropping-particle":"","parse-names":false,"suffix":""}],"container-title":"Nature Medicine","id":"ITEM-1","issued":{"date-parts":[["2019"]]},"page":"1251-1259","title":"Clonal replacement of tumor-specific T cells following PD-1 blockade","type":"article-journal","volume":"25"},"uris":["http://www.mendeley.com/documents/?uuid=32b39ef2-2fdc-40bb-9f11-0e3a7f36b728"]}],"mendeley":{"formattedCitation":"(54)","plainTextFormattedCitation":"(54)","previouslyFormattedCitation":"(54)"},"properties":{"noteIndex":0},"schema":"https://github.com/citation-style-language/schema/raw/master/csl-citation.json"}</w:instrText>
      </w:r>
      <w:r w:rsidR="007E6E65">
        <w:rPr>
          <w:rFonts w:ascii="Arial" w:hAnsi="Arial" w:cs="Arial"/>
          <w:color w:val="000000"/>
          <w:sz w:val="22"/>
          <w:szCs w:val="22"/>
        </w:rPr>
        <w:fldChar w:fldCharType="separate"/>
      </w:r>
      <w:r w:rsidR="007E6E65" w:rsidRPr="007E6E65">
        <w:rPr>
          <w:rFonts w:ascii="Arial" w:hAnsi="Arial" w:cs="Arial"/>
          <w:noProof/>
          <w:color w:val="000000"/>
          <w:sz w:val="22"/>
          <w:szCs w:val="22"/>
        </w:rPr>
        <w:t>(54)</w:t>
      </w:r>
      <w:r w:rsidR="007E6E65">
        <w:rPr>
          <w:rFonts w:ascii="Arial" w:hAnsi="Arial" w:cs="Arial"/>
          <w:color w:val="000000"/>
          <w:sz w:val="22"/>
          <w:szCs w:val="22"/>
        </w:rPr>
        <w:fldChar w:fldCharType="end"/>
      </w:r>
      <w:r w:rsidR="00885FC7" w:rsidRPr="0002326A">
        <w:rPr>
          <w:rFonts w:ascii="Arial" w:hAnsi="Arial" w:cs="Arial"/>
          <w:color w:val="000000"/>
          <w:sz w:val="22"/>
          <w:szCs w:val="22"/>
        </w:rPr>
        <w:t xml:space="preserve"> </w:t>
      </w:r>
      <w:r w:rsidR="007E6E65">
        <w:rPr>
          <w:rFonts w:ascii="Arial" w:hAnsi="Arial" w:cs="Arial"/>
          <w:color w:val="000000"/>
          <w:sz w:val="22"/>
          <w:szCs w:val="22"/>
        </w:rPr>
        <w:t>However,</w:t>
      </w:r>
      <w:r w:rsidR="00885FC7" w:rsidRPr="0002326A">
        <w:rPr>
          <w:rFonts w:ascii="Arial" w:hAnsi="Arial" w:cs="Arial"/>
          <w:color w:val="000000"/>
          <w:sz w:val="22"/>
          <w:szCs w:val="22"/>
        </w:rPr>
        <w:t xml:space="preserve"> CD39</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CD8</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T cells in ccRCC has been shown to associated increased pathological stage and with </w:t>
      </w:r>
      <w:r w:rsidR="00641EAB">
        <w:rPr>
          <w:rFonts w:ascii="Arial" w:hAnsi="Arial" w:cs="Arial"/>
          <w:color w:val="000000"/>
          <w:sz w:val="22"/>
          <w:szCs w:val="22"/>
        </w:rPr>
        <w:t xml:space="preserve">poor overall survival </w:t>
      </w:r>
      <w:r w:rsidR="00885FC7"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(55)","plainTextFormattedCitation":"(55)","previouslyFormattedCitation":"(55)"},"properties":{"noteIndex":0},"schema":"https://github.com/citation-style-language/schema/raw/master/csl-citation.json"}</w:instrText>
      </w:r>
      <w:r w:rsidR="00885FC7"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(55)</w:t>
      </w:r>
      <w:r w:rsidR="00885FC7" w:rsidRPr="0002326A">
        <w:rPr>
          <w:rFonts w:ascii="Arial" w:hAnsi="Arial" w:cs="Arial"/>
          <w:color w:val="000000"/>
          <w:sz w:val="22"/>
          <w:szCs w:val="22"/>
        </w:rPr>
        <w:fldChar w:fldCharType="end"/>
      </w:r>
      <w:r w:rsidR="00885FC7" w:rsidRPr="0002326A">
        <w:rPr>
          <w:rFonts w:ascii="Arial" w:hAnsi="Arial" w:cs="Arial"/>
          <w:color w:val="000000"/>
          <w:sz w:val="22"/>
          <w:szCs w:val="22"/>
        </w:rPr>
        <w:t>.</w:t>
      </w:r>
      <w:r w:rsidR="00C34676">
        <w:rPr>
          <w:rFonts w:ascii="Arial" w:hAnsi="Arial" w:cs="Arial"/>
          <w:color w:val="000000"/>
          <w:sz w:val="22"/>
          <w:szCs w:val="22"/>
        </w:rPr>
        <w:t xml:space="preserve"> Based on gene expression, our CD8_0 and CD8_6 subclusters most closely fit this population of cells and these clusters had 57% and 46.5% of cells from the advanced-stage Patient 3, respectively. Interestingly,</w:t>
      </w:r>
      <w:r w:rsidR="007E6E65">
        <w:rPr>
          <w:rFonts w:ascii="Arial" w:hAnsi="Arial" w:cs="Arial"/>
          <w:color w:val="000000"/>
          <w:sz w:val="22"/>
          <w:szCs w:val="22"/>
        </w:rPr>
        <w:t xml:space="preserve"> </w:t>
      </w:r>
      <w:r w:rsidR="00C34676">
        <w:rPr>
          <w:rFonts w:ascii="Arial" w:hAnsi="Arial" w:cs="Arial"/>
          <w:color w:val="000000"/>
          <w:sz w:val="22"/>
          <w:szCs w:val="22"/>
        </w:rPr>
        <w:t>p</w:t>
      </w:r>
      <w:r w:rsidR="007E6E65">
        <w:rPr>
          <w:rFonts w:ascii="Arial" w:hAnsi="Arial" w:cs="Arial"/>
          <w:color w:val="000000"/>
          <w:sz w:val="22"/>
          <w:szCs w:val="22"/>
        </w:rPr>
        <w:t>atients with higher numbers of CD39</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w:t>
      </w:r>
      <w:r w:rsidR="00C34676">
        <w:rPr>
          <w:rFonts w:ascii="Arial" w:hAnsi="Arial" w:cs="Arial"/>
          <w:color w:val="000000"/>
          <w:sz w:val="22"/>
          <w:szCs w:val="22"/>
        </w:rPr>
        <w:t>CD8</w:t>
      </w:r>
      <w:r w:rsidR="00C34676" w:rsidRPr="00C34676">
        <w:rPr>
          <w:rFonts w:ascii="Arial" w:hAnsi="Arial" w:cs="Arial"/>
          <w:color w:val="000000"/>
          <w:sz w:val="22"/>
          <w:szCs w:val="22"/>
          <w:vertAlign w:val="superscript"/>
        </w:rPr>
        <w:t>+</w:t>
      </w:r>
      <w:r w:rsidR="00C34676">
        <w:rPr>
          <w:rFonts w:ascii="Arial" w:hAnsi="Arial" w:cs="Arial"/>
          <w:color w:val="000000"/>
          <w:sz w:val="22"/>
          <w:szCs w:val="22"/>
        </w:rPr>
        <w:t xml:space="preserve"> </w:t>
      </w:r>
      <w:r w:rsidR="007E6E65">
        <w:rPr>
          <w:rFonts w:ascii="Arial" w:hAnsi="Arial" w:cs="Arial"/>
          <w:color w:val="000000"/>
          <w:sz w:val="22"/>
          <w:szCs w:val="22"/>
        </w:rPr>
        <w:t xml:space="preserve">T cells, </w:t>
      </w:r>
      <w:r w:rsidR="00885FC7" w:rsidRPr="0002326A">
        <w:rPr>
          <w:rFonts w:ascii="Arial" w:hAnsi="Arial" w:cs="Arial"/>
          <w:color w:val="000000"/>
          <w:sz w:val="22"/>
          <w:szCs w:val="22"/>
        </w:rPr>
        <w:t>had improved responses to the multi-tyrosine kinase inhibitor, sunitinib, suggesting that evaluation of exhausted phenotype for CD8</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 cells may help in clinical decision making</w:t>
      </w:r>
      <w:r w:rsidR="00B015AB" w:rsidRPr="0002326A">
        <w:rPr>
          <w:rFonts w:ascii="Arial" w:hAnsi="Arial" w:cs="Arial"/>
          <w:color w:val="000000"/>
          <w:sz w:val="22"/>
          <w:szCs w:val="22"/>
        </w:rPr>
        <w:t xml:space="preserve"> or therapy selection</w:t>
      </w:r>
      <w:r w:rsidR="005B103D" w:rsidRPr="0002326A">
        <w:rPr>
          <w:rFonts w:ascii="Arial" w:hAnsi="Arial" w:cs="Arial"/>
          <w:color w:val="000000"/>
          <w:sz w:val="22"/>
          <w:szCs w:val="22"/>
        </w:rPr>
        <w:t xml:space="preserve"> </w:t>
      </w:r>
      <w:r w:rsidR="005B103D"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(55)","plainTextFormattedCitation":"(55)","previouslyFormattedCitation":"(55)"},"properties":{"noteIndex":0},"schema":"https://github.com/citation-style-language/schema/raw/master/csl-citation.json"}</w:instrText>
      </w:r>
      <w:r w:rsidR="005B103D"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(55)</w:t>
      </w:r>
      <w:r w:rsidR="005B103D" w:rsidRPr="0002326A">
        <w:rPr>
          <w:rFonts w:ascii="Arial" w:hAnsi="Arial" w:cs="Arial"/>
          <w:color w:val="000000"/>
          <w:sz w:val="22"/>
          <w:szCs w:val="22"/>
        </w:rPr>
        <w:fldChar w:fldCharType="end"/>
      </w:r>
      <w:r w:rsidR="00885FC7" w:rsidRPr="0002326A">
        <w:rPr>
          <w:rFonts w:ascii="Arial" w:hAnsi="Arial" w:cs="Arial"/>
          <w:color w:val="000000"/>
          <w:sz w:val="22"/>
          <w:szCs w:val="22"/>
        </w:rPr>
        <w:t>.</w:t>
      </w:r>
      <w:r w:rsidR="00F218E4">
        <w:rPr>
          <w:rFonts w:ascii="Arial" w:hAnsi="Arial" w:cs="Arial"/>
          <w:color w:val="000000"/>
          <w:sz w:val="22"/>
          <w:szCs w:val="22"/>
        </w:rPr>
        <w:t xml:space="preserve"> This is particularly interesting as we found shared CD8</w:t>
      </w:r>
      <w:r w:rsidR="00F218E4">
        <w:rPr>
          <w:rFonts w:ascii="Arial" w:hAnsi="Arial" w:cs="Arial"/>
          <w:color w:val="000000"/>
          <w:sz w:val="22"/>
          <w:szCs w:val="22"/>
          <w:vertAlign w:val="superscript"/>
        </w:rPr>
        <w:t>+</w:t>
      </w:r>
      <w:r w:rsidR="00F218E4">
        <w:rPr>
          <w:rFonts w:ascii="Arial" w:hAnsi="Arial" w:cs="Arial"/>
          <w:color w:val="000000"/>
          <w:sz w:val="22"/>
          <w:szCs w:val="22"/>
        </w:rPr>
        <w:t>, but not CD4</w:t>
      </w:r>
      <w:r w:rsidR="00F218E4" w:rsidRPr="00C752C8">
        <w:rPr>
          <w:rFonts w:ascii="Arial" w:hAnsi="Arial" w:cs="Arial"/>
          <w:color w:val="000000"/>
          <w:sz w:val="22"/>
          <w:szCs w:val="22"/>
          <w:vertAlign w:val="superscript"/>
        </w:rPr>
        <w:t>+</w:t>
      </w:r>
      <w:r w:rsidR="00F218E4">
        <w:rPr>
          <w:rFonts w:ascii="Arial" w:hAnsi="Arial" w:cs="Arial"/>
          <w:color w:val="000000"/>
          <w:sz w:val="22"/>
          <w:szCs w:val="22"/>
        </w:rPr>
        <w:t>, T cell clonotypes in the corresponding peripheral blood of ccRCC patients (Figure 2).</w:t>
      </w:r>
      <w:r w:rsidR="00C752C8">
        <w:rPr>
          <w:rFonts w:ascii="Arial" w:hAnsi="Arial" w:cs="Arial"/>
          <w:color w:val="000000"/>
          <w:sz w:val="22"/>
          <w:szCs w:val="22"/>
        </w:rPr>
        <w:t xml:space="preserve"> </w:t>
      </w:r>
      <w:r w:rsidR="00D710B8">
        <w:rPr>
          <w:rFonts w:ascii="Arial" w:hAnsi="Arial" w:cs="Arial"/>
          <w:color w:val="000000"/>
          <w:sz w:val="22"/>
          <w:szCs w:val="22"/>
        </w:rPr>
        <w:t>Although</w:t>
      </w:r>
      <w:r w:rsidR="00C752C8">
        <w:rPr>
          <w:rFonts w:ascii="Arial" w:hAnsi="Arial" w:cs="Arial"/>
          <w:color w:val="000000"/>
          <w:sz w:val="22"/>
          <w:szCs w:val="22"/>
        </w:rPr>
        <w:t xml:space="preserve"> we find a stable overlap coefficient of around 13% for CD8</w:t>
      </w:r>
      <w:r w:rsidR="00C752C8" w:rsidRPr="007E6E65">
        <w:rPr>
          <w:rFonts w:ascii="Arial" w:hAnsi="Arial" w:cs="Arial"/>
          <w:color w:val="000000"/>
          <w:sz w:val="22"/>
          <w:szCs w:val="22"/>
          <w:vertAlign w:val="superscript"/>
        </w:rPr>
        <w:t>+</w:t>
      </w:r>
      <w:r w:rsidR="00C752C8">
        <w:rPr>
          <w:rFonts w:ascii="Arial" w:hAnsi="Arial" w:cs="Arial"/>
          <w:color w:val="000000"/>
          <w:sz w:val="22"/>
          <w:szCs w:val="22"/>
        </w:rPr>
        <w:t xml:space="preserve"> clonotypes, more work is needed to </w:t>
      </w:r>
      <w:r w:rsidR="00D710B8">
        <w:rPr>
          <w:rFonts w:ascii="Arial" w:hAnsi="Arial" w:cs="Arial"/>
          <w:color w:val="000000"/>
          <w:sz w:val="22"/>
          <w:szCs w:val="22"/>
        </w:rPr>
        <w:t>assess</w:t>
      </w:r>
      <w:r w:rsidR="00C752C8">
        <w:rPr>
          <w:rFonts w:ascii="Arial" w:hAnsi="Arial" w:cs="Arial"/>
          <w:color w:val="000000"/>
          <w:sz w:val="22"/>
          <w:szCs w:val="22"/>
        </w:rPr>
        <w:t xml:space="preserve"> the dynamics of infiltration versus exfiltration on the </w:t>
      </w:r>
      <w:r w:rsidR="00D710B8">
        <w:rPr>
          <w:rFonts w:ascii="Arial" w:hAnsi="Arial" w:cs="Arial"/>
          <w:color w:val="000000"/>
          <w:sz w:val="22"/>
          <w:szCs w:val="22"/>
        </w:rPr>
        <w:t>CD8</w:t>
      </w:r>
      <w:r w:rsidR="00D710B8" w:rsidRPr="00D710B8">
        <w:rPr>
          <w:rFonts w:ascii="Arial" w:hAnsi="Arial" w:cs="Arial"/>
          <w:color w:val="000000"/>
          <w:sz w:val="22"/>
          <w:szCs w:val="22"/>
          <w:vertAlign w:val="superscript"/>
        </w:rPr>
        <w:t>+</w:t>
      </w:r>
      <w:r w:rsidR="00D710B8">
        <w:rPr>
          <w:rFonts w:ascii="Arial" w:hAnsi="Arial" w:cs="Arial"/>
          <w:color w:val="000000"/>
          <w:sz w:val="22"/>
          <w:szCs w:val="22"/>
        </w:rPr>
        <w:t xml:space="preserve"> T lymphocytes into the tumor bed.</w:t>
      </w:r>
    </w:p>
    <w:p w14:paraId="3DDFADF0" w14:textId="77777777" w:rsidR="00F218E4" w:rsidRDefault="00F218E4" w:rsidP="00885FC7">
      <w:pPr>
        <w:pStyle w:val="Paragraph"/>
        <w:snapToGrid w:val="0"/>
        <w:spacing w:line="480" w:lineRule="auto"/>
        <w:ind w:firstLine="0"/>
        <w:rPr>
          <w:rFonts w:ascii="Arial" w:hAnsi="Arial" w:cs="Arial"/>
          <w:color w:val="000000"/>
          <w:sz w:val="22"/>
          <w:szCs w:val="22"/>
        </w:rPr>
      </w:pPr>
    </w:p>
    <w:p w14:paraId="749C1BB2" w14:textId="3396DFFA" w:rsidR="00B015AB" w:rsidRPr="0002326A" w:rsidRDefault="004C58A7" w:rsidP="0038281C">
      <w:pPr>
        <w:pStyle w:val="Paragraph"/>
        <w:snapToGrid w:val="0"/>
        <w:spacing w:line="480" w:lineRule="auto"/>
        <w:ind w:firstLine="0"/>
        <w:rPr>
          <w:rFonts w:ascii="Arial" w:hAnsi="Arial" w:cs="Arial"/>
          <w:color w:val="000000"/>
          <w:sz w:val="22"/>
          <w:szCs w:val="22"/>
        </w:rPr>
      </w:pPr>
      <w:r>
        <w:rPr>
          <w:rFonts w:ascii="Arial" w:hAnsi="Arial" w:cs="Arial"/>
          <w:color w:val="000000"/>
          <w:sz w:val="22"/>
          <w:szCs w:val="22"/>
        </w:rPr>
        <w:t>The e</w:t>
      </w:r>
      <w:r w:rsidR="00FD6968" w:rsidRPr="0002326A">
        <w:rPr>
          <w:rFonts w:ascii="Arial" w:hAnsi="Arial" w:cs="Arial"/>
          <w:color w:val="000000"/>
          <w:sz w:val="22"/>
          <w:szCs w:val="22"/>
        </w:rPr>
        <w:t>xhausted CD8</w:t>
      </w:r>
      <w:r w:rsidR="00FD6968" w:rsidRPr="0002326A">
        <w:rPr>
          <w:rFonts w:ascii="Arial" w:hAnsi="Arial" w:cs="Arial"/>
          <w:color w:val="000000"/>
          <w:sz w:val="22"/>
          <w:szCs w:val="22"/>
          <w:vertAlign w:val="superscript"/>
        </w:rPr>
        <w:t>+</w:t>
      </w:r>
      <w:r w:rsidR="00FD6968" w:rsidRPr="0002326A">
        <w:rPr>
          <w:rFonts w:ascii="Arial" w:hAnsi="Arial" w:cs="Arial"/>
          <w:color w:val="000000"/>
          <w:sz w:val="22"/>
          <w:szCs w:val="22"/>
        </w:rPr>
        <w:t xml:space="preserve"> T cell phenotype ha</w:t>
      </w:r>
      <w:r>
        <w:rPr>
          <w:rFonts w:ascii="Arial" w:hAnsi="Arial" w:cs="Arial"/>
          <w:color w:val="000000"/>
          <w:sz w:val="22"/>
          <w:szCs w:val="22"/>
        </w:rPr>
        <w:t>s</w:t>
      </w:r>
      <w:r w:rsidR="00FD6968" w:rsidRPr="0002326A">
        <w:rPr>
          <w:rFonts w:ascii="Arial" w:hAnsi="Arial" w:cs="Arial"/>
          <w:color w:val="000000"/>
          <w:sz w:val="22"/>
          <w:szCs w:val="22"/>
        </w:rPr>
        <w:t xml:space="preserve"> been associated with</w:t>
      </w:r>
      <w:r w:rsidR="00BA6EBB" w:rsidRPr="0002326A">
        <w:rPr>
          <w:rFonts w:ascii="Arial" w:hAnsi="Arial" w:cs="Arial"/>
          <w:color w:val="000000"/>
          <w:sz w:val="22"/>
          <w:szCs w:val="22"/>
        </w:rPr>
        <w:t xml:space="preserve"> advanced histological features and increased risk of disease progression </w:t>
      </w:r>
      <w:r w:rsidR="00BA6EB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Research","id":"ITEM-1","issue":"15","issued":{"date-parts":[["2017"]]},"page":"4416-4428","title":"Tumor-infiltrating and peripheral blood T-cell immunophenotypes predict early relapse in localized clear cell renal cell carcinoma","type":"article-journal","volume":"23"},"uris":["http://www.mendeley.com/documents/?uuid=20c9d997-3de2-4bb5-8279-f69c2b319dba"]},{"id":"ITEM-2","itemData":{"DOI":"10.1186/s13059-016-1092-z","ISSN":"1474760X","PMID":"27855702","abstract":"Background: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id":"ITEM-3","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Immunother","id":"ITEM-3","issue":"69","issued":{"date-parts":[["2020"]]},"page":"1565-1576","publisher":"Springer","title":"Tumor-infiltrating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(48,53,55)","plainTextFormattedCitation":"(48,53,55)","previouslyFormattedCitation":"(48,53,55)"},"properties":{"noteIndex":0},"schema":"https://github.com/citation-style-language/schema/raw/master/csl-citation.json"}</w:instrText>
      </w:r>
      <w:r w:rsidR="00BA6EBB"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(48,53,55)</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increased</w:t>
      </w:r>
      <w:r w:rsidR="00FD6968" w:rsidRPr="0002326A">
        <w:rPr>
          <w:rFonts w:ascii="Arial" w:hAnsi="Arial" w:cs="Arial"/>
          <w:color w:val="000000"/>
          <w:sz w:val="22"/>
          <w:szCs w:val="22"/>
        </w:rPr>
        <w:t xml:space="preserve"> dysfunctional DC </w:t>
      </w:r>
      <w:r w:rsidR="00FD6968"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Research","id":"ITEM-1","issue":"13","issued":{"date-parts":[["2015"]]},"page":"3031-3040","title":"Orchestration and prognostic significance of immune checkpoints in the microenvironment of primary and metastatic renal cell cancer","type":"article-journal","volume":"21"},"uris":["http://www.mendeley.com/documents/?uuid=ec3302ef-5ce4-4969-9eec-dd95284e1655"]}],"mendeley":{"formattedCitation":"(6)","plainTextFormattedCitation":"(6)","previouslyFormattedCitation":"(6)"},"properties":{"noteIndex":0},"schema":"https://github.com/citation-style-language/schema/raw/master/csl-citation.json"}</w:instrText>
      </w:r>
      <w:r w:rsidR="00FD6968" w:rsidRPr="0002326A">
        <w:rPr>
          <w:rFonts w:ascii="Arial" w:hAnsi="Arial" w:cs="Arial"/>
          <w:color w:val="000000"/>
          <w:sz w:val="22"/>
          <w:szCs w:val="22"/>
        </w:rPr>
        <w:fldChar w:fldCharType="separate"/>
      </w:r>
      <w:r w:rsidR="00FD6968" w:rsidRPr="0002326A">
        <w:rPr>
          <w:rFonts w:ascii="Arial" w:hAnsi="Arial" w:cs="Arial"/>
          <w:noProof/>
          <w:color w:val="000000"/>
          <w:sz w:val="22"/>
          <w:szCs w:val="22"/>
        </w:rPr>
        <w:t>(6)</w:t>
      </w:r>
      <w:r w:rsidR="00FD6968"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and increased </w:t>
      </w:r>
      <w:r w:rsidR="00FD6968" w:rsidRPr="0002326A">
        <w:rPr>
          <w:rFonts w:ascii="Arial" w:hAnsi="Arial" w:cs="Arial"/>
          <w:color w:val="000000"/>
          <w:sz w:val="22"/>
          <w:szCs w:val="22"/>
        </w:rPr>
        <w:t xml:space="preserve">macrophage populations </w:t>
      </w:r>
      <w:r w:rsidR="00FD6968"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4","issued":{"date-parts":[["2017"]]},"page":"736-749","title":"An Immune Atlas of Clear Cell Renal Cell Carcinoma","type":"article-journal","volume":"169"},"uris":["http://www.mendeley.com/documents/?uuid=5d516839-531f-4c22-a230-5e3bf717eb9f"]}],"mendeley":{"formattedCitation":"(18)","plainTextFormattedCitation":"(18)","previouslyFormattedCitation":"(18)"},"properties":{"noteIndex":0},"schema":"https://github.com/citation-style-language/schema/raw/master/csl-citation.json"}</w:instrText>
      </w:r>
      <w:r w:rsidR="00FD6968"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w:t>
      </w:r>
      <w:r w:rsidR="00FD6968" w:rsidRPr="0002326A">
        <w:rPr>
          <w:rFonts w:ascii="Arial" w:hAnsi="Arial" w:cs="Arial"/>
          <w:color w:val="000000"/>
          <w:sz w:val="22"/>
          <w:szCs w:val="22"/>
        </w:rPr>
        <w:fldChar w:fldCharType="end"/>
      </w:r>
      <w:r w:rsidR="00FD6968" w:rsidRPr="0002326A">
        <w:rPr>
          <w:rFonts w:ascii="Arial" w:hAnsi="Arial" w:cs="Arial"/>
          <w:color w:val="000000"/>
          <w:sz w:val="22"/>
          <w:szCs w:val="22"/>
        </w:rPr>
        <w:t>.</w:t>
      </w:r>
      <w:r w:rsidR="00C752C8">
        <w:rPr>
          <w:rFonts w:ascii="Arial" w:hAnsi="Arial" w:cs="Arial"/>
          <w:color w:val="000000"/>
          <w:sz w:val="22"/>
          <w:szCs w:val="22"/>
        </w:rPr>
        <w:t xml:space="preserve"> However, c</w:t>
      </w:r>
      <w:r w:rsidR="00FD6968" w:rsidRPr="0002326A">
        <w:rPr>
          <w:rFonts w:ascii="Arial" w:hAnsi="Arial" w:cs="Arial"/>
          <w:color w:val="000000"/>
          <w:sz w:val="22"/>
          <w:szCs w:val="22"/>
        </w:rPr>
        <w:t>ontroversy surrounds the role of myeloid populations in ccRCC tumor prognosis and progression.</w:t>
      </w:r>
      <w:r w:rsidR="00BA6EBB" w:rsidRPr="0002326A">
        <w:rPr>
          <w:rFonts w:ascii="Arial" w:hAnsi="Arial" w:cs="Arial"/>
          <w:color w:val="000000"/>
          <w:sz w:val="22"/>
          <w:szCs w:val="22"/>
        </w:rPr>
        <w:t xml:space="preserve"> This may, in part, be a result of transcriptional and phenotypic plasticity of tumor-infiltrating myeloid cells </w:t>
      </w:r>
      <w:r w:rsidR="00BA6EB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mendeley":{"formattedCitation":"(18,25)","plainTextFormattedCitation":"(18,25)","previouslyFormattedCitation":"(18,25)"},"properties":{"noteIndex":0},"schema":"https://github.com/citation-style-language/schema/raw/master/csl-citation.json"}</w:instrText>
      </w:r>
      <w:r w:rsidR="00BA6EB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(18,25)</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w:t>
      </w:r>
      <w:r w:rsidR="00272B1C" w:rsidRPr="0002326A">
        <w:rPr>
          <w:rFonts w:ascii="Arial" w:hAnsi="Arial" w:cs="Arial"/>
          <w:color w:val="000000"/>
          <w:sz w:val="22"/>
          <w:szCs w:val="22"/>
        </w:rPr>
        <w:t xml:space="preserve">Our analysis </w:t>
      </w:r>
      <w:r w:rsidR="00272B1C" w:rsidRPr="0002326A">
        <w:rPr>
          <w:rFonts w:ascii="Arial" w:hAnsi="Arial" w:cs="Arial"/>
          <w:color w:val="000000"/>
          <w:sz w:val="22"/>
          <w:szCs w:val="22"/>
        </w:rPr>
        <w:lastRenderedPageBreak/>
        <w:t>demonstrated distinct CD16</w:t>
      </w:r>
      <w:r w:rsidR="00272B1C" w:rsidRPr="0002326A">
        <w:rPr>
          <w:rFonts w:ascii="Arial" w:hAnsi="Arial" w:cs="Arial"/>
          <w:color w:val="000000"/>
          <w:sz w:val="22"/>
          <w:szCs w:val="22"/>
          <w:vertAlign w:val="superscript"/>
        </w:rPr>
        <w:t>+</w:t>
      </w:r>
      <w:r w:rsidR="00272B1C" w:rsidRPr="0002326A">
        <w:rPr>
          <w:rFonts w:ascii="Arial" w:hAnsi="Arial" w:cs="Arial"/>
          <w:color w:val="000000"/>
          <w:sz w:val="22"/>
          <w:szCs w:val="22"/>
        </w:rPr>
        <w:t xml:space="preserve"> myeloid population derived within tumor compared to peripheral blood or normal renal parenchyma and an overall increase in tumor-associated macrophages (Figure </w:t>
      </w:r>
      <w:r w:rsidR="00C96B8B">
        <w:rPr>
          <w:rFonts w:ascii="Arial" w:hAnsi="Arial" w:cs="Arial"/>
          <w:color w:val="000000"/>
          <w:sz w:val="22"/>
          <w:szCs w:val="22"/>
        </w:rPr>
        <w:t>5</w:t>
      </w:r>
      <w:r w:rsidR="00272B1C" w:rsidRPr="0002326A">
        <w:rPr>
          <w:rFonts w:ascii="Arial" w:hAnsi="Arial" w:cs="Arial"/>
          <w:color w:val="000000"/>
          <w:sz w:val="22"/>
          <w:szCs w:val="22"/>
        </w:rPr>
        <w:t xml:space="preserve">A, D). </w:t>
      </w:r>
      <w:r w:rsidR="005B103D" w:rsidRPr="0002326A">
        <w:rPr>
          <w:rFonts w:ascii="Arial" w:hAnsi="Arial" w:cs="Arial"/>
          <w:color w:val="000000"/>
          <w:sz w:val="22"/>
          <w:szCs w:val="22"/>
        </w:rPr>
        <w:t>M2 markers, like CD163</w:t>
      </w:r>
      <w:r w:rsidR="00FD6968" w:rsidRPr="0002326A">
        <w:rPr>
          <w:rFonts w:ascii="Arial" w:hAnsi="Arial" w:cs="Arial"/>
          <w:color w:val="000000"/>
          <w:sz w:val="22"/>
          <w:szCs w:val="22"/>
        </w:rPr>
        <w:t xml:space="preserve"> and CD204</w:t>
      </w:r>
      <w:r w:rsidR="005B103D" w:rsidRPr="0002326A">
        <w:rPr>
          <w:rFonts w:ascii="Arial" w:hAnsi="Arial" w:cs="Arial"/>
          <w:color w:val="000000"/>
          <w:sz w:val="22"/>
          <w:szCs w:val="22"/>
        </w:rPr>
        <w:t>, ha</w:t>
      </w:r>
      <w:r>
        <w:rPr>
          <w:rFonts w:ascii="Arial" w:hAnsi="Arial" w:cs="Arial"/>
          <w:color w:val="000000"/>
          <w:sz w:val="22"/>
          <w:szCs w:val="22"/>
        </w:rPr>
        <w:t>ve</w:t>
      </w:r>
      <w:r w:rsidR="005B103D" w:rsidRPr="0002326A">
        <w:rPr>
          <w:rFonts w:ascii="Arial" w:hAnsi="Arial" w:cs="Arial"/>
          <w:color w:val="000000"/>
          <w:sz w:val="22"/>
          <w:szCs w:val="22"/>
        </w:rPr>
        <w:t xml:space="preserve"> been associated with poor </w:t>
      </w:r>
      <w:r w:rsidR="009B62A4">
        <w:rPr>
          <w:rFonts w:ascii="Arial" w:hAnsi="Arial" w:cs="Arial"/>
          <w:color w:val="000000"/>
          <w:sz w:val="22"/>
          <w:szCs w:val="22"/>
        </w:rPr>
        <w:t xml:space="preserve">clinical outcomes </w:t>
      </w:r>
      <w:r w:rsidR="009B62A4">
        <w:rPr>
          <w:rFonts w:ascii="Arial" w:hAnsi="Arial" w:cs="Arial"/>
          <w:color w:val="000000"/>
          <w:sz w:val="22"/>
          <w:szCs w:val="22"/>
        </w:rPr>
        <w:t>in ccRCC</w:t>
      </w:r>
      <w:r w:rsidR="005B103D" w:rsidRPr="0002326A">
        <w:rPr>
          <w:rFonts w:ascii="Arial" w:hAnsi="Arial" w:cs="Arial"/>
          <w:color w:val="000000"/>
          <w:sz w:val="22"/>
          <w:szCs w:val="22"/>
        </w:rPr>
        <w:t xml:space="preserve"> </w:t>
      </w:r>
      <w:r w:rsidR="005B103D"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{"citationItems":[{"id":"ITEM-1","itemData":{"DOI":"10.1111/j.1349-7006.2011.01945.x","ISSN":"13479032","PMID":"21453387","abstract":"Most malignant tumors evidence infiltration of many macrophages. In this study, we investigated an anti-inflammatory macrophage phenotype (M2) in clear cell renal cell carcinoma (RCC) using CD163 and CD204 as markers. Immunostaining showed a correlation between the number of CD163+ cells and age, sex, nuclear grade, and TNM classification. High infiltration of CD163+ cells was significantly associated with poor clinical prognosis in univariate analysis but not in multivariate analysis. We also carried out in vitro studies to examine cell-cell interactions between macrophages and cancer cells. Culture supernatants from RCC cell lines induced polarization of macrophages toward the M2 phenotype. Coculture of macrophages with cancer cells significantly induced activation of signal transducers and activators of transcription-3 (Stat3) in the cancer cells. Direct coculture of RCC cells with macrophages led to stronger activation of Stat3 in the cancer cells than did indirect coculture using Transwell chamber dishes. Because RCC cells expressed membrane-type macrophage colony-stimulating factor (mM-CSF) on the cell surface, we suggested that this mM-CSF plays an important role in direct cell-cell interactions. Stat3 activation in cancer cells that was induced by coculture with macrophages was suppressed by downregulation of the M-CSF receptor (M-CSFR) in macrophages and by an inhibitor of M-CSFR. In conclusion, investigation of CD163+ tumor-associated macrophages would be useful for assessment of the clinical prognosis of patients with ccRCC. Cell-cell interactions mediated by mM-CSF and M-CSFR binding could contribute to cancer cell activation. © 2011 Japanese Cancer Association.","author":[{"dropping-particle":"","family":"Komohara","given":"Yoshihiro","non-dropping-particle":"","parse-names":false,"suffix":""},{"dropping-particle":"","family":"Hasita","given":"Horlad","non-dropping-particle":"","parse-names":false,"suffix":""},{"dropping-particle":"","family":"Ohnishi","given":"Koji","non-dropping-particle":"","parse-names":false,"suffix":""},{"dropping-particle":"","family":"Fujiwara","given":"Yukio","non-dropping-particle":"","parse-names":false,"suffix":""},{"dropping-particle":"","family":"Suzu","given":"Shinya","non-dropping-particle":"","parse-names":false,"suffix":""},{"dropping-particle":"","family":"Eto","given":"Masatoshi","non-dropping-particle":"","parse-names":false,"suffix":""},{"dropping-particle":"","family":"Takeya","given":"Motohiro","non-dropping-particle":"","parse-names":false,"suffix":""}],"container-title":"Cancer Science","id":"ITEM-1","issue":"7","issued":{"date-parts":[["2011"]]},"page":"1424-1431","title":"Macrophage infiltration and its prognostic relevance in clear cell renal cell carcinoma","type":"article-journal","volume":"102"},"uris":["http://www.mendeley.com/documents/?uuid=5aa99c21-97a1-4bf1-b0fc-60e19f611f1f"]},{"id":"ITEM-2","itemData":{"DOI":"10.1016/j.cell.2017.04.016","ISSN":"10974172","abstract":"Immune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mendeley":{"formattedCitation":"(18,56)","plainTextFormattedCitation":"(18,56)","previouslyFormattedCitation":"(18,56)"},"properties":{"noteIndex":0},"schema":"https://github.com/citation-style-language/schema/raw/master/csl-citation.json"}</w:instrText>
      </w:r>
      <w:r w:rsidR="005B103D"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(18,56)</w:t>
      </w:r>
      <w:r w:rsidR="005B103D" w:rsidRPr="0002326A">
        <w:rPr>
          <w:rFonts w:ascii="Arial" w:hAnsi="Arial" w:cs="Arial"/>
          <w:color w:val="000000"/>
          <w:sz w:val="22"/>
          <w:szCs w:val="22"/>
        </w:rPr>
        <w:fldChar w:fldCharType="end"/>
      </w:r>
      <w:r w:rsidR="00272B1C" w:rsidRPr="0002326A">
        <w:rPr>
          <w:rFonts w:ascii="Arial" w:hAnsi="Arial" w:cs="Arial"/>
          <w:color w:val="000000"/>
          <w:sz w:val="22"/>
          <w:szCs w:val="22"/>
        </w:rPr>
        <w:t xml:space="preserve"> </w:t>
      </w:r>
      <w:r w:rsidR="009B62A4">
        <w:rPr>
          <w:rFonts w:ascii="Arial" w:hAnsi="Arial" w:cs="Arial"/>
          <w:color w:val="000000"/>
          <w:sz w:val="22"/>
          <w:szCs w:val="22"/>
        </w:rPr>
        <w:t xml:space="preserve"> </w:t>
      </w:r>
      <w:r w:rsidR="00272B1C" w:rsidRPr="0002326A">
        <w:rPr>
          <w:rFonts w:ascii="Arial" w:hAnsi="Arial" w:cs="Arial"/>
          <w:color w:val="000000"/>
          <w:sz w:val="22"/>
          <w:szCs w:val="22"/>
        </w:rPr>
        <w:t xml:space="preserve">and were the highest in the TAM_1 and TAM_2 subclusters (Figure </w:t>
      </w:r>
      <w:r w:rsidR="00C96B8B">
        <w:rPr>
          <w:rFonts w:ascii="Arial" w:hAnsi="Arial" w:cs="Arial"/>
          <w:color w:val="000000"/>
          <w:sz w:val="22"/>
          <w:szCs w:val="22"/>
        </w:rPr>
        <w:t>5</w:t>
      </w:r>
      <w:r w:rsidR="00272B1C" w:rsidRPr="0002326A">
        <w:rPr>
          <w:rFonts w:ascii="Arial" w:hAnsi="Arial" w:cs="Arial"/>
          <w:color w:val="000000"/>
          <w:sz w:val="22"/>
          <w:szCs w:val="22"/>
        </w:rPr>
        <w:t>G)</w:t>
      </w:r>
      <w:r w:rsidR="005B103D" w:rsidRPr="0002326A">
        <w:rPr>
          <w:rFonts w:ascii="Arial" w:hAnsi="Arial" w:cs="Arial"/>
          <w:color w:val="000000"/>
          <w:sz w:val="22"/>
          <w:szCs w:val="22"/>
        </w:rPr>
        <w:t>.</w:t>
      </w:r>
      <w:r w:rsidR="00272B1C" w:rsidRPr="0002326A">
        <w:rPr>
          <w:rFonts w:ascii="Arial" w:hAnsi="Arial" w:cs="Arial"/>
          <w:color w:val="000000"/>
          <w:sz w:val="22"/>
          <w:szCs w:val="22"/>
        </w:rPr>
        <w:t xml:space="preserve"> This is despite no clear </w:t>
      </w:r>
      <w:r w:rsidR="0006181A" w:rsidRPr="0002326A">
        <w:rPr>
          <w:rFonts w:ascii="Arial" w:hAnsi="Arial" w:cs="Arial"/>
          <w:color w:val="000000"/>
          <w:sz w:val="22"/>
          <w:szCs w:val="22"/>
        </w:rPr>
        <w:t>identification</w:t>
      </w:r>
      <w:r w:rsidR="00272B1C" w:rsidRPr="0002326A">
        <w:rPr>
          <w:rFonts w:ascii="Arial" w:hAnsi="Arial" w:cs="Arial"/>
          <w:color w:val="000000"/>
          <w:sz w:val="22"/>
          <w:szCs w:val="22"/>
        </w:rPr>
        <w:t xml:space="preserve"> of canonical M1 or M2 macrophages</w:t>
      </w:r>
      <w:r w:rsidR="0006181A" w:rsidRPr="0002326A">
        <w:rPr>
          <w:rFonts w:ascii="Arial" w:hAnsi="Arial" w:cs="Arial"/>
          <w:color w:val="000000"/>
          <w:sz w:val="22"/>
          <w:szCs w:val="22"/>
        </w:rPr>
        <w:t xml:space="preserve"> subclusters</w:t>
      </w:r>
      <w:r w:rsidR="00272B1C" w:rsidRPr="0002326A">
        <w:rPr>
          <w:rFonts w:ascii="Arial" w:hAnsi="Arial" w:cs="Arial"/>
          <w:color w:val="000000"/>
          <w:sz w:val="22"/>
          <w:szCs w:val="22"/>
        </w:rPr>
        <w:t xml:space="preserve"> (Figure </w:t>
      </w:r>
      <w:r w:rsidR="00C96B8B">
        <w:rPr>
          <w:rFonts w:ascii="Arial" w:hAnsi="Arial" w:cs="Arial"/>
          <w:color w:val="000000"/>
          <w:sz w:val="22"/>
          <w:szCs w:val="22"/>
        </w:rPr>
        <w:t>5</w:t>
      </w:r>
      <w:r w:rsidR="00272B1C" w:rsidRPr="0002326A">
        <w:rPr>
          <w:rFonts w:ascii="Arial" w:hAnsi="Arial" w:cs="Arial"/>
          <w:color w:val="000000"/>
          <w:sz w:val="22"/>
          <w:szCs w:val="22"/>
        </w:rPr>
        <w:t xml:space="preserve">I). The increased immunogenicity of ccRCC has been tied to upregulation of the antigen presenting machinery expression through MHC-I </w:t>
      </w:r>
      <w:r w:rsidR="00272B1C"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mendeley":{"formattedCitation":"(48)","plainTextFormattedCitation":"(48)","previouslyFormattedCitation":"(48)"},"properties":{"noteIndex":0},"schema":"https://github.com/citation-style-language/schema/raw/master/csl-citation.json"}</w:instrText>
      </w:r>
      <w:r w:rsidR="00272B1C"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(48)</w:t>
      </w:r>
      <w:r w:rsidR="00272B1C" w:rsidRPr="0002326A">
        <w:rPr>
          <w:rFonts w:ascii="Arial" w:hAnsi="Arial" w:cs="Arial"/>
          <w:color w:val="000000"/>
          <w:sz w:val="22"/>
          <w:szCs w:val="22"/>
        </w:rPr>
        <w:fldChar w:fldCharType="end"/>
      </w:r>
      <w:r w:rsidR="00272B1C" w:rsidRPr="0002326A">
        <w:rPr>
          <w:rFonts w:ascii="Arial" w:hAnsi="Arial" w:cs="Arial"/>
          <w:color w:val="000000"/>
          <w:sz w:val="22"/>
          <w:szCs w:val="22"/>
        </w:rPr>
        <w:t>.</w:t>
      </w:r>
      <w:r w:rsidR="005B103D" w:rsidRPr="0002326A">
        <w:rPr>
          <w:rFonts w:ascii="Arial" w:hAnsi="Arial" w:cs="Arial"/>
          <w:color w:val="000000"/>
          <w:sz w:val="22"/>
          <w:szCs w:val="22"/>
        </w:rPr>
        <w:t xml:space="preserve"> </w:t>
      </w:r>
      <w:r w:rsidR="006B42C9">
        <w:rPr>
          <w:rFonts w:ascii="Arial" w:hAnsi="Arial" w:cs="Arial"/>
          <w:color w:val="000000"/>
          <w:sz w:val="22"/>
          <w:szCs w:val="22"/>
        </w:rPr>
        <w:t xml:space="preserve">Across the myeloid subclustering, there was gene enrichment for MHC class I processing and presentation machinery in the DC subsets, while the macrophages had increased MHC class II enrichment (Supplemental Figure 4). </w:t>
      </w:r>
      <w:r w:rsidR="00B015AB" w:rsidRPr="0002326A">
        <w:rPr>
          <w:rFonts w:ascii="Arial" w:hAnsi="Arial" w:cs="Arial"/>
          <w:color w:val="000000"/>
          <w:sz w:val="22"/>
          <w:szCs w:val="22"/>
        </w:rPr>
        <w:t>Although several distinct DC populations were detected and there was a trend for increase in conventional DC1 subsets (subcluster 15) within ccRCC, further analysis was limited by the total number of DCs isolated.</w:t>
      </w:r>
      <w:r w:rsidR="00885FC7" w:rsidRPr="0002326A">
        <w:rPr>
          <w:rFonts w:ascii="Arial" w:hAnsi="Arial" w:cs="Arial"/>
          <w:color w:val="000000"/>
          <w:sz w:val="22"/>
          <w:szCs w:val="22"/>
        </w:rPr>
        <w:t xml:space="preserve"> </w:t>
      </w:r>
      <w:r w:rsidR="006B42C9">
        <w:rPr>
          <w:rFonts w:ascii="Arial" w:hAnsi="Arial" w:cs="Arial"/>
          <w:color w:val="000000"/>
          <w:sz w:val="22"/>
          <w:szCs w:val="22"/>
        </w:rPr>
        <w:t xml:space="preserve">Previous research in ccRCC found an anomalous population </w:t>
      </w:r>
      <w:r w:rsidR="001F7933">
        <w:rPr>
          <w:rFonts w:ascii="Arial" w:hAnsi="Arial" w:cs="Arial"/>
          <w:color w:val="000000"/>
          <w:sz w:val="22"/>
          <w:szCs w:val="22"/>
        </w:rPr>
        <w:t xml:space="preserve">of </w:t>
      </w:r>
      <w:r w:rsidR="006B42C9">
        <w:rPr>
          <w:rFonts w:ascii="Arial" w:hAnsi="Arial" w:cs="Arial"/>
          <w:color w:val="000000"/>
          <w:sz w:val="22"/>
          <w:szCs w:val="22"/>
        </w:rPr>
        <w:t>CD209</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CD14</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CD163</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DC</w:t>
      </w:r>
      <w:r w:rsidR="001F7933">
        <w:rPr>
          <w:rFonts w:ascii="Arial" w:hAnsi="Arial" w:cs="Arial"/>
          <w:color w:val="000000"/>
          <w:sz w:val="22"/>
          <w:szCs w:val="22"/>
        </w:rPr>
        <w:t xml:space="preserve"> with TNFa secretion and Th1-supressive functions corresponding to TAM_1 subcluster by gene expression and not the identified DC subclusters </w:t>
      </w:r>
      <w:r w:rsidR="001F7933">
        <w:rPr>
          <w:rFonts w:ascii="Arial" w:hAnsi="Arial" w:cs="Arial"/>
          <w:color w:val="000000"/>
          <w:sz w:val="22"/>
          <w:szCs w:val="22"/>
        </w:rPr>
        <w:fldChar w:fldCharType="begin" w:fldLock="1"/>
      </w:r>
      <w:r w:rsidR="001F7933">
        <w:rPr>
          <w:rFonts w:ascii="Arial" w:hAnsi="Arial" w:cs="Arial"/>
          <w:color w:val="000000"/>
          <w:sz w:val="22"/>
          <w:szCs w:val="22"/>
        </w:rPr>
        <w:instrText>ADDIN CSL_CITATION {"citationItems":[{"id":"ITEM-1","itemData":{"DOI":"10.1016/j.ajpath.2011.03.011","ISSN":"00029440","abstract":"Tissue dendritic cells (DCs) may influence the progression of renal cell carcinoma (RCC) by regulating the functional capacity of antitumor effector cells. DCs and their interaction with T cells were analyzed in human RCC and control kidney tissues. The frequency of CD209+ DCs in RCCs was found to be associated with an unfavorable TH1 cell balance in the tissue and advanced tumor stages. The CD209+ DCs in RCC were unusual because most of them co-expressed macrophage markers (CD14, CD163). The phenotype of these enriched-in-renal-carcinoma DCs (ercDCs) could be reiterated in vitro by carcinoma-secreted factors (CXCL8/IL-8, IL-6, and vascular endothelial growth factor). ErcDCs resembled conventional DCs in costimulatory molecule expression and antigen cross-presentation. They did not suppress cognate cytotoxic T-lymphocyte function and did not cause CD3ζ down-regulation, FOXP3 induction, or T-cell apoptosis in situ or in vitro; thus, they are different from classic myeloid-derived suppressor cells. ErcDCs secreted high levels of metalloproteinase 9 and used T-cell crosstalk to increase tumor-promoting tumor necrosis factor α and reduce chemokines relevant for TH1- polarized lymphocyte recruitment. This modulation of the tumor environment exerted by ercDCs suggests an immunologic mechanism by which tumor control can fail without involving cytotoxic T-lymphocyte inhibition. Pharmacologic targeting of the deviated DC differentiation could improve the efficacy of immunotherapy against RCC. © 2011 American Society for Investigative Pathology.","author":[{"dropping-particle":"","family":"Figel","given":"Ainhoa M.","non-dropping-particle":"","parse-names":false,"suffix":""},{"dropping-particle":"","family":"Brech","given":"Dorothee","non-dropping-particle":"","parse-names":false,"suffix":""},{"dropping-particle":"","family":"Prinz","given":"Petra U.","non-dropping-particle":"","parse-names":false,"suffix":""},{"dropping-particle":"","family":"Lettenmeyer","given":"Ulrike K.","non-dropping-particle":"","parse-names":false,"suffix":""},{"dropping-particle":"","family":"Eckl","given":"Judith","non-dropping-particle":"","parse-names":false,"suffix":""},{"dropping-particle":"","family":"Turqueti-Neves","given":"Adriana","non-dropping-particle":"","parse-names":false,"suffix":""},{"dropping-particle":"","family":"Mysliwietz","given":"Josef","non-dropping-particle":"","parse-names":false,"suffix":""},{"dropping-particle":"","family":"Anz","given":"David","non-dropping-particle":"","parse-names":false,"suffix":""},{"dropping-particle":"","family":"Rieth","given":"Nicole","non-dropping-particle":"","parse-names":false,"suffix":""},{"dropping-particle":"","family":"Muenchmeier","given":"Niklas","non-dropping-particle":"","parse-names":false,"suffix":""},{"dropping-particle":"","family":"Buchner","given":"Alexander","non-dropping-particle":"","parse-names":false,"suffix":""},{"dropping-particle":"","family":"Porubsky","given":"Stefan","non-dropping-particle":"","parse-names":false,"suffix":""},{"dropping-particle":"","family":"Siegert","given":"Sabine I.","non-dropping-particle":"","parse-names":false,"suffix":""},{"dropping-particle":"","family":"Segerer","given":"Stephan","non-dropping-particle":"","parse-names":false,"suffix":""},{"dropping-particle":"","family":"Nelson","given":"Peter J.","non-dropping-particle":"","parse-names":false,"suffix":""},{"dropping-particle":"","family":"Noessner","given":"Elfriede","non-dropping-particle":"","parse-names":false,"suffix":""}],"container-title":"American Journal of Pathology","id":"ITEM-1","issue":"1","issued":{"date-parts":[["2011"]]},"page":"436-451","title":"Human renal cell carcinoma induces a dendritic cell subset that uses T-cell crosstalk for tumor-permissive Milieu alterations","type":"article-journal","volume":"179"},"uris":["http://www.mendeley.com/documents/?uuid=450e5104-5481-42e1-b1ea-0d232521d09c"]}],"mendeley":{"formattedCitation":"(57)","plainTextFormattedCitation":"(57)"},"properties":{"noteIndex":0},"schema":"https://github.com/citation-style-language/schema/raw/master/csl-citation.json"}</w:instrText>
      </w:r>
      <w:r w:rsidR="001F7933">
        <w:rPr>
          <w:rFonts w:ascii="Arial" w:hAnsi="Arial" w:cs="Arial"/>
          <w:color w:val="000000"/>
          <w:sz w:val="22"/>
          <w:szCs w:val="22"/>
        </w:rPr>
        <w:fldChar w:fldCharType="separate"/>
      </w:r>
      <w:r w:rsidR="001F7933" w:rsidRPr="001F7933">
        <w:rPr>
          <w:rFonts w:ascii="Arial" w:hAnsi="Arial" w:cs="Arial"/>
          <w:noProof/>
          <w:color w:val="000000"/>
          <w:sz w:val="22"/>
          <w:szCs w:val="22"/>
        </w:rPr>
        <w:t>(57)</w:t>
      </w:r>
      <w:r w:rsidR="001F7933">
        <w:rPr>
          <w:rFonts w:ascii="Arial" w:hAnsi="Arial" w:cs="Arial"/>
          <w:color w:val="000000"/>
          <w:sz w:val="22"/>
          <w:szCs w:val="22"/>
        </w:rPr>
        <w:fldChar w:fldCharType="end"/>
      </w:r>
      <w:r w:rsidR="001F7933">
        <w:rPr>
          <w:rFonts w:ascii="Arial" w:hAnsi="Arial" w:cs="Arial"/>
          <w:color w:val="000000"/>
          <w:sz w:val="22"/>
          <w:szCs w:val="22"/>
        </w:rPr>
        <w:t xml:space="preserve">. </w:t>
      </w:r>
    </w:p>
    <w:p w14:paraId="6BCFA4A1" w14:textId="396DEBAE" w:rsidR="00B015AB" w:rsidRDefault="00B015AB" w:rsidP="0038281C">
      <w:pPr>
        <w:pStyle w:val="Paragraph"/>
        <w:snapToGrid w:val="0"/>
        <w:spacing w:line="480" w:lineRule="auto"/>
        <w:ind w:firstLine="0"/>
        <w:rPr>
          <w:rFonts w:ascii="Arial" w:hAnsi="Arial" w:cs="Arial"/>
          <w:color w:val="000000"/>
          <w:sz w:val="22"/>
          <w:szCs w:val="22"/>
        </w:rPr>
      </w:pPr>
    </w:p>
    <w:p w14:paraId="04A54E04" w14:textId="1276CE0E" w:rsidR="0038281C" w:rsidRPr="0002326A" w:rsidRDefault="001F7933" w:rsidP="005148D8">
      <w:pPr>
        <w:spacing w:line="480" w:lineRule="auto"/>
        <w:jc w:val="both"/>
        <w:rPr>
          <w:rFonts w:ascii="Arial" w:hAnsi="Arial" w:cs="Arial"/>
          <w:color w:val="000000"/>
          <w:sz w:val="22"/>
          <w:szCs w:val="22"/>
        </w:rPr>
      </w:pPr>
      <w:r w:rsidRPr="005148D8">
        <w:rPr>
          <w:rFonts w:ascii="Arial" w:hAnsi="Arial" w:cs="Arial"/>
          <w:color w:val="000000"/>
          <w:sz w:val="22"/>
          <w:szCs w:val="22"/>
        </w:rPr>
        <w:t>Our strategy of single cell analysis performed on immune cells taking into consideration the frequencies of lymphoid and myeloid cells during flow sorting provides a powerful way to identify relationship between proportion of cell types and corresponding immune cell states. With the population structure and gene programs defined in our study for multiple immune populations, we showed that though the patients showed variable proportions of lymphoid and myeloid in each cell state, the number of states remain limited. Our study has limitations</w:t>
      </w:r>
      <w:r w:rsidR="005148D8" w:rsidRPr="005148D8">
        <w:rPr>
          <w:rFonts w:ascii="Arial" w:hAnsi="Arial" w:cs="Arial"/>
          <w:color w:val="000000"/>
          <w:sz w:val="22"/>
          <w:szCs w:val="22"/>
        </w:rPr>
        <w:t>, including the small total number of samples (n=7), the rarity of certain cell populations, and the need for further functional characterizations of these immune populations.</w:t>
      </w:r>
      <w:r w:rsidR="005148D8">
        <w:rPr>
          <w:rFonts w:ascii="Arial" w:hAnsi="Arial" w:cs="Arial"/>
          <w:color w:val="000000"/>
          <w:sz w:val="22"/>
          <w:szCs w:val="22"/>
        </w:rPr>
        <w:t xml:space="preserve"> However, taken together, we provide a </w:t>
      </w:r>
      <w:r w:rsidR="005148D8">
        <w:rPr>
          <w:rFonts w:ascii="Arial" w:hAnsi="Arial" w:cs="Arial"/>
          <w:color w:val="000000"/>
          <w:sz w:val="22"/>
          <w:szCs w:val="22"/>
        </w:rPr>
        <w:lastRenderedPageBreak/>
        <w:t xml:space="preserve">transcriptional and clonotypic map of ccRCC immune cells that in hope to gain </w:t>
      </w:r>
      <w:r w:rsidR="0038281C" w:rsidRPr="0002326A">
        <w:rPr>
          <w:rFonts w:ascii="Arial" w:hAnsi="Arial" w:cs="Arial"/>
          <w:color w:val="000000"/>
          <w:sz w:val="22"/>
          <w:szCs w:val="22"/>
        </w:rPr>
        <w:t>insight into biomarkers and therapeutic targets in ccRCC.</w:t>
      </w:r>
    </w:p>
    <w:p w14:paraId="40B311E0" w14:textId="30C1A434" w:rsidR="00496F98" w:rsidRPr="0002326A" w:rsidRDefault="00496F98" w:rsidP="00496F98">
      <w:pPr>
        <w:pStyle w:val="Paragraph"/>
        <w:snapToGrid w:val="0"/>
        <w:ind w:firstLine="0"/>
        <w:rPr>
          <w:rFonts w:ascii="Arial" w:hAnsi="Arial" w:cs="Arial"/>
          <w:color w:val="000000"/>
          <w:sz w:val="22"/>
          <w:szCs w:val="22"/>
        </w:rPr>
      </w:pPr>
    </w:p>
    <w:p w14:paraId="5FD5FDD5" w14:textId="77777777" w:rsidR="00250FBC" w:rsidRPr="0002326A" w:rsidRDefault="00250FBC" w:rsidP="002E4EFB">
      <w:pPr>
        <w:spacing w:line="480" w:lineRule="auto"/>
        <w:jc w:val="both"/>
        <w:rPr>
          <w:rFonts w:ascii="Arial" w:hAnsi="Arial" w:cs="Arial"/>
          <w:sz w:val="22"/>
          <w:szCs w:val="22"/>
        </w:rPr>
      </w:pPr>
    </w:p>
    <w:p w14:paraId="3680F3A4" w14:textId="37F8D37C"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Acknowledgments</w:t>
      </w:r>
    </w:p>
    <w:p w14:paraId="61124083" w14:textId="0DF621F2" w:rsidR="00244E36"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t xml:space="preserve">We thank Michael Knudson, Rita Sigmund, Joe Galbraith, Janice Cook-Granroth, Bethany Kilburg and Celeste Charchalac from University of Iowa Carver College of Medicine, Tissue Procurement Core (TPC) and Genito-Urologic Tissue Repository (GUMER) for receiving biological samples and clinical data. We thank Justin Fishbaugh, Heath Vignes and Michael Shey from the University of Iowa Flow Cytometry Facility. We thank Kevin Knudtson, Mary Boes,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02326A" w:rsidRDefault="00244E36" w:rsidP="002E4EFB">
      <w:pPr>
        <w:spacing w:line="480" w:lineRule="auto"/>
        <w:jc w:val="both"/>
        <w:rPr>
          <w:rFonts w:ascii="Arial" w:hAnsi="Arial" w:cs="Arial"/>
          <w:bCs/>
          <w:color w:val="000000"/>
          <w:sz w:val="22"/>
          <w:szCs w:val="22"/>
        </w:rPr>
      </w:pPr>
    </w:p>
    <w:p w14:paraId="25F8152D"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Funding</w:t>
      </w:r>
    </w:p>
    <w:p w14:paraId="45F9BAE5" w14:textId="450D5474" w:rsidR="00CB2EE0" w:rsidRPr="0002326A" w:rsidRDefault="00244E36" w:rsidP="002E4EFB">
      <w:pPr>
        <w:spacing w:line="480" w:lineRule="auto"/>
        <w:rPr>
          <w:rFonts w:ascii="Arial" w:hAnsi="Arial" w:cs="Arial"/>
          <w:bCs/>
          <w:sz w:val="22"/>
          <w:szCs w:val="22"/>
        </w:rPr>
      </w:pPr>
      <w:r w:rsidRPr="0002326A">
        <w:rPr>
          <w:rFonts w:ascii="Arial" w:hAnsi="Arial" w:cs="Arial"/>
          <w:bCs/>
          <w:sz w:val="22"/>
          <w:szCs w:val="22"/>
        </w:rPr>
        <w:t>Funding for this project was provided</w:t>
      </w:r>
      <w:r w:rsidR="007C3051" w:rsidRPr="0002326A">
        <w:rPr>
          <w:rFonts w:ascii="Arial" w:hAnsi="Arial" w:cs="Arial"/>
          <w:bCs/>
          <w:sz w:val="22"/>
          <w:szCs w:val="22"/>
        </w:rPr>
        <w:t xml:space="preserve"> </w:t>
      </w:r>
      <w:r w:rsidR="007C3051" w:rsidRPr="0002326A">
        <w:rPr>
          <w:rFonts w:ascii="Arial" w:hAnsi="Arial" w:cs="Arial"/>
          <w:bCs/>
          <w:color w:val="000000"/>
          <w:sz w:val="22"/>
          <w:szCs w:val="22"/>
        </w:rPr>
        <w:t xml:space="preserve">by Rock ‘N’ Ride Foundation (PI: Y.Z.) and </w:t>
      </w:r>
      <w:r w:rsidRPr="0002326A">
        <w:rPr>
          <w:rFonts w:ascii="Arial" w:hAnsi="Arial" w:cs="Arial"/>
          <w:bCs/>
          <w:sz w:val="22"/>
          <w:szCs w:val="22"/>
        </w:rPr>
        <w:t>from the National Institute of Health under the R01</w:t>
      </w:r>
      <w:r w:rsidR="007C3051" w:rsidRPr="0002326A">
        <w:rPr>
          <w:rFonts w:ascii="Arial" w:hAnsi="Arial" w:cs="Arial"/>
          <w:bCs/>
          <w:sz w:val="22"/>
          <w:szCs w:val="22"/>
        </w:rPr>
        <w:t xml:space="preserve"> CA200673 (PI: W.Z.), R01 CA203834 (PI: W.Z.), </w:t>
      </w:r>
      <w:r w:rsidRPr="0002326A">
        <w:rPr>
          <w:rFonts w:ascii="Arial" w:hAnsi="Arial" w:cs="Arial"/>
          <w:bCs/>
          <w:sz w:val="22"/>
          <w:szCs w:val="22"/>
        </w:rPr>
        <w:t xml:space="preserve">K08 </w:t>
      </w:r>
      <w:r w:rsidRPr="0002326A">
        <w:rPr>
          <w:rFonts w:ascii="Arial" w:hAnsi="Arial" w:cs="Arial"/>
          <w:bCs/>
          <w:color w:val="000000"/>
          <w:sz w:val="22"/>
          <w:szCs w:val="22"/>
        </w:rPr>
        <w:t>CA226391</w:t>
      </w:r>
      <w:r w:rsidRPr="0002326A">
        <w:rPr>
          <w:rFonts w:ascii="Arial" w:hAnsi="Arial" w:cs="Arial"/>
          <w:bCs/>
          <w:sz w:val="22"/>
          <w:szCs w:val="22"/>
        </w:rPr>
        <w:t xml:space="preserve"> (PI: R.W.J) and F30 CA206255 (PI: N.B.).</w:t>
      </w:r>
      <w:r w:rsidR="007C3051" w:rsidRPr="0002326A">
        <w:rPr>
          <w:rFonts w:ascii="Arial" w:hAnsi="Arial" w:cs="Arial"/>
          <w:bCs/>
          <w:sz w:val="22"/>
          <w:szCs w:val="22"/>
        </w:rPr>
        <w:t xml:space="preserve"> </w:t>
      </w:r>
      <w:r w:rsidR="00CB2EE0" w:rsidRPr="0002326A">
        <w:rPr>
          <w:rFonts w:ascii="Arial" w:hAnsi="Arial" w:cs="Arial"/>
          <w:bCs/>
          <w:color w:val="000000"/>
          <w:sz w:val="22"/>
          <w:szCs w:val="22"/>
        </w:rPr>
        <w:t xml:space="preserve">The flow cytometry </w:t>
      </w:r>
      <w:r w:rsidRPr="0002326A">
        <w:rPr>
          <w:rFonts w:ascii="Arial" w:hAnsi="Arial" w:cs="Arial"/>
          <w:bCs/>
          <w:color w:val="000000"/>
          <w:sz w:val="22"/>
          <w:szCs w:val="22"/>
        </w:rPr>
        <w:t xml:space="preserve">and sequencing </w:t>
      </w:r>
      <w:r w:rsidRPr="0002326A">
        <w:rPr>
          <w:rStyle w:val="Strong"/>
          <w:rFonts w:ascii="Arial" w:hAnsi="Arial" w:cs="Arial"/>
          <w:b w:val="0"/>
          <w:color w:val="000000"/>
          <w:sz w:val="22"/>
          <w:szCs w:val="22"/>
        </w:rPr>
        <w:t xml:space="preserve">facilities are funded </w:t>
      </w:r>
      <w:r w:rsidR="00CB2EE0" w:rsidRPr="0002326A">
        <w:rPr>
          <w:rStyle w:val="Strong"/>
          <w:rFonts w:ascii="Arial" w:hAnsi="Arial" w:cs="Arial"/>
          <w:b w:val="0"/>
          <w:color w:val="000000"/>
          <w:sz w:val="22"/>
          <w:szCs w:val="22"/>
        </w:rPr>
        <w:t xml:space="preserve">in part, by the National Cancer Institute of the National Institutes of Health under Award Number P30CA086862. The </w:t>
      </w:r>
      <w:r w:rsidR="00CB2EE0" w:rsidRPr="0002326A">
        <w:rPr>
          <w:rFonts w:ascii="Arial" w:hAnsi="Arial" w:cs="Arial"/>
          <w:bCs/>
          <w:color w:val="000000"/>
          <w:sz w:val="22"/>
          <w:szCs w:val="22"/>
        </w:rPr>
        <w:t xml:space="preserve">FACSAria Fusion high-speed cell sorter was supported with funds from </w:t>
      </w:r>
      <w:r w:rsidR="00CB2EE0" w:rsidRPr="0002326A">
        <w:rPr>
          <w:rStyle w:val="Strong"/>
          <w:rFonts w:ascii="Arial" w:hAnsi="Arial" w:cs="Arial"/>
          <w:b w:val="0"/>
          <w:color w:val="000000"/>
          <w:sz w:val="22"/>
          <w:szCs w:val="22"/>
        </w:rPr>
        <w:t>the National Center for Research Resources of the National Institutes of Health under Award Number 1 S10 OD016199-01A1.</w:t>
      </w:r>
      <w:r w:rsidR="00CB2EE0" w:rsidRPr="0002326A">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02326A" w:rsidRDefault="00CB2EE0" w:rsidP="002E4EFB">
      <w:pPr>
        <w:spacing w:line="480" w:lineRule="auto"/>
        <w:jc w:val="both"/>
        <w:rPr>
          <w:rFonts w:ascii="Arial" w:hAnsi="Arial" w:cs="Arial"/>
          <w:bCs/>
          <w:color w:val="000000"/>
          <w:sz w:val="22"/>
          <w:szCs w:val="22"/>
        </w:rPr>
      </w:pPr>
    </w:p>
    <w:p w14:paraId="5B8F64C8" w14:textId="488D6C53" w:rsidR="002E4EFB"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Author contributions</w:t>
      </w:r>
    </w:p>
    <w:p w14:paraId="115296DA" w14:textId="66F2C450"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lastRenderedPageBreak/>
        <w:t>Conception and design:</w:t>
      </w:r>
      <w:r w:rsidRPr="0002326A">
        <w:rPr>
          <w:rFonts w:ascii="Arial" w:hAnsi="Arial" w:cs="Arial"/>
          <w:bCs/>
          <w:color w:val="000000"/>
          <w:sz w:val="22"/>
          <w:szCs w:val="22"/>
        </w:rPr>
        <w:t> AV, YZ, WZ</w:t>
      </w:r>
    </w:p>
    <w:p w14:paraId="2871F40D" w14:textId="494BF884"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Development of methodology:</w:t>
      </w:r>
      <w:r w:rsidRPr="0002326A">
        <w:rPr>
          <w:rFonts w:ascii="Arial" w:hAnsi="Arial" w:cs="Arial"/>
          <w:bCs/>
          <w:color w:val="000000"/>
          <w:sz w:val="22"/>
          <w:szCs w:val="22"/>
        </w:rPr>
        <w:t> AV NB WZ</w:t>
      </w:r>
    </w:p>
    <w:p w14:paraId="36AC5BCF" w14:textId="19F5D332"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Acquisition of data:</w:t>
      </w:r>
      <w:r w:rsidRPr="0002326A">
        <w:rPr>
          <w:rFonts w:ascii="Arial" w:hAnsi="Arial" w:cs="Arial"/>
          <w:bCs/>
          <w:color w:val="000000"/>
          <w:sz w:val="22"/>
          <w:szCs w:val="22"/>
        </w:rPr>
        <w:t> KN, YZ, AV</w:t>
      </w:r>
    </w:p>
    <w:p w14:paraId="0D4AD9D0" w14:textId="699CD9E6"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Analysis and interpretation of data:</w:t>
      </w:r>
      <w:r w:rsidRPr="0002326A">
        <w:rPr>
          <w:rFonts w:ascii="Arial" w:hAnsi="Arial" w:cs="Arial"/>
          <w:bCs/>
          <w:color w:val="000000"/>
          <w:sz w:val="22"/>
          <w:szCs w:val="22"/>
        </w:rPr>
        <w:t> NB AV AS RWJ WZ YZ</w:t>
      </w:r>
    </w:p>
    <w:p w14:paraId="0B92AA3A" w14:textId="75FE7757"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Writing, review, and/or revision of the manuscript:</w:t>
      </w:r>
      <w:r w:rsidRPr="0002326A">
        <w:rPr>
          <w:rFonts w:ascii="Arial" w:hAnsi="Arial" w:cs="Arial"/>
          <w:bCs/>
          <w:color w:val="000000"/>
          <w:sz w:val="22"/>
          <w:szCs w:val="22"/>
        </w:rPr>
        <w:t> AV NB AS RWJ WZ YZ</w:t>
      </w:r>
    </w:p>
    <w:p w14:paraId="3E3530E1" w14:textId="7F5A620E"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Fonts w:ascii="Arial" w:hAnsi="Arial" w:cs="Arial"/>
          <w:bCs/>
          <w:color w:val="000000"/>
          <w:sz w:val="22"/>
          <w:szCs w:val="22"/>
        </w:rPr>
        <w:t>Supervision: YZ, WZ, RWJ</w:t>
      </w:r>
    </w:p>
    <w:p w14:paraId="2A0ABB8C" w14:textId="77777777" w:rsidR="00CB2EE0" w:rsidRPr="0002326A" w:rsidRDefault="00CB2EE0" w:rsidP="002E4EFB">
      <w:pPr>
        <w:spacing w:line="480" w:lineRule="auto"/>
        <w:jc w:val="both"/>
        <w:rPr>
          <w:rFonts w:ascii="Arial" w:hAnsi="Arial" w:cs="Arial"/>
          <w:bCs/>
          <w:color w:val="000000"/>
          <w:sz w:val="22"/>
          <w:szCs w:val="22"/>
        </w:rPr>
      </w:pPr>
    </w:p>
    <w:p w14:paraId="4BE4ED16"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Declaration of interests</w:t>
      </w:r>
    </w:p>
    <w:p w14:paraId="6BCDA515" w14:textId="1362AF1F" w:rsidR="00CB2EE0"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t xml:space="preserve">Dr. Russell W. Jenkins has a financial interest in XSphera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02326A" w:rsidRDefault="00CB2EE0" w:rsidP="002E4EFB">
      <w:pPr>
        <w:spacing w:line="480" w:lineRule="auto"/>
        <w:jc w:val="both"/>
        <w:rPr>
          <w:rFonts w:ascii="Arial" w:hAnsi="Arial" w:cs="Arial"/>
          <w:bCs/>
          <w:color w:val="000000"/>
          <w:sz w:val="22"/>
          <w:szCs w:val="22"/>
        </w:rPr>
      </w:pPr>
    </w:p>
    <w:p w14:paraId="34DCA781"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 xml:space="preserve">Data and materials availability: </w:t>
      </w:r>
    </w:p>
    <w:p w14:paraId="458140FD" w14:textId="41603B00" w:rsidR="00CB2EE0" w:rsidRPr="0002326A" w:rsidRDefault="00CB2EE0" w:rsidP="002E4EFB">
      <w:pPr>
        <w:spacing w:line="480" w:lineRule="auto"/>
        <w:jc w:val="both"/>
        <w:rPr>
          <w:rFonts w:ascii="Arial" w:hAnsi="Arial" w:cs="Arial"/>
          <w:bCs/>
          <w:sz w:val="22"/>
          <w:szCs w:val="22"/>
        </w:rPr>
      </w:pPr>
      <w:r w:rsidRPr="0002326A">
        <w:rPr>
          <w:rFonts w:ascii="Arial" w:hAnsi="Arial" w:cs="Arial"/>
          <w:bCs/>
          <w:color w:val="000000"/>
          <w:sz w:val="22"/>
          <w:szCs w:val="22"/>
        </w:rPr>
        <w:t>Quantified gene expression counts</w:t>
      </w:r>
      <w:r w:rsidR="00244E36" w:rsidRPr="0002326A">
        <w:rPr>
          <w:rFonts w:ascii="Arial" w:hAnsi="Arial" w:cs="Arial"/>
          <w:bCs/>
          <w:color w:val="000000"/>
          <w:sz w:val="22"/>
          <w:szCs w:val="22"/>
        </w:rPr>
        <w:t xml:space="preserve"> </w:t>
      </w:r>
      <w:r w:rsidRPr="0002326A">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02326A">
          <w:rPr>
            <w:rStyle w:val="Hyperlink"/>
            <w:rFonts w:ascii="Arial" w:hAnsi="Arial" w:cs="Arial"/>
            <w:bCs/>
            <w:color w:val="000000"/>
            <w:sz w:val="22"/>
            <w:szCs w:val="22"/>
          </w:rPr>
          <w:t>GSE121638</w:t>
        </w:r>
      </w:hyperlink>
      <w:r w:rsidRPr="0002326A">
        <w:rPr>
          <w:rFonts w:ascii="Arial" w:hAnsi="Arial" w:cs="Arial"/>
          <w:bCs/>
          <w:color w:val="000000"/>
          <w:sz w:val="22"/>
          <w:szCs w:val="22"/>
        </w:rPr>
        <w:t xml:space="preserve">. </w:t>
      </w:r>
      <w:r w:rsidR="00244E36" w:rsidRPr="0002326A">
        <w:rPr>
          <w:rFonts w:ascii="Arial" w:hAnsi="Arial" w:cs="Arial"/>
          <w:bCs/>
          <w:color w:val="000000"/>
          <w:sz w:val="22"/>
          <w:szCs w:val="22"/>
        </w:rPr>
        <w:t xml:space="preserve">Code for the analysis and visualizations are available at </w:t>
      </w:r>
      <w:hyperlink r:id="rId11" w:history="1">
        <w:r w:rsidR="00244E36" w:rsidRPr="0002326A">
          <w:rPr>
            <w:rStyle w:val="Hyperlink"/>
            <w:rFonts w:ascii="Arial" w:hAnsi="Arial" w:cs="Arial"/>
            <w:bCs/>
            <w:sz w:val="22"/>
            <w:szCs w:val="22"/>
          </w:rPr>
          <w:t>https://github.com/ncborcherding/ccRCC</w:t>
        </w:r>
      </w:hyperlink>
    </w:p>
    <w:p w14:paraId="23C43ECD" w14:textId="3AAA031C" w:rsidR="002E4EFB" w:rsidRPr="0002326A" w:rsidRDefault="002E4EFB" w:rsidP="002E4EFB">
      <w:pPr>
        <w:spacing w:line="480" w:lineRule="auto"/>
        <w:jc w:val="both"/>
        <w:rPr>
          <w:rFonts w:ascii="Arial" w:hAnsi="Arial" w:cs="Arial"/>
          <w:bCs/>
          <w:sz w:val="22"/>
          <w:szCs w:val="22"/>
        </w:rPr>
      </w:pPr>
    </w:p>
    <w:p w14:paraId="27460B56" w14:textId="017FFAF3" w:rsidR="002E4EFB" w:rsidRPr="0002326A" w:rsidRDefault="002E4EFB" w:rsidP="002E4EFB">
      <w:pPr>
        <w:spacing w:line="480" w:lineRule="auto"/>
        <w:jc w:val="both"/>
        <w:rPr>
          <w:rFonts w:ascii="Arial" w:hAnsi="Arial" w:cs="Arial"/>
          <w:b/>
          <w:sz w:val="22"/>
          <w:szCs w:val="22"/>
        </w:rPr>
      </w:pPr>
      <w:r w:rsidRPr="0002326A">
        <w:rPr>
          <w:rFonts w:ascii="Arial" w:hAnsi="Arial" w:cs="Arial"/>
          <w:b/>
          <w:sz w:val="22"/>
          <w:szCs w:val="22"/>
        </w:rPr>
        <w:t>References</w:t>
      </w:r>
    </w:p>
    <w:p w14:paraId="55DB7A2A" w14:textId="6314F453" w:rsidR="001F7933" w:rsidRPr="001F7933" w:rsidRDefault="002E4EFB" w:rsidP="001F7933">
      <w:pPr>
        <w:widowControl w:val="0"/>
        <w:autoSpaceDE w:val="0"/>
        <w:autoSpaceDN w:val="0"/>
        <w:adjustRightInd w:val="0"/>
        <w:spacing w:line="480" w:lineRule="auto"/>
        <w:ind w:left="640" w:hanging="640"/>
        <w:rPr>
          <w:rFonts w:ascii="Arial" w:hAnsi="Arial" w:cs="Arial"/>
          <w:noProof/>
          <w:sz w:val="22"/>
        </w:rPr>
      </w:pPr>
      <w:r w:rsidRPr="0002326A">
        <w:rPr>
          <w:rFonts w:ascii="Arial" w:hAnsi="Arial" w:cs="Arial"/>
          <w:bCs/>
          <w:color w:val="000000"/>
          <w:sz w:val="22"/>
          <w:szCs w:val="22"/>
        </w:rPr>
        <w:fldChar w:fldCharType="begin" w:fldLock="1"/>
      </w:r>
      <w:r w:rsidRPr="0002326A">
        <w:rPr>
          <w:rFonts w:ascii="Arial" w:hAnsi="Arial" w:cs="Arial"/>
          <w:bCs/>
          <w:color w:val="000000"/>
          <w:sz w:val="22"/>
          <w:szCs w:val="22"/>
        </w:rPr>
        <w:instrText xml:space="preserve">ADDIN Mendeley Bibliography CSL_BIBLIOGRAPHY </w:instrText>
      </w:r>
      <w:r w:rsidRPr="0002326A">
        <w:rPr>
          <w:rFonts w:ascii="Arial" w:hAnsi="Arial" w:cs="Arial"/>
          <w:bCs/>
          <w:color w:val="000000"/>
          <w:sz w:val="22"/>
          <w:szCs w:val="22"/>
        </w:rPr>
        <w:fldChar w:fldCharType="separate"/>
      </w:r>
      <w:r w:rsidR="001F7933" w:rsidRPr="001F7933">
        <w:rPr>
          <w:rFonts w:ascii="Arial" w:hAnsi="Arial" w:cs="Arial"/>
          <w:noProof/>
          <w:sz w:val="22"/>
        </w:rPr>
        <w:t xml:space="preserve">1. </w:t>
      </w:r>
      <w:r w:rsidR="001F7933" w:rsidRPr="001F7933">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5FEA71C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 </w:t>
      </w:r>
      <w:r w:rsidRPr="001F7933">
        <w:rPr>
          <w:rFonts w:ascii="Arial" w:hAnsi="Arial" w:cs="Arial"/>
          <w:noProof/>
          <w:sz w:val="22"/>
        </w:rPr>
        <w:tab/>
        <w:t xml:space="preserve">Koneru R, Hotte SJ. Role of cytokine therapy for renal cell carcinoma in the era of targeted agents. Curr Oncol. Multimed Inc.; 2009;16:S40. </w:t>
      </w:r>
    </w:p>
    <w:p w14:paraId="401BB4F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 </w:t>
      </w:r>
      <w:r w:rsidRPr="001F7933">
        <w:rPr>
          <w:rFonts w:ascii="Arial" w:hAnsi="Arial" w:cs="Arial"/>
          <w:noProof/>
          <w:sz w:val="22"/>
        </w:rPr>
        <w:tab/>
        <w:t xml:space="preserve">Motzer RJ, Penkov K, Haanen J, Rini B, Albiges L, Campbell MT, et al. Avelumab plus </w:t>
      </w:r>
      <w:r w:rsidRPr="001F7933">
        <w:rPr>
          <w:rFonts w:ascii="Arial" w:hAnsi="Arial" w:cs="Arial"/>
          <w:noProof/>
          <w:sz w:val="22"/>
        </w:rPr>
        <w:lastRenderedPageBreak/>
        <w:t xml:space="preserve">axitinib versus sunitinib for advanced renal-cell carcinoma. N Engl J Med. 2019;380:1103–15. </w:t>
      </w:r>
    </w:p>
    <w:p w14:paraId="01F9264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 </w:t>
      </w:r>
      <w:r w:rsidRPr="001F793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4E3DD8B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 </w:t>
      </w:r>
      <w:r w:rsidRPr="001F7933">
        <w:rPr>
          <w:rFonts w:ascii="Arial" w:hAnsi="Arial" w:cs="Arial"/>
          <w:noProof/>
          <w:sz w:val="22"/>
        </w:rPr>
        <w:tab/>
        <w:t xml:space="preserve">Sharma P, Allison JP. Immune checkpoint targeting in cancer therapy: Toward combination strategies with curative potential. Cell. 2015;161:205–14. </w:t>
      </w:r>
    </w:p>
    <w:p w14:paraId="35AEDDE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6. </w:t>
      </w:r>
      <w:r w:rsidRPr="001F793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2015;21:3031–40. </w:t>
      </w:r>
    </w:p>
    <w:p w14:paraId="10841BC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7. </w:t>
      </w:r>
      <w:r w:rsidRPr="001F7933">
        <w:rPr>
          <w:rFonts w:ascii="Arial" w:hAnsi="Arial" w:cs="Arial"/>
          <w:noProof/>
          <w:sz w:val="22"/>
        </w:rPr>
        <w:tab/>
        <w:t xml:space="preserve">Tumeh PC, Harview CL, Yearley JH, Shintaku IP, Taylor EJM, Robert L, et al. PD-1 blockade induces responses by inhibiting adaptive immune resistance. Nature. 2014;515:568–71. </w:t>
      </w:r>
    </w:p>
    <w:p w14:paraId="372B270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8. </w:t>
      </w:r>
      <w:r w:rsidRPr="001F7933">
        <w:rPr>
          <w:rFonts w:ascii="Arial" w:hAnsi="Arial" w:cs="Arial"/>
          <w:noProof/>
          <w:sz w:val="22"/>
        </w:rPr>
        <w:tab/>
        <w:t xml:space="preserve">Galon J, Fox BA, Bifulco CB, Masucci G, Rau T, Botti G, et al. Immunoscore and Immunoprofiling in cancer: An update from the melanoma and immunotherapy bridge 2015. J Transl Med. 2016;4. </w:t>
      </w:r>
    </w:p>
    <w:p w14:paraId="0D84B05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9. </w:t>
      </w:r>
      <w:r w:rsidRPr="001F7933">
        <w:rPr>
          <w:rFonts w:ascii="Arial" w:hAnsi="Arial" w:cs="Arial"/>
          <w:noProof/>
          <w:sz w:val="22"/>
        </w:rPr>
        <w:tab/>
        <w:t xml:space="preserve">Ziai J, Gilbert HN, Foreman O, Eastham-Anderson J, Chu F, Huseni M, et al. CD8+ T cell infiltration in breast and colon cancer: A histologic and statistical analysis. PLoS One. 2018;13:e0190158. </w:t>
      </w:r>
    </w:p>
    <w:p w14:paraId="366E35C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10. </w:t>
      </w:r>
      <w:r w:rsidRPr="001F7933">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2019;8:80–93. </w:t>
      </w:r>
    </w:p>
    <w:p w14:paraId="3D10E46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11. </w:t>
      </w:r>
      <w:r w:rsidRPr="001F7933">
        <w:rPr>
          <w:rFonts w:ascii="Arial" w:hAnsi="Arial" w:cs="Arial"/>
          <w:noProof/>
          <w:sz w:val="22"/>
        </w:rPr>
        <w:tab/>
        <w:t xml:space="preserve">Borcherding N, Kolb R, Gullicksrud J, Vikas P, Zhu Y, Zhang W. Keeping Tumors in Check: A Mechanistic Review of Clinical Response and Resistance to Immune </w:t>
      </w:r>
      <w:r w:rsidRPr="001F7933">
        <w:rPr>
          <w:rFonts w:ascii="Arial" w:hAnsi="Arial" w:cs="Arial"/>
          <w:noProof/>
          <w:sz w:val="22"/>
        </w:rPr>
        <w:lastRenderedPageBreak/>
        <w:t xml:space="preserve">Checkpoint Blockade in Cancer. J Mol Biol. 2018;430:2014–29. </w:t>
      </w:r>
    </w:p>
    <w:p w14:paraId="4C176BEE"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12. </w:t>
      </w:r>
      <w:r w:rsidRPr="001F7933">
        <w:rPr>
          <w:rFonts w:ascii="Arial" w:hAnsi="Arial" w:cs="Arial"/>
          <w:noProof/>
          <w:sz w:val="22"/>
        </w:rPr>
        <w:tab/>
        <w:t xml:space="preserve">Patel HD, Puligandla M, Shuch BM, Leibovich BC, Kapoor A, Master VA, et al. The future of perioperative therapy in advanced renal cell carcinoma: How can we PROSPER? Futur Oncol. 2019;15:1683–95. </w:t>
      </w:r>
    </w:p>
    <w:p w14:paraId="399476DB"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13. </w:t>
      </w:r>
      <w:r w:rsidRPr="001F7933">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2001;61:5132–6. </w:t>
      </w:r>
    </w:p>
    <w:p w14:paraId="0FA090E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14. </w:t>
      </w:r>
      <w:r w:rsidRPr="001F793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2015;6:24990. </w:t>
      </w:r>
    </w:p>
    <w:p w14:paraId="1DE352C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15. </w:t>
      </w:r>
      <w:r w:rsidRPr="001F7933">
        <w:rPr>
          <w:rFonts w:ascii="Arial" w:hAnsi="Arial" w:cs="Arial"/>
          <w:noProof/>
          <w:sz w:val="22"/>
        </w:rPr>
        <w:tab/>
        <w:t xml:space="preserve">Braun DA, Hou Y, Bakouny Z, Ficial M, Sant’ Angelo M, Forman J, et al. Interplay of somatic alterations and immune infiltration modulates response to PD-1 blockade in advanced clear cell renal cell carcinoma. Nat Med. 2020;26:909–18. </w:t>
      </w:r>
    </w:p>
    <w:p w14:paraId="34EC190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16. </w:t>
      </w:r>
      <w:r w:rsidRPr="001F793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2019;37:101. </w:t>
      </w:r>
    </w:p>
    <w:p w14:paraId="6088EEDE"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17. </w:t>
      </w:r>
      <w:r w:rsidRPr="001F793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2018;19:451–60. </w:t>
      </w:r>
    </w:p>
    <w:p w14:paraId="0040A5E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18. </w:t>
      </w:r>
      <w:r w:rsidRPr="001F7933">
        <w:rPr>
          <w:rFonts w:ascii="Arial" w:hAnsi="Arial" w:cs="Arial"/>
          <w:noProof/>
          <w:sz w:val="22"/>
        </w:rPr>
        <w:tab/>
        <w:t xml:space="preserve">Chevrier S, Levine JH, Zanotelli VRT, Silina K, Schulz D, Bacac M, et al. An Immune Atlas of Clear Cell Renal Cell Carcinoma. Cell. 2017;169:736–49. </w:t>
      </w:r>
    </w:p>
    <w:p w14:paraId="4B283314"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19. </w:t>
      </w:r>
      <w:r w:rsidRPr="001F7933">
        <w:rPr>
          <w:rFonts w:ascii="Arial" w:hAnsi="Arial" w:cs="Arial"/>
          <w:noProof/>
          <w:sz w:val="22"/>
        </w:rPr>
        <w:tab/>
        <w:t xml:space="preserve">Creighton CJ, Morgan M, Gunaratne PH, Wheeler DA, Gibbs RA, Robertson G, et al. Comprehensivemolecular characterization of clear cell renal cell carcinoma. Nature. 2013;499:43–9. </w:t>
      </w:r>
    </w:p>
    <w:p w14:paraId="603C62A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20. </w:t>
      </w:r>
      <w:r w:rsidRPr="001F7933">
        <w:rPr>
          <w:rFonts w:ascii="Arial" w:hAnsi="Arial" w:cs="Arial"/>
          <w:noProof/>
          <w:sz w:val="22"/>
        </w:rPr>
        <w:tab/>
        <w:t xml:space="preserve">Van Den Heuvel CNAM, Van Ewijk A, Zeelen C, De Bitter T, Huynen M, Mulders P, et al. </w:t>
      </w:r>
      <w:r w:rsidRPr="001F7933">
        <w:rPr>
          <w:rFonts w:ascii="Arial" w:hAnsi="Arial" w:cs="Arial"/>
          <w:noProof/>
          <w:sz w:val="22"/>
        </w:rPr>
        <w:lastRenderedPageBreak/>
        <w:t xml:space="preserve">Molecular profiling of druggable targets in clear cell renal cell carcinoma through targeted RNA sequencing. Front Oncol. 2019;9:117. </w:t>
      </w:r>
    </w:p>
    <w:p w14:paraId="07A1877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21. </w:t>
      </w:r>
      <w:r w:rsidRPr="001F7933">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2018;24:986–93. </w:t>
      </w:r>
    </w:p>
    <w:p w14:paraId="5AD6E88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22. </w:t>
      </w:r>
      <w:r w:rsidRPr="001F7933">
        <w:rPr>
          <w:rFonts w:ascii="Arial" w:hAnsi="Arial" w:cs="Arial"/>
          <w:noProof/>
          <w:sz w:val="22"/>
        </w:rPr>
        <w:tab/>
        <w:t xml:space="preserve">Sade-Feldman M, Yizhak K, Bjorgaard SL, Ray JP, de Boer CG, Jenkins RW, et al. Defining T Cell States Associated with Response to Checkpoint Immunotherapy in Melanoma. Cell. 2018;175:998–1013. </w:t>
      </w:r>
    </w:p>
    <w:p w14:paraId="01A3460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23. </w:t>
      </w:r>
      <w:r w:rsidRPr="001F7933">
        <w:rPr>
          <w:rFonts w:ascii="Arial" w:hAnsi="Arial" w:cs="Arial"/>
          <w:noProof/>
          <w:sz w:val="22"/>
        </w:rPr>
        <w:tab/>
        <w:t xml:space="preserve">Geissler K, Fornara P, Lautenschläger C, Holzhausen HJ, Seliger B, Riemann D. Immune signature of tumor infiltrating immune cells in renal cancer. Oncoimmunology. 2015;4:e985082. </w:t>
      </w:r>
    </w:p>
    <w:p w14:paraId="6FC2633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24. </w:t>
      </w:r>
      <w:r w:rsidRPr="001F7933">
        <w:rPr>
          <w:rFonts w:ascii="Arial" w:hAnsi="Arial" w:cs="Arial"/>
          <w:noProof/>
          <w:sz w:val="22"/>
        </w:rPr>
        <w:tab/>
        <w:t xml:space="preserve">Chung W, Eum HH, Lee HO, Lee KM, Lee HB, Kim KT, et al. Single-cell RNA-seq enables comprehensive tumour and immune cell profiling in primary breast cancer. Nat Commun. 2017;8:1–12. </w:t>
      </w:r>
    </w:p>
    <w:p w14:paraId="0F652BA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25. </w:t>
      </w:r>
      <w:r w:rsidRPr="001F7933">
        <w:rPr>
          <w:rFonts w:ascii="Arial" w:hAnsi="Arial" w:cs="Arial"/>
          <w:noProof/>
          <w:sz w:val="22"/>
        </w:rPr>
        <w:tab/>
        <w:t xml:space="preserve">Azizi E, Carr AJ, Plitas G, Cornish AE, Konopacki C, Prabhakaran S, et al. Single-Cell Map of Diverse Immune Phenotypes in the Breast Tumor Microenvironment. Cell. 2018;174:1293–308. </w:t>
      </w:r>
    </w:p>
    <w:p w14:paraId="374919B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26. </w:t>
      </w:r>
      <w:r w:rsidRPr="001F7933">
        <w:rPr>
          <w:rFonts w:ascii="Arial" w:hAnsi="Arial" w:cs="Arial"/>
          <w:noProof/>
          <w:sz w:val="22"/>
        </w:rPr>
        <w:tab/>
        <w:t xml:space="preserve">Guo X, Zhang Y, Zheng L, Zheng C, Song J, Zhang Q, et al. Global characterization of T cells in non-small-cell lung cancer by single-cell sequencing. Nat Med. 2018;24:978–85. </w:t>
      </w:r>
    </w:p>
    <w:p w14:paraId="0A6C25C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27. </w:t>
      </w:r>
      <w:r w:rsidRPr="001F7933">
        <w:rPr>
          <w:rFonts w:ascii="Arial" w:hAnsi="Arial" w:cs="Arial"/>
          <w:noProof/>
          <w:sz w:val="22"/>
        </w:rPr>
        <w:tab/>
        <w:t xml:space="preserve">Tirosh I, Izar B, Prakadan SM, Wadsworth MH, Treacy D, Trombetta JJ, et al. Dissecting the multicellular ecosystem of metastatic melanoma by single-cell RNA-seq. Science (80- ). 2016;352:189–96. </w:t>
      </w:r>
    </w:p>
    <w:p w14:paraId="71F0E6E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28. </w:t>
      </w:r>
      <w:r w:rsidRPr="001F793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2017;114:e10409-10417. </w:t>
      </w:r>
    </w:p>
    <w:p w14:paraId="41D80A6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29. </w:t>
      </w:r>
      <w:r w:rsidRPr="001F7933">
        <w:rPr>
          <w:rFonts w:ascii="Arial" w:hAnsi="Arial" w:cs="Arial"/>
          <w:noProof/>
          <w:sz w:val="22"/>
        </w:rPr>
        <w:tab/>
        <w:t xml:space="preserve">Zheng C, Zheng L, Yoo JK, Guo H, Zhang Y, Guo X, et al. Landscape of Infiltrating T </w:t>
      </w:r>
      <w:r w:rsidRPr="001F7933">
        <w:rPr>
          <w:rFonts w:ascii="Arial" w:hAnsi="Arial" w:cs="Arial"/>
          <w:noProof/>
          <w:sz w:val="22"/>
        </w:rPr>
        <w:lastRenderedPageBreak/>
        <w:t xml:space="preserve">Cells in Liver Cancer Revealed by Single-Cell Sequencing. Cell. 2017;169:1342–56. </w:t>
      </w:r>
    </w:p>
    <w:p w14:paraId="1815136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30. </w:t>
      </w:r>
      <w:r w:rsidRPr="001F7933">
        <w:rPr>
          <w:rFonts w:ascii="Arial" w:hAnsi="Arial" w:cs="Arial"/>
          <w:noProof/>
          <w:sz w:val="22"/>
        </w:rPr>
        <w:tab/>
        <w:t xml:space="preserve">Baldan V, Griffiths R, Hawkins RE, Gilham DE. Efficient and reproducible generation of tumour-infiltrating lymphocytes for renal cell carcinoma. Br J Cancer. 2015;112:1510–8. </w:t>
      </w:r>
    </w:p>
    <w:p w14:paraId="7B95158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31. </w:t>
      </w:r>
      <w:r w:rsidRPr="001F7933">
        <w:rPr>
          <w:rFonts w:ascii="Arial" w:hAnsi="Arial" w:cs="Arial"/>
          <w:noProof/>
          <w:sz w:val="22"/>
        </w:rPr>
        <w:tab/>
        <w:t xml:space="preserve">Young MD, Mitchell TJ, Vieira Braga FA, Tran MGB, Stewart BJ, Ferdinand JR, et al. Single-cell transcriptomes from human kidneys reveal the cellular identity of renal tumors. Science (80- ). 2018;361:594–9. </w:t>
      </w:r>
    </w:p>
    <w:p w14:paraId="2168AD9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32. </w:t>
      </w:r>
      <w:r w:rsidRPr="001F7933">
        <w:rPr>
          <w:rFonts w:ascii="Arial" w:hAnsi="Arial" w:cs="Arial"/>
          <w:noProof/>
          <w:sz w:val="22"/>
        </w:rPr>
        <w:tab/>
        <w:t xml:space="preserve">Stuart T, Butler A, Hoffman P, Hafemeister C, Papalexi E, Mauck WM, et al. Comprehensive Integration of Single-Cell Data. Cell. 2019;177:1888–902. </w:t>
      </w:r>
    </w:p>
    <w:p w14:paraId="47D8854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33. </w:t>
      </w:r>
      <w:r w:rsidRPr="001F7933">
        <w:rPr>
          <w:rFonts w:ascii="Arial" w:hAnsi="Arial" w:cs="Arial"/>
          <w:noProof/>
          <w:sz w:val="22"/>
        </w:rPr>
        <w:tab/>
        <w:t xml:space="preserve">Butler A, Hoffman P, Smibert P, Papalexi E, Satija R. Integrating single-cell transcriptomic data across different conditions, technologies, and species. Nat Biotechnol. 2018;36:411–20. </w:t>
      </w:r>
    </w:p>
    <w:p w14:paraId="587E8FB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34. </w:t>
      </w:r>
      <w:r w:rsidRPr="001F7933">
        <w:rPr>
          <w:rFonts w:ascii="Arial" w:hAnsi="Arial" w:cs="Arial"/>
          <w:noProof/>
          <w:sz w:val="22"/>
        </w:rPr>
        <w:tab/>
        <w:t xml:space="preserve">Hafemeister C, Satija R. Normalization and variance stabilization of single-cell RNA-seq data using regularized negative binomial regression. Genome Biol. 2019;20:1–15. </w:t>
      </w:r>
    </w:p>
    <w:p w14:paraId="0A5C814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35. </w:t>
      </w:r>
      <w:r w:rsidRPr="001F7933">
        <w:rPr>
          <w:rFonts w:ascii="Arial" w:hAnsi="Arial" w:cs="Arial"/>
          <w:noProof/>
          <w:sz w:val="22"/>
        </w:rPr>
        <w:tab/>
        <w:t xml:space="preserve">Nestorowa S, Hamey FK, Pijuan Sala B, Diamanti E, Shepherd M, Laurenti E, et al. A single-cell resolution map of mouse hematopoietic stem and progenitor cell differentiation. Blood. 2016;128:e20-31. </w:t>
      </w:r>
    </w:p>
    <w:p w14:paraId="19D7545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36. </w:t>
      </w:r>
      <w:r w:rsidRPr="001F7933">
        <w:rPr>
          <w:rFonts w:ascii="Arial" w:hAnsi="Arial" w:cs="Arial"/>
          <w:noProof/>
          <w:sz w:val="22"/>
        </w:rPr>
        <w:tab/>
        <w:t xml:space="preserve">Aran D, Looney AP, Liu L, Wu E, Fong V, Hsu A, et al. Reference-based analysis of lung single-cell sequencing reveals a transitional profibrotic macrophage. Nat Immunol. 2019;20:163–72. </w:t>
      </w:r>
    </w:p>
    <w:p w14:paraId="74CA2F4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37. </w:t>
      </w:r>
      <w:r w:rsidRPr="001F7933">
        <w:rPr>
          <w:rFonts w:ascii="Arial" w:hAnsi="Arial" w:cs="Arial"/>
          <w:noProof/>
          <w:sz w:val="22"/>
        </w:rPr>
        <w:tab/>
        <w:t xml:space="preserve">Dunham I, Kundaje A, Aldred SF, Collins PJ, Davis CA, Doyle F, et al. An integrated encyclopedia of DNA elements in the human genome. Nature. 2012;489:57–74. </w:t>
      </w:r>
    </w:p>
    <w:p w14:paraId="0B852CD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38. </w:t>
      </w:r>
      <w:r w:rsidRPr="001F7933">
        <w:rPr>
          <w:rFonts w:ascii="Arial" w:hAnsi="Arial" w:cs="Arial"/>
          <w:noProof/>
          <w:sz w:val="22"/>
        </w:rPr>
        <w:tab/>
        <w:t xml:space="preserve">Borcherding N, Bormann NL. scRepertoire: An R-based toolkit for single-cell immune receptor analysis. F1000Research. 2020;9:47. </w:t>
      </w:r>
    </w:p>
    <w:p w14:paraId="0F16BAE2"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39. </w:t>
      </w:r>
      <w:r w:rsidRPr="001F7933">
        <w:rPr>
          <w:rFonts w:ascii="Arial" w:hAnsi="Arial" w:cs="Arial"/>
          <w:noProof/>
          <w:sz w:val="22"/>
        </w:rPr>
        <w:tab/>
        <w:t xml:space="preserve">Street K, Risso D, Fletcher RB, Das D, Ngai J, Yosef N, et al. Slingshot: Cell lineage and pseudotime inference for single-cell transcriptomics. BMC Genomics. 2018;19:477. </w:t>
      </w:r>
    </w:p>
    <w:p w14:paraId="760C241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40. </w:t>
      </w:r>
      <w:r w:rsidRPr="001F7933">
        <w:rPr>
          <w:rFonts w:ascii="Arial" w:hAnsi="Arial" w:cs="Arial"/>
          <w:noProof/>
          <w:sz w:val="22"/>
        </w:rPr>
        <w:tab/>
        <w:t xml:space="preserve">Apetoh L, Smyth MJ, Drake CG, Abastado JP, Apte RN, Ayyoub M, et al. Consensus </w:t>
      </w:r>
      <w:r w:rsidRPr="001F7933">
        <w:rPr>
          <w:rFonts w:ascii="Arial" w:hAnsi="Arial" w:cs="Arial"/>
          <w:noProof/>
          <w:sz w:val="22"/>
        </w:rPr>
        <w:lastRenderedPageBreak/>
        <w:t xml:space="preserve">nomenclature for CD8+ T cell phenotypes in cancer. Oncoimmunology. 2015;4:e998538. </w:t>
      </w:r>
    </w:p>
    <w:p w14:paraId="4AD1D58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41. </w:t>
      </w:r>
      <w:r w:rsidRPr="001F7933">
        <w:rPr>
          <w:rFonts w:ascii="Arial" w:hAnsi="Arial" w:cs="Arial"/>
          <w:noProof/>
          <w:sz w:val="22"/>
        </w:rPr>
        <w:tab/>
        <w:t>Luecken MD, Theis FJ. Current best practices in single</w:t>
      </w:r>
      <w:r w:rsidRPr="001F7933">
        <w:rPr>
          <w:rFonts w:ascii="Cambria Math" w:hAnsi="Cambria Math" w:cs="Cambria Math"/>
          <w:noProof/>
          <w:sz w:val="22"/>
        </w:rPr>
        <w:t>‐</w:t>
      </w:r>
      <w:r w:rsidRPr="001F7933">
        <w:rPr>
          <w:rFonts w:ascii="Arial" w:hAnsi="Arial" w:cs="Arial"/>
          <w:noProof/>
          <w:sz w:val="22"/>
        </w:rPr>
        <w:t>cell RNA</w:t>
      </w:r>
      <w:r w:rsidRPr="001F7933">
        <w:rPr>
          <w:rFonts w:ascii="Cambria Math" w:hAnsi="Cambria Math" w:cs="Cambria Math"/>
          <w:noProof/>
          <w:sz w:val="22"/>
        </w:rPr>
        <w:t>‐</w:t>
      </w:r>
      <w:r w:rsidRPr="001F7933">
        <w:rPr>
          <w:rFonts w:ascii="Arial" w:hAnsi="Arial" w:cs="Arial"/>
          <w:noProof/>
          <w:sz w:val="22"/>
        </w:rPr>
        <w:t xml:space="preserve">seq analysis: a tutorial. Mol Syst Biol. 2019;15. </w:t>
      </w:r>
    </w:p>
    <w:p w14:paraId="6EF9A562"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42. </w:t>
      </w:r>
      <w:r w:rsidRPr="001F7933">
        <w:rPr>
          <w:rFonts w:ascii="Arial" w:hAnsi="Arial" w:cs="Arial"/>
          <w:noProof/>
          <w:sz w:val="22"/>
        </w:rPr>
        <w:tab/>
        <w:t xml:space="preserve">Plitas G, Konopacki C, Wu K, Bos PD, Morrow M, Putintseva E V., et al. Regulatory T Cells Exhibit Distinct Features in Human Breast Cancer. Immunity. 2016;45:1122–34. </w:t>
      </w:r>
    </w:p>
    <w:p w14:paraId="7A4A9EC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43. </w:t>
      </w:r>
      <w:r w:rsidRPr="001F7933">
        <w:rPr>
          <w:rFonts w:ascii="Arial" w:hAnsi="Arial" w:cs="Arial"/>
          <w:noProof/>
          <w:sz w:val="22"/>
        </w:rPr>
        <w:tab/>
        <w:t xml:space="preserve">De Simone M, Arrigoni A, Rossetti G, Gruarin P, Ranzani V, Politano C, et al. Transcriptional Landscape of Human Tissue Lymphocytes Unveils Uniqueness of Tumor-Infiltrating T Regulatory Cells. Immunity. 2016;45:1135–47. </w:t>
      </w:r>
    </w:p>
    <w:p w14:paraId="1BBA340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44. </w:t>
      </w:r>
      <w:r w:rsidRPr="001F7933">
        <w:rPr>
          <w:rFonts w:ascii="Arial" w:hAnsi="Arial" w:cs="Arial"/>
          <w:noProof/>
          <w:sz w:val="22"/>
        </w:rPr>
        <w:tab/>
        <w:t xml:space="preserve">Motzer RJ, Tannir NM, McDermott DF, Arén Frontera O, Melichar B, Choueiri TK, et al. Nivolumab plus Ipilimumab versus Sunitinib in advanced renal-cell carcinoma. N Engl J Med. 2018;378:1277–90. </w:t>
      </w:r>
    </w:p>
    <w:p w14:paraId="5169B9A4"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45. </w:t>
      </w:r>
      <w:r w:rsidRPr="001F7933">
        <w:rPr>
          <w:rFonts w:ascii="Arial" w:hAnsi="Arial" w:cs="Arial"/>
          <w:noProof/>
          <w:sz w:val="22"/>
        </w:rPr>
        <w:tab/>
        <w:t xml:space="preserve">Motzer RJ, Escudier B, McDermott DF, George S, Hammers HJ, Srinivas S, et al. Nivolumab versus everolimus in advanced renal-cell carcinoma. N Engl J Med. 2015;373:1803–13. </w:t>
      </w:r>
    </w:p>
    <w:p w14:paraId="6003BA0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46. </w:t>
      </w:r>
      <w:r w:rsidRPr="001F7933">
        <w:rPr>
          <w:rFonts w:ascii="Arial" w:hAnsi="Arial" w:cs="Arial"/>
          <w:noProof/>
          <w:sz w:val="22"/>
        </w:rPr>
        <w:tab/>
        <w:t xml:space="preserve">Vuong L, Kotecha RR, Voss MH, Hakimi AA. Tumor microenvironment dynamics in clear-cell renal cell carcinoma. Cancer Discov. 2019;9:1349–57. </w:t>
      </w:r>
    </w:p>
    <w:p w14:paraId="0A042BC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47. </w:t>
      </w:r>
      <w:r w:rsidRPr="001F7933">
        <w:rPr>
          <w:rFonts w:ascii="Arial" w:hAnsi="Arial" w:cs="Arial"/>
          <w:noProof/>
          <w:sz w:val="22"/>
        </w:rPr>
        <w:tab/>
        <w:t xml:space="preserve">Miao D, Margolis CA, Gao W, Voss MH, Li W, Martini DJ, et al. Genomic correlates of response to immune checkpoint therapies in clear cell renal cell carcinoma. Science (80- ). 2018;359:801–6. </w:t>
      </w:r>
    </w:p>
    <w:p w14:paraId="5D115D7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48. </w:t>
      </w:r>
      <w:r w:rsidRPr="001F7933">
        <w:rPr>
          <w:rFonts w:ascii="Arial" w:hAnsi="Arial" w:cs="Arial"/>
          <w:noProof/>
          <w:sz w:val="22"/>
        </w:rPr>
        <w:tab/>
        <w:t xml:space="preserve">Şenbabaoğlu Y, Gejman RS, Winer AG, Liu M, Van Allen EM, de Velasco G, et al. Tumor immune microenvironment characterization in clear cell renal cell carcinoma identifies prognostic and immunotherapeutically relevant messenger RNA signatures. Genome Biol. 2016;71:1–25. </w:t>
      </w:r>
    </w:p>
    <w:p w14:paraId="7E3AAF8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49. </w:t>
      </w:r>
      <w:r w:rsidRPr="001F7933">
        <w:rPr>
          <w:rFonts w:ascii="Arial" w:hAnsi="Arial" w:cs="Arial"/>
          <w:noProof/>
          <w:sz w:val="22"/>
        </w:rPr>
        <w:tab/>
        <w:t xml:space="preserve">Chowell D, Morris LGT, Grigg CM, Weber JK, Samstein RM, Makarov V, et al. Patient HLA class I genotype influences cancer response to checkpoint blockade immunotherapy. Science (80- ). 2018;359:582–7. </w:t>
      </w:r>
    </w:p>
    <w:p w14:paraId="2C6DF64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lastRenderedPageBreak/>
        <w:t xml:space="preserve">50. </w:t>
      </w:r>
      <w:r w:rsidRPr="001F7933">
        <w:rPr>
          <w:rFonts w:ascii="Arial" w:hAnsi="Arial" w:cs="Arial"/>
          <w:noProof/>
          <w:sz w:val="22"/>
        </w:rPr>
        <w:tab/>
        <w:t xml:space="preserve">Kim KT, Lee HW, Lee HO, Song HJ, Jeong DE, Shin S, et al. Application of single-cell RNA sequencing in optimizing a combinatorial therapeutic strategy in metastatic renal cell carcinoma. Genome Biol. 2016;17:1–17. </w:t>
      </w:r>
    </w:p>
    <w:p w14:paraId="118E39B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51. </w:t>
      </w:r>
      <w:r w:rsidRPr="001F7933">
        <w:rPr>
          <w:rFonts w:ascii="Arial" w:hAnsi="Arial" w:cs="Arial"/>
          <w:noProof/>
          <w:sz w:val="22"/>
        </w:rPr>
        <w:tab/>
        <w:t xml:space="preserve">Zhou W, Yang F, Xu Z, Luo M, Wang P, Guo Y, et al. Comprehensive Analysis of Copy Number Variations in Kidney Cancer by Single-Cell Exome Sequencing. Front Genet. Frontiers; 2020;10:1379. </w:t>
      </w:r>
    </w:p>
    <w:p w14:paraId="184A051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52. </w:t>
      </w:r>
      <w:r w:rsidRPr="001F7933">
        <w:rPr>
          <w:rFonts w:ascii="Arial" w:hAnsi="Arial" w:cs="Arial"/>
          <w:noProof/>
          <w:sz w:val="22"/>
        </w:rPr>
        <w:tab/>
        <w:t xml:space="preserve">Wu TD, Madireddi S, de Almeida PE, Banchereau R, Chen YJJ, Chitre AS, et al. Peripheral T cell expansion predicts tumour infiltration and clinical response. Nature. 2020;579:274–8. </w:t>
      </w:r>
    </w:p>
    <w:p w14:paraId="6AB21FB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53. </w:t>
      </w:r>
      <w:r w:rsidRPr="001F7933">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2017;23:4416–28. </w:t>
      </w:r>
    </w:p>
    <w:p w14:paraId="4E78947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54. </w:t>
      </w:r>
      <w:r w:rsidRPr="001F7933">
        <w:rPr>
          <w:rFonts w:ascii="Arial" w:hAnsi="Arial" w:cs="Arial"/>
          <w:noProof/>
          <w:sz w:val="22"/>
        </w:rPr>
        <w:tab/>
        <w:t xml:space="preserve">Yost KE, Satpathy AT, Wells DK, Qi Y, Wang C, Kageyama R, et al. Clonal replacement of tumor-specific T cells following PD-1 blockade. Nat Med. 2019;25:1251–9. </w:t>
      </w:r>
    </w:p>
    <w:p w14:paraId="02E3736B"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55. </w:t>
      </w:r>
      <w:r w:rsidRPr="001F7933">
        <w:rPr>
          <w:rFonts w:ascii="Arial" w:hAnsi="Arial" w:cs="Arial"/>
          <w:noProof/>
          <w:sz w:val="22"/>
        </w:rPr>
        <w:tab/>
        <w:t xml:space="preserve">Qi Y, Xia Y, Lin Z, Qu Y, Qi Y, Chen Y, et al. Tumor-infiltrating CD39+ CD8+ T cells determine poor prognosis and immune evasion in clear cell renal cell carcinoma patients. Cancer Immunol, Immunother. Springer; 2020;1565–76. </w:t>
      </w:r>
    </w:p>
    <w:p w14:paraId="6ACF847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56. </w:t>
      </w:r>
      <w:r w:rsidRPr="001F7933">
        <w:rPr>
          <w:rFonts w:ascii="Arial" w:hAnsi="Arial" w:cs="Arial"/>
          <w:noProof/>
          <w:sz w:val="22"/>
        </w:rPr>
        <w:tab/>
        <w:t xml:space="preserve">Komohara Y, Hasita H, Ohnishi K, Fujiwara Y, Suzu S, Eto M, et al. Macrophage infiltration and its prognostic relevance in clear cell renal cell carcinoma. Cancer Sci. 2011;102:1424–31. </w:t>
      </w:r>
    </w:p>
    <w:p w14:paraId="3619DD1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57. </w:t>
      </w:r>
      <w:r w:rsidRPr="001F7933">
        <w:rPr>
          <w:rFonts w:ascii="Arial" w:hAnsi="Arial" w:cs="Arial"/>
          <w:noProof/>
          <w:sz w:val="22"/>
        </w:rPr>
        <w:tab/>
        <w:t xml:space="preserve">Figel AM, Brech D, Prinz PU, Lettenmeyer UK, Eckl J, Turqueti-Neves A, et al. Human renal cell carcinoma induces a dendritic cell subset that uses T-cell crosstalk for tumor-permissive Milieu alterations. Am J Pathol. 2011;179:436–51. </w:t>
      </w:r>
    </w:p>
    <w:p w14:paraId="1D488FD4" w14:textId="1942AE1E" w:rsidR="001D7F41" w:rsidRPr="0002326A" w:rsidRDefault="002E4EFB" w:rsidP="001F7933">
      <w:pPr>
        <w:widowControl w:val="0"/>
        <w:autoSpaceDE w:val="0"/>
        <w:autoSpaceDN w:val="0"/>
        <w:adjustRightInd w:val="0"/>
        <w:spacing w:line="480" w:lineRule="auto"/>
        <w:ind w:left="640" w:hanging="640"/>
        <w:rPr>
          <w:rFonts w:ascii="Arial" w:hAnsi="Arial" w:cs="Arial"/>
          <w:b/>
          <w:bCs/>
          <w:sz w:val="22"/>
          <w:szCs w:val="22"/>
        </w:rPr>
      </w:pPr>
      <w:r w:rsidRPr="0002326A">
        <w:rPr>
          <w:rFonts w:ascii="Arial" w:hAnsi="Arial" w:cs="Arial"/>
          <w:bCs/>
          <w:color w:val="000000"/>
          <w:sz w:val="22"/>
          <w:szCs w:val="22"/>
        </w:rPr>
        <w:fldChar w:fldCharType="end"/>
      </w:r>
    </w:p>
    <w:p w14:paraId="59095FC0" w14:textId="77777777" w:rsidR="001D7F41" w:rsidRPr="0002326A" w:rsidRDefault="001D7F41" w:rsidP="00276C2F">
      <w:pPr>
        <w:spacing w:line="480" w:lineRule="auto"/>
        <w:rPr>
          <w:rFonts w:ascii="Arial" w:hAnsi="Arial" w:cs="Arial"/>
          <w:b/>
          <w:bCs/>
          <w:sz w:val="22"/>
          <w:szCs w:val="22"/>
        </w:rPr>
      </w:pPr>
    </w:p>
    <w:p w14:paraId="7B65E89F" w14:textId="77777777" w:rsidR="00C62E73" w:rsidRDefault="00C62E73" w:rsidP="00276C2F">
      <w:pPr>
        <w:spacing w:line="480" w:lineRule="auto"/>
        <w:rPr>
          <w:rFonts w:ascii="Arial" w:hAnsi="Arial" w:cs="Arial"/>
          <w:b/>
          <w:bCs/>
          <w:sz w:val="22"/>
          <w:szCs w:val="22"/>
        </w:rPr>
      </w:pPr>
    </w:p>
    <w:p w14:paraId="4A61FBEF" w14:textId="011100EB" w:rsidR="00707C08" w:rsidRPr="0002326A" w:rsidRDefault="009A5803" w:rsidP="00276C2F">
      <w:pPr>
        <w:spacing w:line="480" w:lineRule="auto"/>
        <w:rPr>
          <w:rFonts w:ascii="Arial" w:hAnsi="Arial" w:cs="Arial"/>
          <w:b/>
          <w:bCs/>
          <w:sz w:val="22"/>
          <w:szCs w:val="22"/>
        </w:rPr>
      </w:pPr>
      <w:r w:rsidRPr="0002326A">
        <w:rPr>
          <w:rFonts w:ascii="Arial" w:hAnsi="Arial" w:cs="Arial"/>
          <w:b/>
          <w:bCs/>
          <w:sz w:val="22"/>
          <w:szCs w:val="22"/>
        </w:rPr>
        <w:lastRenderedPageBreak/>
        <w:t>Figures</w:t>
      </w:r>
    </w:p>
    <w:p w14:paraId="7B920934" w14:textId="20EB51A7" w:rsidR="009A5803" w:rsidRPr="0002326A" w:rsidRDefault="00E87E79" w:rsidP="00276C2F">
      <w:pPr>
        <w:spacing w:line="480" w:lineRule="auto"/>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7EA8354D" wp14:editId="71819188">
            <wp:extent cx="5943600" cy="3210560"/>
            <wp:effectExtent l="0" t="0" r="0" b="2540"/>
            <wp:docPr id="9" name="Picture 9" descr="A picture containing sitting, screen, colorful,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08D16A9E" w:rsidR="009A5803" w:rsidRPr="0002326A" w:rsidRDefault="009A5803" w:rsidP="00276C2F">
      <w:pPr>
        <w:spacing w:line="480" w:lineRule="auto"/>
        <w:rPr>
          <w:rFonts w:ascii="Arial" w:hAnsi="Arial" w:cs="Arial"/>
          <w:sz w:val="22"/>
          <w:szCs w:val="22"/>
        </w:rPr>
      </w:pPr>
      <w:r w:rsidRPr="0002326A">
        <w:rPr>
          <w:rFonts w:ascii="Arial" w:hAnsi="Arial" w:cs="Arial"/>
          <w:b/>
          <w:bCs/>
          <w:sz w:val="22"/>
          <w:szCs w:val="22"/>
        </w:rPr>
        <w:t>Figure 1: Single-cell sequencing results for immune cells in ccRCC.</w:t>
      </w:r>
      <w:r w:rsidRPr="0002326A">
        <w:rPr>
          <w:rFonts w:ascii="Arial" w:hAnsi="Arial" w:cs="Arial"/>
          <w:sz w:val="22"/>
          <w:szCs w:val="22"/>
        </w:rPr>
        <w:t xml:space="preserve"> A. UMAP of </w:t>
      </w:r>
      <w:r w:rsidR="001A4ED9" w:rsidRPr="0002326A">
        <w:rPr>
          <w:rFonts w:ascii="Arial" w:hAnsi="Arial" w:cs="Arial"/>
          <w:sz w:val="22"/>
          <w:szCs w:val="22"/>
        </w:rPr>
        <w:t xml:space="preserve">37,055 primary immune cells of peripheral blood, normal renal parenchyma and tumor-infiltrating ccRCC patients. </w:t>
      </w:r>
      <w:r w:rsidR="001A4ED9" w:rsidRPr="0002326A">
        <w:rPr>
          <w:rFonts w:ascii="Arial" w:hAnsi="Arial" w:cs="Arial"/>
          <w:b/>
          <w:bCs/>
          <w:sz w:val="22"/>
          <w:szCs w:val="22"/>
        </w:rPr>
        <w:t>B</w:t>
      </w:r>
      <w:r w:rsidR="001A4ED9" w:rsidRPr="0002326A">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02326A">
        <w:rPr>
          <w:rFonts w:ascii="Arial" w:hAnsi="Arial" w:cs="Arial"/>
          <w:b/>
          <w:bCs/>
          <w:sz w:val="22"/>
          <w:szCs w:val="22"/>
        </w:rPr>
        <w:t>C</w:t>
      </w:r>
      <w:r w:rsidR="001A4ED9" w:rsidRPr="0002326A">
        <w:rPr>
          <w:rFonts w:ascii="Arial" w:hAnsi="Arial" w:cs="Arial"/>
          <w:sz w:val="22"/>
          <w:szCs w:val="22"/>
        </w:rPr>
        <w:t xml:space="preserve">. Percent of cells expressing canonical immune cell markers across the UMAP. </w:t>
      </w:r>
      <w:r w:rsidR="001A4ED9" w:rsidRPr="0002326A">
        <w:rPr>
          <w:rFonts w:ascii="Arial" w:hAnsi="Arial" w:cs="Arial"/>
          <w:b/>
          <w:bCs/>
          <w:sz w:val="22"/>
          <w:szCs w:val="22"/>
        </w:rPr>
        <w:t>D</w:t>
      </w:r>
      <w:r w:rsidR="001A4ED9" w:rsidRPr="0002326A">
        <w:rPr>
          <w:rFonts w:ascii="Arial" w:hAnsi="Arial" w:cs="Arial"/>
          <w:sz w:val="22"/>
          <w:szCs w:val="22"/>
        </w:rPr>
        <w:t>. Normalized correlation values for predicted immune cell phenotypes based on the SingleR R package for each cluster</w:t>
      </w:r>
      <w:r w:rsidR="00702F2D">
        <w:rPr>
          <w:rFonts w:ascii="Arial" w:hAnsi="Arial" w:cs="Arial"/>
          <w:sz w:val="22"/>
          <w:szCs w:val="22"/>
        </w:rPr>
        <w:t>; dendrogram based on Euclidean distance.</w:t>
      </w:r>
      <w:r w:rsidR="001A4ED9" w:rsidRPr="0002326A">
        <w:rPr>
          <w:rFonts w:ascii="Arial" w:hAnsi="Arial" w:cs="Arial"/>
          <w:sz w:val="22"/>
          <w:szCs w:val="22"/>
        </w:rPr>
        <w:t xml:space="preserve"> </w:t>
      </w:r>
      <w:r w:rsidR="001A4ED9" w:rsidRPr="0002326A">
        <w:rPr>
          <w:rFonts w:ascii="Arial" w:hAnsi="Arial" w:cs="Arial"/>
          <w:b/>
          <w:bCs/>
          <w:sz w:val="22"/>
          <w:szCs w:val="22"/>
        </w:rPr>
        <w:t>E</w:t>
      </w:r>
      <w:r w:rsidR="001A4ED9" w:rsidRPr="0002326A">
        <w:rPr>
          <w:rFonts w:ascii="Arial" w:hAnsi="Arial" w:cs="Arial"/>
          <w:sz w:val="22"/>
          <w:szCs w:val="22"/>
        </w:rPr>
        <w:t>. UMAP demonstrating inferred immune cell types in ccRCC, clusters are colored by cell type</w:t>
      </w:r>
      <w:r w:rsidR="005A1358" w:rsidRPr="0002326A">
        <w:rPr>
          <w:rFonts w:ascii="Arial" w:hAnsi="Arial" w:cs="Arial"/>
          <w:sz w:val="22"/>
          <w:szCs w:val="22"/>
        </w:rPr>
        <w:t xml:space="preserve"> and proportion of single-cell per sequencing run by tissue type. P values based on one-way </w:t>
      </w:r>
      <w:r w:rsidR="00DD271C" w:rsidRPr="0002326A">
        <w:rPr>
          <w:rFonts w:ascii="Arial" w:hAnsi="Arial" w:cs="Arial"/>
          <w:sz w:val="22"/>
          <w:szCs w:val="22"/>
        </w:rPr>
        <w:t>ANOVA;</w:t>
      </w:r>
      <w:r w:rsidR="005A1358" w:rsidRPr="0002326A">
        <w:rPr>
          <w:rFonts w:ascii="Arial" w:hAnsi="Arial" w:cs="Arial"/>
          <w:sz w:val="22"/>
          <w:szCs w:val="22"/>
        </w:rPr>
        <w:t xml:space="preserve"> lack of p-values equates to value &gt; 0.05.</w:t>
      </w:r>
    </w:p>
    <w:p w14:paraId="15B908F4" w14:textId="451882C1" w:rsidR="009E2322" w:rsidRPr="0002326A" w:rsidRDefault="009E2322" w:rsidP="00276C2F">
      <w:pPr>
        <w:spacing w:line="480" w:lineRule="auto"/>
        <w:rPr>
          <w:rFonts w:ascii="Arial" w:hAnsi="Arial" w:cs="Arial"/>
          <w:sz w:val="22"/>
          <w:szCs w:val="22"/>
        </w:rPr>
      </w:pPr>
    </w:p>
    <w:p w14:paraId="68A16865" w14:textId="1C3ADD18" w:rsidR="001D7F41" w:rsidRPr="0002326A" w:rsidRDefault="001D7F41" w:rsidP="00276C2F">
      <w:pPr>
        <w:spacing w:line="480" w:lineRule="auto"/>
        <w:rPr>
          <w:rFonts w:ascii="Arial" w:hAnsi="Arial" w:cs="Arial"/>
          <w:sz w:val="22"/>
          <w:szCs w:val="22"/>
        </w:rPr>
      </w:pPr>
    </w:p>
    <w:p w14:paraId="0338EA5C" w14:textId="77777777" w:rsidR="00CA1845" w:rsidRDefault="00CA1845" w:rsidP="001D7F41">
      <w:pPr>
        <w:spacing w:line="480" w:lineRule="auto"/>
        <w:rPr>
          <w:rFonts w:ascii="Arial" w:hAnsi="Arial" w:cs="Arial"/>
          <w:b/>
          <w:bCs/>
          <w:sz w:val="22"/>
          <w:szCs w:val="22"/>
        </w:rPr>
      </w:pPr>
    </w:p>
    <w:p w14:paraId="05FB3FF9" w14:textId="77777777" w:rsidR="00CA1845" w:rsidRDefault="00CA1845" w:rsidP="001D7F41">
      <w:pPr>
        <w:spacing w:line="480" w:lineRule="auto"/>
        <w:rPr>
          <w:rFonts w:ascii="Arial" w:hAnsi="Arial" w:cs="Arial"/>
          <w:b/>
          <w:bCs/>
          <w:sz w:val="22"/>
          <w:szCs w:val="22"/>
        </w:rPr>
      </w:pPr>
    </w:p>
    <w:p w14:paraId="1913D652" w14:textId="2911B473" w:rsidR="00CA1845" w:rsidRDefault="00CA1845" w:rsidP="001D7F41">
      <w:pPr>
        <w:spacing w:line="480" w:lineRule="auto"/>
        <w:rPr>
          <w:rFonts w:ascii="Arial" w:hAnsi="Arial" w:cs="Arial"/>
          <w:b/>
          <w:bCs/>
          <w:sz w:val="22"/>
          <w:szCs w:val="22"/>
        </w:rPr>
      </w:pPr>
    </w:p>
    <w:p w14:paraId="27445D25" w14:textId="49B0AC5E" w:rsidR="00CA1845" w:rsidRDefault="00CA1845" w:rsidP="001D7F41">
      <w:pPr>
        <w:spacing w:line="480" w:lineRule="auto"/>
        <w:rPr>
          <w:rFonts w:ascii="Arial" w:hAnsi="Arial" w:cs="Arial"/>
          <w:b/>
          <w:bCs/>
          <w:sz w:val="22"/>
          <w:szCs w:val="22"/>
        </w:rPr>
      </w:pPr>
      <w:r>
        <w:rPr>
          <w:rFonts w:ascii="Arial" w:hAnsi="Arial" w:cs="Arial"/>
          <w:b/>
          <w:bCs/>
          <w:noProof/>
          <w:sz w:val="22"/>
          <w:szCs w:val="22"/>
        </w:rPr>
        <w:drawing>
          <wp:inline distT="0" distB="0" distL="0" distR="0" wp14:anchorId="65D13A96" wp14:editId="24C58CA0">
            <wp:extent cx="5943600" cy="2306955"/>
            <wp:effectExtent l="0" t="0" r="0" b="4445"/>
            <wp:docPr id="1" name="Picture 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19D16E9D" w14:textId="33AAF294" w:rsidR="00CA1845" w:rsidRPr="00CA1845" w:rsidRDefault="00CA1845" w:rsidP="001D7F41">
      <w:pPr>
        <w:spacing w:line="480" w:lineRule="auto"/>
        <w:rPr>
          <w:rFonts w:ascii="Arial" w:hAnsi="Arial" w:cs="Arial"/>
          <w:sz w:val="22"/>
          <w:szCs w:val="22"/>
        </w:rPr>
      </w:pPr>
      <w:r>
        <w:rPr>
          <w:rFonts w:ascii="Arial" w:hAnsi="Arial" w:cs="Arial"/>
          <w:b/>
          <w:bCs/>
          <w:sz w:val="22"/>
          <w:szCs w:val="22"/>
        </w:rPr>
        <w:t>Figure 2: Clonal dynamics vary by T cell type and patient.</w:t>
      </w:r>
      <w:r>
        <w:rPr>
          <w:rFonts w:ascii="Arial" w:hAnsi="Arial" w:cs="Arial"/>
          <w:sz w:val="22"/>
          <w:szCs w:val="22"/>
        </w:rPr>
        <w:t xml:space="preserve"> </w:t>
      </w:r>
      <w:r>
        <w:rPr>
          <w:rFonts w:ascii="Arial" w:hAnsi="Arial" w:cs="Arial"/>
          <w:b/>
          <w:bCs/>
          <w:sz w:val="22"/>
          <w:szCs w:val="22"/>
        </w:rPr>
        <w:t xml:space="preserve">A. </w:t>
      </w:r>
      <w:r w:rsidRPr="0002326A">
        <w:rPr>
          <w:rFonts w:ascii="Arial" w:hAnsi="Arial" w:cs="Arial"/>
          <w:sz w:val="22"/>
          <w:szCs w:val="22"/>
        </w:rPr>
        <w:t xml:space="preserve">UMAP of 37,055 primary immune cells </w:t>
      </w:r>
      <w:r>
        <w:rPr>
          <w:rFonts w:ascii="Arial" w:hAnsi="Arial" w:cs="Arial"/>
          <w:sz w:val="22"/>
          <w:szCs w:val="22"/>
        </w:rPr>
        <w:t xml:space="preserve">overlaid with the frequency of clonotypes assigned by sample identification. </w:t>
      </w:r>
      <w:r w:rsidRPr="00CA1845">
        <w:rPr>
          <w:rFonts w:ascii="Arial" w:hAnsi="Arial" w:cs="Arial"/>
          <w:b/>
          <w:bCs/>
          <w:sz w:val="22"/>
          <w:szCs w:val="22"/>
        </w:rPr>
        <w:t>B.</w:t>
      </w:r>
      <w:r>
        <w:rPr>
          <w:rFonts w:ascii="Arial" w:hAnsi="Arial" w:cs="Arial"/>
          <w:sz w:val="22"/>
          <w:szCs w:val="22"/>
        </w:rPr>
        <w:t xml:space="preserve"> Occupied repertoire space for the indicated clonotype groups for CD8</w:t>
      </w:r>
      <w:r w:rsidRPr="00CA1845">
        <w:rPr>
          <w:rFonts w:ascii="Arial" w:hAnsi="Arial" w:cs="Arial"/>
          <w:sz w:val="22"/>
          <w:szCs w:val="22"/>
          <w:vertAlign w:val="superscript"/>
        </w:rPr>
        <w:t>+</w:t>
      </w:r>
      <w:r>
        <w:rPr>
          <w:rFonts w:ascii="Arial" w:hAnsi="Arial" w:cs="Arial"/>
          <w:sz w:val="22"/>
          <w:szCs w:val="22"/>
        </w:rPr>
        <w:t xml:space="preserve"> and CD4</w:t>
      </w:r>
      <w:r w:rsidRPr="00CA1845">
        <w:rPr>
          <w:rFonts w:ascii="Arial" w:hAnsi="Arial" w:cs="Arial"/>
          <w:sz w:val="22"/>
          <w:szCs w:val="22"/>
          <w:vertAlign w:val="superscript"/>
        </w:rPr>
        <w:t>+</w:t>
      </w:r>
      <w:r>
        <w:rPr>
          <w:rFonts w:ascii="Arial" w:hAnsi="Arial" w:cs="Arial"/>
          <w:sz w:val="22"/>
          <w:szCs w:val="22"/>
        </w:rPr>
        <w:t xml:space="preserve"> T cells by sample and tissue type in ccRCC patients. </w:t>
      </w:r>
      <w:r w:rsidRPr="00CA1845">
        <w:rPr>
          <w:rFonts w:ascii="Arial" w:hAnsi="Arial" w:cs="Arial"/>
          <w:b/>
          <w:bCs/>
          <w:sz w:val="22"/>
          <w:szCs w:val="22"/>
        </w:rPr>
        <w:t>C</w:t>
      </w:r>
      <w:r>
        <w:rPr>
          <w:rFonts w:ascii="Arial" w:hAnsi="Arial" w:cs="Arial"/>
          <w:sz w:val="22"/>
          <w:szCs w:val="22"/>
        </w:rPr>
        <w:t>. Clonal overlap quantification by overlap coefficient for CD8</w:t>
      </w:r>
      <w:r w:rsidRPr="00CA1845">
        <w:rPr>
          <w:rFonts w:ascii="Arial" w:hAnsi="Arial" w:cs="Arial"/>
          <w:sz w:val="22"/>
          <w:szCs w:val="22"/>
          <w:vertAlign w:val="superscript"/>
        </w:rPr>
        <w:t>+</w:t>
      </w:r>
      <w:r>
        <w:rPr>
          <w:rFonts w:ascii="Arial" w:hAnsi="Arial" w:cs="Arial"/>
          <w:sz w:val="22"/>
          <w:szCs w:val="22"/>
        </w:rPr>
        <w:t xml:space="preserve"> and CD4</w:t>
      </w:r>
      <w:r w:rsidRPr="00CA1845">
        <w:rPr>
          <w:rFonts w:ascii="Arial" w:hAnsi="Arial" w:cs="Arial"/>
          <w:sz w:val="22"/>
          <w:szCs w:val="22"/>
          <w:vertAlign w:val="superscript"/>
        </w:rPr>
        <w:t>+</w:t>
      </w:r>
      <w:r>
        <w:rPr>
          <w:rFonts w:ascii="Arial" w:hAnsi="Arial" w:cs="Arial"/>
          <w:sz w:val="22"/>
          <w:szCs w:val="22"/>
        </w:rPr>
        <w:t xml:space="preserve"> T cells by sample and tissue type in ccRCC patients. </w:t>
      </w:r>
      <w:r w:rsidRPr="00CA1845">
        <w:rPr>
          <w:rFonts w:ascii="Arial" w:hAnsi="Arial" w:cs="Arial"/>
          <w:b/>
          <w:bCs/>
          <w:sz w:val="22"/>
          <w:szCs w:val="22"/>
        </w:rPr>
        <w:t>D</w:t>
      </w:r>
      <w:r>
        <w:rPr>
          <w:rFonts w:ascii="Arial" w:hAnsi="Arial" w:cs="Arial"/>
          <w:sz w:val="22"/>
          <w:szCs w:val="22"/>
        </w:rPr>
        <w:t>. The top 10 clonotypes for each patient as</w:t>
      </w:r>
      <w:r w:rsidR="00E547C6">
        <w:rPr>
          <w:rFonts w:ascii="Arial" w:hAnsi="Arial" w:cs="Arial"/>
          <w:sz w:val="22"/>
          <w:szCs w:val="22"/>
        </w:rPr>
        <w:t xml:space="preserve"> a</w:t>
      </w:r>
      <w:r>
        <w:rPr>
          <w:rFonts w:ascii="Arial" w:hAnsi="Arial" w:cs="Arial"/>
          <w:sz w:val="22"/>
          <w:szCs w:val="22"/>
        </w:rPr>
        <w:t xml:space="preserve"> relative proportion of clonotypes for corresponding peripheral or tumor populations. Each color represents a unique clonotype by patient. </w:t>
      </w:r>
      <w:r w:rsidRPr="00CA1845">
        <w:rPr>
          <w:rFonts w:ascii="Arial" w:hAnsi="Arial" w:cs="Arial"/>
          <w:b/>
          <w:bCs/>
          <w:sz w:val="22"/>
          <w:szCs w:val="22"/>
        </w:rPr>
        <w:t>E</w:t>
      </w:r>
      <w:r>
        <w:rPr>
          <w:rFonts w:ascii="Arial" w:hAnsi="Arial" w:cs="Arial"/>
          <w:sz w:val="22"/>
          <w:szCs w:val="22"/>
        </w:rPr>
        <w:t xml:space="preserve">. Distribution of clonotypes by tissue, UMAP cluster and ccRCC patient with highlighted (red) the top 2 clonotypes. </w:t>
      </w:r>
    </w:p>
    <w:p w14:paraId="5ABE817A" w14:textId="77777777" w:rsidR="00CA1845" w:rsidRDefault="00CA1845" w:rsidP="001D7F41">
      <w:pPr>
        <w:spacing w:line="480" w:lineRule="auto"/>
        <w:rPr>
          <w:rFonts w:ascii="Arial" w:hAnsi="Arial" w:cs="Arial"/>
          <w:b/>
          <w:bCs/>
          <w:sz w:val="22"/>
          <w:szCs w:val="22"/>
        </w:rPr>
      </w:pPr>
    </w:p>
    <w:p w14:paraId="6BFBF397" w14:textId="261D8C38" w:rsidR="00BF0F9E" w:rsidRPr="0002326A" w:rsidRDefault="00597CD9"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237C5539" wp14:editId="0D0B51F7">
            <wp:extent cx="5943600" cy="446024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02326A">
        <w:rPr>
          <w:rFonts w:ascii="Arial" w:hAnsi="Arial" w:cs="Arial"/>
          <w:b/>
          <w:bCs/>
          <w:sz w:val="22"/>
          <w:szCs w:val="22"/>
        </w:rPr>
        <w:t xml:space="preserve">Figure </w:t>
      </w:r>
      <w:r w:rsidR="009766CA">
        <w:rPr>
          <w:rFonts w:ascii="Arial" w:hAnsi="Arial" w:cs="Arial"/>
          <w:b/>
          <w:bCs/>
          <w:sz w:val="22"/>
          <w:szCs w:val="22"/>
        </w:rPr>
        <w:t>3</w:t>
      </w:r>
      <w:r w:rsidR="00BF0F9E" w:rsidRPr="0002326A">
        <w:rPr>
          <w:rFonts w:ascii="Arial" w:hAnsi="Arial" w:cs="Arial"/>
          <w:b/>
          <w:bCs/>
          <w:sz w:val="22"/>
          <w:szCs w:val="22"/>
        </w:rPr>
        <w:t>: CD8</w:t>
      </w:r>
      <w:r w:rsidR="00AF201D" w:rsidRPr="0002326A">
        <w:rPr>
          <w:rFonts w:ascii="Arial" w:hAnsi="Arial" w:cs="Arial"/>
          <w:b/>
          <w:bCs/>
          <w:sz w:val="22"/>
          <w:szCs w:val="22"/>
          <w:vertAlign w:val="superscript"/>
        </w:rPr>
        <w:t>+</w:t>
      </w:r>
      <w:r w:rsidR="00BF0F9E" w:rsidRPr="0002326A">
        <w:rPr>
          <w:rFonts w:ascii="Arial" w:hAnsi="Arial" w:cs="Arial"/>
          <w:b/>
          <w:bCs/>
          <w:sz w:val="22"/>
          <w:szCs w:val="22"/>
        </w:rPr>
        <w:t xml:space="preserve"> T cells in ccRCC tumors exhibit a transcriptional continuum with distinct populations. A. </w:t>
      </w:r>
      <w:r w:rsidR="00BF0F9E" w:rsidRPr="0002326A">
        <w:rPr>
          <w:rFonts w:ascii="Arial" w:hAnsi="Arial" w:cs="Arial"/>
          <w:sz w:val="22"/>
          <w:szCs w:val="22"/>
        </w:rPr>
        <w:t>UMAP subclustering of CD</w:t>
      </w:r>
      <w:r w:rsidR="007A2B8C" w:rsidRPr="0002326A">
        <w:rPr>
          <w:rFonts w:ascii="Arial" w:hAnsi="Arial" w:cs="Arial"/>
          <w:sz w:val="22"/>
          <w:szCs w:val="22"/>
        </w:rPr>
        <w:t>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(original clusters 1, 8</w:t>
      </w:r>
      <w:r w:rsidR="00DD271C" w:rsidRPr="0002326A">
        <w:rPr>
          <w:rFonts w:ascii="Arial" w:hAnsi="Arial" w:cs="Arial"/>
          <w:sz w:val="22"/>
          <w:szCs w:val="22"/>
        </w:rPr>
        <w:t xml:space="preserve">, </w:t>
      </w:r>
      <w:r w:rsidR="00BF0F9E" w:rsidRPr="0002326A">
        <w:rPr>
          <w:rFonts w:ascii="Arial" w:hAnsi="Arial" w:cs="Arial"/>
          <w:sz w:val="22"/>
          <w:szCs w:val="22"/>
        </w:rPr>
        <w:t>9</w:t>
      </w:r>
      <w:r w:rsidR="00DD271C" w:rsidRPr="0002326A">
        <w:rPr>
          <w:rFonts w:ascii="Arial" w:hAnsi="Arial" w:cs="Arial"/>
          <w:sz w:val="22"/>
          <w:szCs w:val="22"/>
        </w:rPr>
        <w:t>, and 17</w:t>
      </w:r>
      <w:r w:rsidR="00BF0F9E" w:rsidRPr="0002326A">
        <w:rPr>
          <w:rFonts w:ascii="Arial" w:hAnsi="Arial" w:cs="Arial"/>
          <w:sz w:val="22"/>
          <w:szCs w:val="22"/>
        </w:rPr>
        <w:t xml:space="preserve">). </w:t>
      </w:r>
      <w:r w:rsidR="00BF0F9E" w:rsidRPr="0002326A">
        <w:rPr>
          <w:rFonts w:ascii="Arial" w:hAnsi="Arial" w:cs="Arial"/>
          <w:b/>
          <w:bCs/>
          <w:sz w:val="22"/>
          <w:szCs w:val="22"/>
        </w:rPr>
        <w:t>B</w:t>
      </w:r>
      <w:r w:rsidR="00BF0F9E" w:rsidRPr="0002326A">
        <w:rPr>
          <w:rFonts w:ascii="Arial" w:hAnsi="Arial" w:cs="Arial"/>
          <w:sz w:val="22"/>
          <w:szCs w:val="22"/>
        </w:rPr>
        <w:t>. UMAP distribution of single cells by tissue type with relative</w:t>
      </w:r>
      <w:r w:rsidR="009232CA">
        <w:rPr>
          <w:rFonts w:ascii="Arial" w:hAnsi="Arial" w:cs="Arial"/>
          <w:sz w:val="22"/>
          <w:szCs w:val="22"/>
        </w:rPr>
        <w:t xml:space="preserve"> and absolute</w:t>
      </w:r>
      <w:r w:rsidR="00BF0F9E" w:rsidRPr="0002326A">
        <w:rPr>
          <w:rFonts w:ascii="Arial" w:hAnsi="Arial" w:cs="Arial"/>
          <w:sz w:val="22"/>
          <w:szCs w:val="22"/>
        </w:rPr>
        <w:t xml:space="preserve"> percent of cells by tissue in each cluster. </w:t>
      </w:r>
      <w:r w:rsidR="00BF0F9E" w:rsidRPr="0002326A">
        <w:rPr>
          <w:rFonts w:ascii="Arial" w:hAnsi="Arial" w:cs="Arial"/>
          <w:b/>
          <w:bCs/>
          <w:sz w:val="22"/>
          <w:szCs w:val="22"/>
        </w:rPr>
        <w:t>C</w:t>
      </w:r>
      <w:r w:rsidR="00BF0F9E" w:rsidRPr="0002326A">
        <w:rPr>
          <w:rFonts w:ascii="Arial" w:hAnsi="Arial" w:cs="Arial"/>
          <w:sz w:val="22"/>
          <w:szCs w:val="22"/>
        </w:rPr>
        <w:t>. Cell cycle regression assignments for CD8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by cluster assignment. </w:t>
      </w:r>
      <w:r w:rsidR="00BF0F9E" w:rsidRPr="0002326A">
        <w:rPr>
          <w:rFonts w:ascii="Arial" w:hAnsi="Arial" w:cs="Arial"/>
          <w:b/>
          <w:bCs/>
          <w:sz w:val="22"/>
          <w:szCs w:val="22"/>
        </w:rPr>
        <w:t>D</w:t>
      </w:r>
      <w:r w:rsidR="00BF0F9E" w:rsidRPr="0002326A">
        <w:rPr>
          <w:rFonts w:ascii="Arial" w:hAnsi="Arial" w:cs="Arial"/>
          <w:sz w:val="22"/>
          <w:szCs w:val="22"/>
        </w:rPr>
        <w:t>. Percent of cells expressing selected markers for T cell biology.</w:t>
      </w:r>
      <w:r w:rsidR="001D7F41" w:rsidRPr="0002326A">
        <w:rPr>
          <w:rFonts w:ascii="Arial" w:hAnsi="Arial" w:cs="Arial"/>
          <w:sz w:val="22"/>
          <w:szCs w:val="22"/>
        </w:rPr>
        <w:t xml:space="preserve"> </w:t>
      </w:r>
      <w:r w:rsidR="001D7F41" w:rsidRPr="0002326A">
        <w:rPr>
          <w:rFonts w:ascii="Arial" w:hAnsi="Arial" w:cs="Arial"/>
          <w:b/>
          <w:bCs/>
          <w:sz w:val="22"/>
          <w:szCs w:val="22"/>
        </w:rPr>
        <w:t>E</w:t>
      </w:r>
      <w:r w:rsidR="001D7F41" w:rsidRPr="0002326A">
        <w:rPr>
          <w:rFonts w:ascii="Arial" w:hAnsi="Arial" w:cs="Arial"/>
          <w:sz w:val="22"/>
          <w:szCs w:val="22"/>
        </w:rPr>
        <w:t>. CD8</w:t>
      </w:r>
      <w:r w:rsidR="001D7F41" w:rsidRPr="0002326A">
        <w:rPr>
          <w:rFonts w:ascii="Arial" w:hAnsi="Arial" w:cs="Arial"/>
          <w:sz w:val="22"/>
          <w:szCs w:val="22"/>
          <w:vertAlign w:val="superscript"/>
        </w:rPr>
        <w:t>+</w:t>
      </w:r>
      <w:r w:rsidR="001D7F41" w:rsidRPr="0002326A">
        <w:rPr>
          <w:rFonts w:ascii="Arial" w:hAnsi="Arial" w:cs="Arial"/>
          <w:sz w:val="22"/>
          <w:szCs w:val="22"/>
        </w:rPr>
        <w:t xml:space="preserve"> UMAP of clusters (upper panel) and clonotype frequency (lower panel) overlaid with slingshot-based </w:t>
      </w:r>
      <w:r w:rsidR="001D7F41"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1D7F41" w:rsidRPr="0002326A">
        <w:rPr>
          <w:rFonts w:ascii="Arial" w:hAnsi="Arial" w:cs="Arial"/>
          <w:sz w:val="22"/>
          <w:szCs w:val="22"/>
        </w:rPr>
        <w:fldChar w:fldCharType="separate"/>
      </w:r>
      <w:r w:rsidR="00B7170F" w:rsidRPr="00B7170F">
        <w:rPr>
          <w:rFonts w:ascii="Arial" w:hAnsi="Arial" w:cs="Arial"/>
          <w:noProof/>
          <w:sz w:val="22"/>
          <w:szCs w:val="22"/>
        </w:rPr>
        <w:t>(39)</w:t>
      </w:r>
      <w:r w:rsidR="001D7F41" w:rsidRPr="0002326A">
        <w:rPr>
          <w:rFonts w:ascii="Arial" w:hAnsi="Arial" w:cs="Arial"/>
          <w:sz w:val="22"/>
          <w:szCs w:val="22"/>
        </w:rPr>
        <w:fldChar w:fldCharType="end"/>
      </w:r>
      <w:r w:rsidR="001D7F41" w:rsidRPr="0002326A">
        <w:rPr>
          <w:rFonts w:ascii="Arial" w:hAnsi="Arial" w:cs="Arial"/>
          <w:sz w:val="22"/>
          <w:szCs w:val="22"/>
        </w:rPr>
        <w:t xml:space="preserve"> cell trajectory starting at CD8_4 and proceeding into 5 distinct curves: branch 1 (B</w:t>
      </w:r>
      <w:r w:rsidR="001D7F41" w:rsidRPr="0002326A">
        <w:rPr>
          <w:rFonts w:ascii="Arial" w:hAnsi="Arial" w:cs="Arial"/>
          <w:sz w:val="22"/>
          <w:szCs w:val="22"/>
          <w:vertAlign w:val="subscript"/>
        </w:rPr>
        <w:t>1</w:t>
      </w:r>
      <w:r w:rsidR="001D7F41" w:rsidRPr="0002326A">
        <w:rPr>
          <w:rFonts w:ascii="Arial" w:hAnsi="Arial" w:cs="Arial"/>
          <w:sz w:val="22"/>
          <w:szCs w:val="22"/>
        </w:rPr>
        <w:t>), B</w:t>
      </w:r>
      <w:r w:rsidR="001D7F41" w:rsidRPr="0002326A">
        <w:rPr>
          <w:rFonts w:ascii="Arial" w:hAnsi="Arial" w:cs="Arial"/>
          <w:sz w:val="22"/>
          <w:szCs w:val="22"/>
          <w:vertAlign w:val="subscript"/>
        </w:rPr>
        <w:t>2</w:t>
      </w:r>
      <w:r w:rsidR="001D7F41" w:rsidRPr="0002326A">
        <w:rPr>
          <w:rFonts w:ascii="Arial" w:hAnsi="Arial" w:cs="Arial"/>
          <w:sz w:val="22"/>
          <w:szCs w:val="22"/>
        </w:rPr>
        <w:t>, B</w:t>
      </w:r>
      <w:r w:rsidR="001D7F41" w:rsidRPr="0002326A">
        <w:rPr>
          <w:rFonts w:ascii="Arial" w:hAnsi="Arial" w:cs="Arial"/>
          <w:sz w:val="22"/>
          <w:szCs w:val="22"/>
          <w:vertAlign w:val="subscript"/>
        </w:rPr>
        <w:t>3</w:t>
      </w:r>
      <w:r w:rsidR="001D7F41" w:rsidRPr="0002326A">
        <w:rPr>
          <w:rFonts w:ascii="Arial" w:hAnsi="Arial" w:cs="Arial"/>
          <w:sz w:val="22"/>
          <w:szCs w:val="22"/>
        </w:rPr>
        <w:t>, B</w:t>
      </w:r>
      <w:r w:rsidR="001D7F41" w:rsidRPr="0002326A">
        <w:rPr>
          <w:rFonts w:ascii="Arial" w:hAnsi="Arial" w:cs="Arial"/>
          <w:sz w:val="22"/>
          <w:szCs w:val="22"/>
          <w:vertAlign w:val="subscript"/>
        </w:rPr>
        <w:t>4</w:t>
      </w:r>
      <w:r w:rsidR="001D7F41" w:rsidRPr="0002326A">
        <w:rPr>
          <w:rFonts w:ascii="Arial" w:hAnsi="Arial" w:cs="Arial"/>
          <w:sz w:val="22"/>
          <w:szCs w:val="22"/>
        </w:rPr>
        <w:t>, and B</w:t>
      </w:r>
      <w:r w:rsidR="001D7F41" w:rsidRPr="0002326A">
        <w:rPr>
          <w:rFonts w:ascii="Arial" w:hAnsi="Arial" w:cs="Arial"/>
          <w:sz w:val="22"/>
          <w:szCs w:val="22"/>
          <w:vertAlign w:val="subscript"/>
        </w:rPr>
        <w:t>5</w:t>
      </w:r>
      <w:r w:rsidR="001D7F41" w:rsidRPr="0002326A">
        <w:rPr>
          <w:rFonts w:ascii="Arial" w:hAnsi="Arial" w:cs="Arial"/>
          <w:sz w:val="22"/>
          <w:szCs w:val="22"/>
        </w:rPr>
        <w:t>.</w:t>
      </w:r>
      <w:r w:rsidR="00BF0F9E" w:rsidRPr="0002326A">
        <w:rPr>
          <w:rFonts w:ascii="Arial" w:hAnsi="Arial" w:cs="Arial"/>
          <w:sz w:val="22"/>
          <w:szCs w:val="22"/>
        </w:rPr>
        <w:t xml:space="preserve"> </w:t>
      </w:r>
      <w:r w:rsidR="0030339B" w:rsidRPr="0002326A">
        <w:rPr>
          <w:rFonts w:ascii="Arial" w:hAnsi="Arial" w:cs="Arial"/>
          <w:b/>
          <w:bCs/>
          <w:sz w:val="22"/>
          <w:szCs w:val="22"/>
        </w:rPr>
        <w:t>F</w:t>
      </w:r>
      <w:r w:rsidR="0030339B" w:rsidRPr="0002326A">
        <w:rPr>
          <w:rFonts w:ascii="Arial" w:hAnsi="Arial" w:cs="Arial"/>
          <w:sz w:val="22"/>
          <w:szCs w:val="22"/>
        </w:rPr>
        <w:t xml:space="preserve">. Clonotype overlap coefficients between subclusters. </w:t>
      </w:r>
      <w:r w:rsidR="0030339B" w:rsidRPr="0002326A">
        <w:rPr>
          <w:rFonts w:ascii="Arial" w:hAnsi="Arial" w:cs="Arial"/>
          <w:b/>
          <w:bCs/>
          <w:sz w:val="22"/>
          <w:szCs w:val="22"/>
        </w:rPr>
        <w:t>G</w:t>
      </w:r>
      <w:r w:rsidR="00BF0F9E" w:rsidRPr="0002326A">
        <w:rPr>
          <w:rFonts w:ascii="Arial" w:hAnsi="Arial" w:cs="Arial"/>
          <w:sz w:val="22"/>
          <w:szCs w:val="22"/>
        </w:rPr>
        <w:t>.</w:t>
      </w:r>
      <w:r w:rsidR="007A2B8C" w:rsidRPr="0002326A">
        <w:rPr>
          <w:rFonts w:ascii="Arial" w:hAnsi="Arial" w:cs="Arial"/>
          <w:sz w:val="22"/>
          <w:szCs w:val="22"/>
        </w:rPr>
        <w:t xml:space="preserve"> Z-transformed normalized enrichment scores from</w:t>
      </w:r>
      <w:r w:rsidR="00BF0F9E" w:rsidRPr="0002326A">
        <w:rPr>
          <w:rFonts w:ascii="Arial" w:hAnsi="Arial" w:cs="Arial"/>
          <w:sz w:val="22"/>
          <w:szCs w:val="22"/>
        </w:rPr>
        <w:t xml:space="preserve"> ssGSEA for </w:t>
      </w:r>
      <w:r w:rsidR="007A2B8C" w:rsidRPr="0002326A">
        <w:rPr>
          <w:rFonts w:ascii="Arial" w:hAnsi="Arial" w:cs="Arial"/>
          <w:sz w:val="22"/>
          <w:szCs w:val="22"/>
        </w:rPr>
        <w:t>selected gene sets by subcluster.</w:t>
      </w:r>
      <w:r w:rsidR="00BF0F9E" w:rsidRPr="0002326A">
        <w:rPr>
          <w:rFonts w:ascii="Arial" w:hAnsi="Arial" w:cs="Arial"/>
          <w:sz w:val="22"/>
          <w:szCs w:val="22"/>
        </w:rPr>
        <w:t xml:space="preserve"> </w:t>
      </w:r>
      <w:r w:rsidR="0030339B" w:rsidRPr="0002326A">
        <w:rPr>
          <w:rFonts w:ascii="Arial" w:hAnsi="Arial" w:cs="Arial"/>
          <w:b/>
          <w:bCs/>
          <w:sz w:val="22"/>
          <w:szCs w:val="22"/>
        </w:rPr>
        <w:t>H</w:t>
      </w:r>
      <w:r w:rsidR="00BF0F9E" w:rsidRPr="0002326A">
        <w:rPr>
          <w:rFonts w:ascii="Arial" w:hAnsi="Arial" w:cs="Arial"/>
          <w:sz w:val="22"/>
          <w:szCs w:val="22"/>
        </w:rPr>
        <w:t xml:space="preserve">. </w:t>
      </w:r>
      <w:r w:rsidR="007A2B8C" w:rsidRPr="0002326A">
        <w:rPr>
          <w:rFonts w:ascii="Arial" w:hAnsi="Arial" w:cs="Arial"/>
          <w:sz w:val="22"/>
          <w:szCs w:val="22"/>
        </w:rPr>
        <w:t>Normalized enrichment scores for therapeutic response or lack of response to anti-PD-1 therapy across the CD8</w:t>
      </w:r>
      <w:r w:rsidR="007A2B8C" w:rsidRPr="0002326A">
        <w:rPr>
          <w:rFonts w:ascii="Arial" w:hAnsi="Arial" w:cs="Arial"/>
          <w:sz w:val="22"/>
          <w:szCs w:val="22"/>
          <w:vertAlign w:val="superscript"/>
        </w:rPr>
        <w:t>+</w:t>
      </w:r>
      <w:r w:rsidR="007A2B8C" w:rsidRPr="0002326A">
        <w:rPr>
          <w:rFonts w:ascii="Arial" w:hAnsi="Arial" w:cs="Arial"/>
          <w:sz w:val="22"/>
          <w:szCs w:val="22"/>
        </w:rPr>
        <w:t xml:space="preserve"> T cells (upper panel) and by pseudotime of each branch (lower panel).</w:t>
      </w:r>
    </w:p>
    <w:p w14:paraId="22C8775A" w14:textId="3205A99F" w:rsidR="00BF0F9E" w:rsidRDefault="009E221A"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1E49178C" wp14:editId="6ABD9610">
            <wp:extent cx="5943600" cy="3774440"/>
            <wp:effectExtent l="0" t="0" r="0" b="0"/>
            <wp:docPr id="5" name="Picture 5" descr="A picture containing compute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5773DB57" w14:textId="2B775782" w:rsidR="009E221A" w:rsidRPr="0044717B" w:rsidRDefault="009E221A" w:rsidP="009E221A">
      <w:pPr>
        <w:spacing w:line="480" w:lineRule="auto"/>
        <w:rPr>
          <w:rFonts w:ascii="Arial" w:hAnsi="Arial" w:cs="Arial"/>
          <w:sz w:val="22"/>
          <w:szCs w:val="22"/>
        </w:rPr>
      </w:pPr>
      <w:r w:rsidRPr="009E2322">
        <w:rPr>
          <w:rFonts w:ascii="Arial" w:hAnsi="Arial" w:cs="Arial"/>
          <w:b/>
          <w:bCs/>
          <w:sz w:val="22"/>
          <w:szCs w:val="22"/>
        </w:rPr>
        <w:t xml:space="preserve">Figure </w:t>
      </w:r>
      <w:r>
        <w:rPr>
          <w:rFonts w:ascii="Arial" w:hAnsi="Arial" w:cs="Arial"/>
          <w:b/>
          <w:bCs/>
          <w:sz w:val="22"/>
          <w:szCs w:val="22"/>
        </w:rPr>
        <w:t>3</w:t>
      </w:r>
      <w:r w:rsidRPr="009E2322">
        <w:rPr>
          <w:rFonts w:ascii="Arial" w:hAnsi="Arial" w:cs="Arial"/>
          <w:b/>
          <w:bCs/>
          <w:sz w:val="22"/>
          <w:szCs w:val="22"/>
        </w:rPr>
        <w:t xml:space="preserve">: </w:t>
      </w:r>
      <w:r>
        <w:rPr>
          <w:rFonts w:ascii="Arial" w:hAnsi="Arial" w:cs="Arial"/>
          <w:b/>
          <w:bCs/>
          <w:sz w:val="22"/>
          <w:szCs w:val="22"/>
        </w:rPr>
        <w:t xml:space="preserve">Single-cell </w:t>
      </w:r>
      <w:r w:rsidRPr="009E2322">
        <w:rPr>
          <w:rFonts w:ascii="Arial" w:hAnsi="Arial" w:cs="Arial"/>
          <w:b/>
          <w:bCs/>
          <w:sz w:val="22"/>
          <w:szCs w:val="22"/>
        </w:rPr>
        <w:t>CD4</w:t>
      </w:r>
      <w:r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UMAP subclustering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and absolute percent of cells by tissue in each cluster. </w:t>
      </w:r>
      <w:r>
        <w:rPr>
          <w:rFonts w:ascii="Arial" w:hAnsi="Arial" w:cs="Arial"/>
          <w:b/>
          <w:bCs/>
          <w:sz w:val="22"/>
          <w:szCs w:val="22"/>
        </w:rPr>
        <w:t>C</w:t>
      </w:r>
      <w:r>
        <w:rPr>
          <w:rFonts w:ascii="Arial" w:hAnsi="Arial" w:cs="Arial"/>
          <w:sz w:val="22"/>
          <w:szCs w:val="22"/>
        </w:rPr>
        <w:t>. Percent of cells expressing selected markers for T cell biology.</w:t>
      </w:r>
      <w:r w:rsidRPr="002D4FB3">
        <w:rPr>
          <w:rFonts w:ascii="Arial" w:hAnsi="Arial" w:cs="Arial"/>
          <w:b/>
          <w:bCs/>
          <w:sz w:val="22"/>
          <w:szCs w:val="22"/>
        </w:rPr>
        <w:t xml:space="preserve"> </w:t>
      </w:r>
      <w:r>
        <w:rPr>
          <w:rFonts w:ascii="Arial" w:hAnsi="Arial" w:cs="Arial"/>
          <w:b/>
          <w:bCs/>
          <w:sz w:val="22"/>
          <w:szCs w:val="22"/>
        </w:rPr>
        <w:t>D</w:t>
      </w:r>
      <w:r>
        <w:rPr>
          <w:rFonts w:ascii="Arial" w:hAnsi="Arial" w:cs="Arial"/>
          <w:sz w:val="22"/>
          <w:szCs w:val="22"/>
        </w:rPr>
        <w:t xml:space="preserve">. </w:t>
      </w: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subclusters (upper panel) and clonotype frequency (lower panel) overlaid with slingshot-based </w:t>
      </w:r>
      <w:r w:rsidRPr="00DD271C">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Pr="00DD271C">
        <w:rPr>
          <w:rFonts w:ascii="Arial" w:hAnsi="Arial" w:cs="Arial"/>
          <w:sz w:val="22"/>
          <w:szCs w:val="22"/>
        </w:rPr>
        <w:fldChar w:fldCharType="separate"/>
      </w:r>
      <w:r w:rsidR="00B7170F" w:rsidRPr="00B7170F">
        <w:rPr>
          <w:rFonts w:ascii="Arial" w:hAnsi="Arial" w:cs="Arial"/>
          <w:noProof/>
          <w:sz w:val="22"/>
          <w:szCs w:val="22"/>
        </w:rPr>
        <w:t>(39)</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CD4_3 (root 2) with relative pseudotime for all curves calculated using slingshot. </w:t>
      </w:r>
      <w:r w:rsidRPr="009E221A">
        <w:rPr>
          <w:rFonts w:ascii="Arial" w:hAnsi="Arial" w:cs="Arial"/>
          <w:b/>
          <w:bCs/>
          <w:sz w:val="22"/>
          <w:szCs w:val="22"/>
        </w:rPr>
        <w:t>E</w:t>
      </w:r>
      <w:r>
        <w:rPr>
          <w:rFonts w:ascii="Arial" w:hAnsi="Arial" w:cs="Arial"/>
          <w:sz w:val="22"/>
          <w:szCs w:val="22"/>
        </w:rPr>
        <w:t xml:space="preserve">. Occupied repertoire space for CD4+ subclusters.  </w:t>
      </w:r>
      <w:r>
        <w:rPr>
          <w:rFonts w:ascii="Arial" w:hAnsi="Arial" w:cs="Arial"/>
          <w:b/>
          <w:bCs/>
          <w:sz w:val="22"/>
          <w:szCs w:val="22"/>
        </w:rPr>
        <w:t>F</w:t>
      </w:r>
      <w:r>
        <w:rPr>
          <w:rFonts w:ascii="Arial" w:hAnsi="Arial" w:cs="Arial"/>
          <w:sz w:val="22"/>
          <w:szCs w:val="22"/>
        </w:rPr>
        <w:t>. Top 10 markers for TI-predominant CD4</w:t>
      </w:r>
      <w:r w:rsidRPr="00014CCE">
        <w:rPr>
          <w:rFonts w:ascii="Arial" w:hAnsi="Arial" w:cs="Arial"/>
          <w:sz w:val="22"/>
          <w:szCs w:val="22"/>
          <w:vertAlign w:val="superscript"/>
        </w:rPr>
        <w:t>+</w:t>
      </w:r>
      <w:r>
        <w:rPr>
          <w:rFonts w:ascii="Arial" w:hAnsi="Arial" w:cs="Arial"/>
          <w:sz w:val="22"/>
          <w:szCs w:val="22"/>
        </w:rPr>
        <w:t xml:space="preserve"> subclusters. Size of points are relative</w:t>
      </w:r>
      <w:r w:rsidR="00E547C6">
        <w:rPr>
          <w:rFonts w:ascii="Arial" w:hAnsi="Arial" w:cs="Arial"/>
          <w:sz w:val="22"/>
          <w:szCs w:val="22"/>
        </w:rPr>
        <w:t xml:space="preserve"> to</w:t>
      </w:r>
      <w:r>
        <w:rPr>
          <w:rFonts w:ascii="Arial" w:hAnsi="Arial" w:cs="Arial"/>
          <w:sz w:val="22"/>
          <w:szCs w:val="22"/>
        </w:rPr>
        <w:t xml:space="preserve"> percent of cells in cluster expressing the indicated mRNA species. </w:t>
      </w:r>
      <w:r>
        <w:rPr>
          <w:rFonts w:ascii="Arial" w:hAnsi="Arial" w:cs="Arial"/>
          <w:b/>
          <w:bCs/>
          <w:sz w:val="22"/>
          <w:szCs w:val="22"/>
        </w:rPr>
        <w:t>G</w:t>
      </w:r>
      <w:r w:rsidRPr="00DD271C">
        <w:rPr>
          <w:rFonts w:ascii="Arial" w:hAnsi="Arial" w:cs="Arial"/>
          <w:sz w:val="22"/>
          <w:szCs w:val="22"/>
        </w:rPr>
        <w:t>. Z-transformed normalized enrichment scores from ssGSEA  for selected gene sets by subcluster.</w:t>
      </w:r>
    </w:p>
    <w:p w14:paraId="486955E9" w14:textId="68105669" w:rsidR="009E221A" w:rsidRDefault="009E221A" w:rsidP="00276C2F">
      <w:pPr>
        <w:spacing w:line="480" w:lineRule="auto"/>
        <w:rPr>
          <w:rFonts w:ascii="Arial" w:hAnsi="Arial" w:cs="Arial"/>
          <w:sz w:val="22"/>
          <w:szCs w:val="22"/>
        </w:rPr>
      </w:pPr>
    </w:p>
    <w:p w14:paraId="55CFEC09" w14:textId="249EF2B5" w:rsidR="009E221A" w:rsidRDefault="009E221A" w:rsidP="00276C2F">
      <w:pPr>
        <w:spacing w:line="480" w:lineRule="auto"/>
        <w:rPr>
          <w:rFonts w:ascii="Arial" w:hAnsi="Arial" w:cs="Arial"/>
          <w:sz w:val="22"/>
          <w:szCs w:val="22"/>
        </w:rPr>
      </w:pPr>
    </w:p>
    <w:p w14:paraId="00D1D0A4" w14:textId="77777777" w:rsidR="009E221A" w:rsidRPr="0002326A" w:rsidRDefault="009E221A" w:rsidP="00276C2F">
      <w:pPr>
        <w:spacing w:line="480" w:lineRule="auto"/>
        <w:rPr>
          <w:rFonts w:ascii="Arial" w:hAnsi="Arial" w:cs="Arial"/>
          <w:sz w:val="22"/>
          <w:szCs w:val="22"/>
        </w:rPr>
      </w:pPr>
    </w:p>
    <w:p w14:paraId="57BF69BE" w14:textId="6B928236" w:rsidR="000A224A" w:rsidRPr="0002326A" w:rsidRDefault="00C62E73"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6E9A4CF2" wp14:editId="1C84F475">
            <wp:extent cx="5943600" cy="3972560"/>
            <wp:effectExtent l="0" t="0" r="0" b="2540"/>
            <wp:docPr id="7" name="Picture 7" descr="A picture containing indoor, sitting,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1D1941B1" w:rsidR="000A224A" w:rsidRPr="0002326A" w:rsidRDefault="009E2322" w:rsidP="00276C2F">
      <w:pPr>
        <w:spacing w:line="480" w:lineRule="auto"/>
        <w:rPr>
          <w:rFonts w:ascii="Arial" w:hAnsi="Arial" w:cs="Arial"/>
          <w:sz w:val="22"/>
          <w:szCs w:val="22"/>
        </w:rPr>
      </w:pPr>
      <w:r w:rsidRPr="0002326A">
        <w:rPr>
          <w:rFonts w:ascii="Arial" w:hAnsi="Arial" w:cs="Arial"/>
          <w:b/>
          <w:bCs/>
          <w:sz w:val="22"/>
          <w:szCs w:val="22"/>
        </w:rPr>
        <w:t xml:space="preserve">Figure </w:t>
      </w:r>
      <w:r w:rsidR="009766CA">
        <w:rPr>
          <w:rFonts w:ascii="Arial" w:hAnsi="Arial" w:cs="Arial"/>
          <w:b/>
          <w:bCs/>
          <w:sz w:val="22"/>
          <w:szCs w:val="22"/>
        </w:rPr>
        <w:t>5</w:t>
      </w:r>
      <w:r w:rsidRPr="0002326A">
        <w:rPr>
          <w:rFonts w:ascii="Arial" w:hAnsi="Arial" w:cs="Arial"/>
          <w:b/>
          <w:bCs/>
          <w:sz w:val="22"/>
          <w:szCs w:val="22"/>
        </w:rPr>
        <w:t xml:space="preserve">: </w:t>
      </w:r>
      <w:r w:rsidR="0044717B" w:rsidRPr="0002326A">
        <w:rPr>
          <w:rFonts w:ascii="Arial" w:hAnsi="Arial" w:cs="Arial"/>
          <w:b/>
          <w:bCs/>
          <w:sz w:val="22"/>
          <w:szCs w:val="22"/>
        </w:rPr>
        <w:t xml:space="preserve">Single-cell </w:t>
      </w:r>
      <w:r w:rsidRPr="0002326A">
        <w:rPr>
          <w:rFonts w:ascii="Arial" w:hAnsi="Arial" w:cs="Arial"/>
          <w:b/>
          <w:bCs/>
          <w:sz w:val="22"/>
          <w:szCs w:val="22"/>
        </w:rPr>
        <w:t>CD4</w:t>
      </w:r>
      <w:r w:rsidR="0044717B" w:rsidRPr="0002326A">
        <w:rPr>
          <w:rFonts w:ascii="Arial" w:hAnsi="Arial" w:cs="Arial"/>
          <w:b/>
          <w:bCs/>
          <w:sz w:val="22"/>
          <w:szCs w:val="22"/>
          <w:vertAlign w:val="superscript"/>
        </w:rPr>
        <w:t>+</w:t>
      </w:r>
      <w:r w:rsidRPr="0002326A">
        <w:rPr>
          <w:rFonts w:ascii="Arial" w:hAnsi="Arial" w:cs="Arial"/>
          <w:b/>
          <w:bCs/>
          <w:sz w:val="22"/>
          <w:szCs w:val="22"/>
        </w:rPr>
        <w:t xml:space="preserve"> T cell characterization</w:t>
      </w:r>
      <w:r w:rsidR="0044717B" w:rsidRPr="0002326A">
        <w:rPr>
          <w:rFonts w:ascii="Arial" w:hAnsi="Arial" w:cs="Arial"/>
          <w:b/>
          <w:bCs/>
          <w:sz w:val="22"/>
          <w:szCs w:val="22"/>
        </w:rPr>
        <w:t xml:space="preserve"> in ccRCC</w:t>
      </w:r>
      <w:r w:rsidRPr="0002326A">
        <w:rPr>
          <w:rFonts w:ascii="Arial" w:hAnsi="Arial" w:cs="Arial"/>
          <w:b/>
          <w:bCs/>
          <w:sz w:val="22"/>
          <w:szCs w:val="22"/>
        </w:rPr>
        <w:t xml:space="preserve"> finds disparate intratumoral </w:t>
      </w:r>
      <w:r w:rsidR="0044717B" w:rsidRPr="0002326A">
        <w:rPr>
          <w:rFonts w:ascii="Arial" w:hAnsi="Arial" w:cs="Arial"/>
          <w:b/>
          <w:bCs/>
          <w:sz w:val="22"/>
          <w:szCs w:val="22"/>
        </w:rPr>
        <w:t>with common endpoints</w:t>
      </w:r>
      <w:r w:rsidRPr="0002326A">
        <w:rPr>
          <w:rFonts w:ascii="Arial" w:hAnsi="Arial" w:cs="Arial"/>
          <w:b/>
          <w:bCs/>
          <w:sz w:val="22"/>
          <w:szCs w:val="22"/>
        </w:rPr>
        <w:t>.</w:t>
      </w:r>
      <w:r w:rsidRPr="0002326A">
        <w:rPr>
          <w:rFonts w:ascii="Arial" w:hAnsi="Arial" w:cs="Arial"/>
          <w:sz w:val="22"/>
          <w:szCs w:val="22"/>
        </w:rPr>
        <w:t xml:space="preserve"> </w:t>
      </w:r>
      <w:r w:rsidRPr="0002326A">
        <w:rPr>
          <w:rFonts w:ascii="Arial" w:hAnsi="Arial" w:cs="Arial"/>
          <w:b/>
          <w:bCs/>
          <w:sz w:val="22"/>
          <w:szCs w:val="22"/>
        </w:rPr>
        <w:t>A</w:t>
      </w:r>
      <w:r w:rsidRPr="0002326A">
        <w:rPr>
          <w:rFonts w:ascii="Arial" w:hAnsi="Arial" w:cs="Arial"/>
          <w:sz w:val="22"/>
          <w:szCs w:val="22"/>
        </w:rPr>
        <w:t>. UMAP subclustering of CD4</w:t>
      </w:r>
      <w:r w:rsidRPr="0002326A">
        <w:rPr>
          <w:rFonts w:ascii="Arial" w:hAnsi="Arial" w:cs="Arial"/>
          <w:sz w:val="22"/>
          <w:szCs w:val="22"/>
          <w:vertAlign w:val="superscript"/>
        </w:rPr>
        <w:t>+</w:t>
      </w:r>
      <w:r w:rsidRPr="0002326A">
        <w:rPr>
          <w:rFonts w:ascii="Arial" w:hAnsi="Arial" w:cs="Arial"/>
          <w:sz w:val="22"/>
          <w:szCs w:val="22"/>
        </w:rPr>
        <w:t xml:space="preserve"> T cells (original clusters 4, 6, 10, 13, 15, and 20). </w:t>
      </w:r>
      <w:r w:rsidRPr="0002326A">
        <w:rPr>
          <w:rFonts w:ascii="Arial" w:hAnsi="Arial" w:cs="Arial"/>
          <w:b/>
          <w:bCs/>
          <w:sz w:val="22"/>
          <w:szCs w:val="22"/>
        </w:rPr>
        <w:t>B</w:t>
      </w:r>
      <w:r w:rsidRPr="0002326A">
        <w:rPr>
          <w:rFonts w:ascii="Arial" w:hAnsi="Arial" w:cs="Arial"/>
          <w:sz w:val="22"/>
          <w:szCs w:val="22"/>
        </w:rPr>
        <w:t xml:space="preserve">. UMAP distribution of single cells by tissue type with relative percent of cells by tissue in each cluster. </w:t>
      </w:r>
      <w:r w:rsidR="002D4FB3" w:rsidRPr="0002326A">
        <w:rPr>
          <w:rFonts w:ascii="Arial" w:hAnsi="Arial" w:cs="Arial"/>
          <w:b/>
          <w:bCs/>
          <w:sz w:val="22"/>
          <w:szCs w:val="22"/>
        </w:rPr>
        <w:t>C</w:t>
      </w:r>
      <w:r w:rsidRPr="0002326A">
        <w:rPr>
          <w:rFonts w:ascii="Arial" w:hAnsi="Arial" w:cs="Arial"/>
          <w:sz w:val="22"/>
          <w:szCs w:val="22"/>
        </w:rPr>
        <w:t xml:space="preserve">. Percent of cells expressing selected markers for </w:t>
      </w:r>
      <w:r w:rsidR="000A224A" w:rsidRPr="0002326A">
        <w:rPr>
          <w:rFonts w:ascii="Arial" w:hAnsi="Arial" w:cs="Arial"/>
          <w:sz w:val="22"/>
          <w:szCs w:val="22"/>
        </w:rPr>
        <w:t>myeloid and macrophage markers</w:t>
      </w:r>
      <w:r w:rsidRPr="0002326A">
        <w:rPr>
          <w:rFonts w:ascii="Arial" w:hAnsi="Arial" w:cs="Arial"/>
          <w:sz w:val="22"/>
          <w:szCs w:val="22"/>
        </w:rPr>
        <w:t>.</w:t>
      </w:r>
      <w:r w:rsidR="002D4FB3" w:rsidRPr="0002326A">
        <w:rPr>
          <w:rFonts w:ascii="Arial" w:hAnsi="Arial" w:cs="Arial"/>
          <w:b/>
          <w:bCs/>
          <w:sz w:val="22"/>
          <w:szCs w:val="22"/>
        </w:rPr>
        <w:t xml:space="preserve"> D</w:t>
      </w:r>
      <w:r w:rsidR="002D4FB3" w:rsidRPr="0002326A">
        <w:rPr>
          <w:rFonts w:ascii="Arial" w:hAnsi="Arial" w:cs="Arial"/>
          <w:sz w:val="22"/>
          <w:szCs w:val="22"/>
        </w:rPr>
        <w:t xml:space="preserve">. </w:t>
      </w:r>
      <w:r w:rsidR="000A224A" w:rsidRPr="0002326A">
        <w:rPr>
          <w:rFonts w:ascii="Arial" w:hAnsi="Arial" w:cs="Arial"/>
          <w:sz w:val="22"/>
          <w:szCs w:val="22"/>
        </w:rPr>
        <w:t xml:space="preserve">Proportion of assigned cell types compared to total antigen presenting cells by tissue type. </w:t>
      </w:r>
      <w:r w:rsidR="000A224A" w:rsidRPr="0002326A">
        <w:rPr>
          <w:rFonts w:ascii="Arial" w:hAnsi="Arial" w:cs="Arial"/>
          <w:b/>
          <w:bCs/>
          <w:sz w:val="22"/>
          <w:szCs w:val="22"/>
        </w:rPr>
        <w:t>E</w:t>
      </w:r>
      <w:r w:rsidR="000A224A" w:rsidRPr="0002326A">
        <w:rPr>
          <w:rFonts w:ascii="Arial" w:hAnsi="Arial" w:cs="Arial"/>
          <w:sz w:val="22"/>
          <w:szCs w:val="22"/>
        </w:rPr>
        <w:t xml:space="preserve">. Macrophage subclusters: TAM_1 </w:t>
      </w:r>
      <w:r w:rsidR="000A224A" w:rsidRPr="009232CA">
        <w:rPr>
          <w:rFonts w:ascii="Arial" w:hAnsi="Arial" w:cs="Arial"/>
          <w:sz w:val="22"/>
          <w:szCs w:val="22"/>
        </w:rPr>
        <w:t>(n=</w:t>
      </w:r>
      <w:r w:rsidR="009232CA" w:rsidRPr="009232CA">
        <w:rPr>
          <w:rFonts w:ascii="Arial" w:hAnsi="Arial" w:cs="Arial"/>
          <w:sz w:val="22"/>
          <w:szCs w:val="22"/>
        </w:rPr>
        <w:t>1,262</w:t>
      </w:r>
      <w:r w:rsidR="000A224A" w:rsidRPr="009232CA">
        <w:rPr>
          <w:rFonts w:ascii="Arial" w:hAnsi="Arial" w:cs="Arial"/>
          <w:sz w:val="22"/>
          <w:szCs w:val="22"/>
        </w:rPr>
        <w:t>), TAM_2 (n=</w:t>
      </w:r>
      <w:r w:rsidR="009232CA" w:rsidRPr="009232CA">
        <w:rPr>
          <w:rFonts w:ascii="Arial" w:hAnsi="Arial" w:cs="Arial"/>
          <w:sz w:val="22"/>
          <w:szCs w:val="22"/>
        </w:rPr>
        <w:t>840</w:t>
      </w:r>
      <w:r w:rsidR="000A224A" w:rsidRPr="009232CA">
        <w:rPr>
          <w:rFonts w:ascii="Arial" w:hAnsi="Arial" w:cs="Arial"/>
          <w:sz w:val="22"/>
          <w:szCs w:val="22"/>
        </w:rPr>
        <w:t>), TAM_3 (n=</w:t>
      </w:r>
      <w:r w:rsidR="009232CA" w:rsidRPr="009232CA">
        <w:rPr>
          <w:rFonts w:ascii="Arial" w:hAnsi="Arial" w:cs="Arial"/>
          <w:sz w:val="22"/>
          <w:szCs w:val="22"/>
        </w:rPr>
        <w:t>594</w:t>
      </w:r>
      <w:r w:rsidR="000A224A" w:rsidRPr="009232CA">
        <w:rPr>
          <w:rFonts w:ascii="Arial" w:hAnsi="Arial" w:cs="Arial"/>
          <w:sz w:val="22"/>
          <w:szCs w:val="22"/>
        </w:rPr>
        <w:t>), pM (n=</w:t>
      </w:r>
      <w:r w:rsidR="009232CA" w:rsidRPr="009232CA">
        <w:rPr>
          <w:rFonts w:ascii="Arial" w:hAnsi="Arial" w:cs="Arial"/>
          <w:sz w:val="22"/>
          <w:szCs w:val="22"/>
        </w:rPr>
        <w:t>275</w:t>
      </w:r>
      <w:r w:rsidR="000A224A" w:rsidRPr="009232CA">
        <w:rPr>
          <w:rFonts w:ascii="Arial" w:hAnsi="Arial" w:cs="Arial"/>
          <w:sz w:val="22"/>
          <w:szCs w:val="22"/>
        </w:rPr>
        <w:t>), and rM (n=</w:t>
      </w:r>
      <w:r w:rsidR="009232CA" w:rsidRPr="009232CA">
        <w:rPr>
          <w:rFonts w:ascii="Arial" w:hAnsi="Arial" w:cs="Arial"/>
          <w:sz w:val="22"/>
          <w:szCs w:val="22"/>
        </w:rPr>
        <w:t>194</w:t>
      </w:r>
      <w:r w:rsidR="000A224A" w:rsidRPr="009232CA">
        <w:rPr>
          <w:rFonts w:ascii="Arial" w:hAnsi="Arial" w:cs="Arial"/>
          <w:sz w:val="22"/>
          <w:szCs w:val="22"/>
        </w:rPr>
        <w:t>)</w:t>
      </w:r>
      <w:r w:rsidR="000A224A" w:rsidRPr="0002326A">
        <w:rPr>
          <w:rFonts w:ascii="Arial" w:hAnsi="Arial" w:cs="Arial"/>
          <w:sz w:val="22"/>
          <w:szCs w:val="22"/>
        </w:rPr>
        <w:t xml:space="preserve"> with relative</w:t>
      </w:r>
      <w:r w:rsidR="00C62E73">
        <w:rPr>
          <w:rFonts w:ascii="Arial" w:hAnsi="Arial" w:cs="Arial"/>
          <w:sz w:val="22"/>
          <w:szCs w:val="22"/>
        </w:rPr>
        <w:t xml:space="preserve"> and absolute</w:t>
      </w:r>
      <w:r w:rsidR="000A224A" w:rsidRPr="0002326A">
        <w:rPr>
          <w:rFonts w:ascii="Arial" w:hAnsi="Arial" w:cs="Arial"/>
          <w:sz w:val="22"/>
          <w:szCs w:val="22"/>
        </w:rPr>
        <w:t xml:space="preserve"> percent of cells by tissue in each cluster. </w:t>
      </w:r>
      <w:r w:rsidR="000A224A" w:rsidRPr="009232CA">
        <w:rPr>
          <w:rFonts w:ascii="Arial" w:hAnsi="Arial" w:cs="Arial"/>
          <w:b/>
          <w:bCs/>
          <w:sz w:val="22"/>
          <w:szCs w:val="22"/>
        </w:rPr>
        <w:t>F</w:t>
      </w:r>
      <w:r w:rsidR="000A224A" w:rsidRPr="0002326A">
        <w:rPr>
          <w:rFonts w:ascii="Arial" w:hAnsi="Arial" w:cs="Arial"/>
          <w:sz w:val="22"/>
          <w:szCs w:val="22"/>
        </w:rPr>
        <w:t xml:space="preserve">. </w:t>
      </w:r>
      <w:r w:rsidR="009232CA">
        <w:rPr>
          <w:rFonts w:ascii="Arial" w:hAnsi="Arial" w:cs="Arial"/>
          <w:sz w:val="22"/>
          <w:szCs w:val="22"/>
        </w:rPr>
        <w:t>Top d</w:t>
      </w:r>
      <w:r w:rsidR="000A224A" w:rsidRPr="0002326A">
        <w:rPr>
          <w:rFonts w:ascii="Arial" w:hAnsi="Arial" w:cs="Arial"/>
          <w:sz w:val="22"/>
          <w:szCs w:val="22"/>
        </w:rPr>
        <w:t xml:space="preserve">ifferential expression markers for macrophage subclusters. </w:t>
      </w:r>
      <w:r w:rsidR="000A224A" w:rsidRPr="0002326A">
        <w:rPr>
          <w:rFonts w:ascii="Arial" w:hAnsi="Arial" w:cs="Arial"/>
          <w:b/>
          <w:bCs/>
          <w:sz w:val="22"/>
          <w:szCs w:val="22"/>
        </w:rPr>
        <w:t>G</w:t>
      </w:r>
      <w:r w:rsidR="000A224A" w:rsidRPr="0002326A">
        <w:rPr>
          <w:rFonts w:ascii="Arial" w:hAnsi="Arial" w:cs="Arial"/>
          <w:sz w:val="22"/>
          <w:szCs w:val="22"/>
        </w:rPr>
        <w:t xml:space="preserve">. Macrophage UMAP overlaid with slingshot-based </w:t>
      </w:r>
      <w:r w:rsidR="000A224A"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0A224A" w:rsidRPr="0002326A">
        <w:rPr>
          <w:rFonts w:ascii="Arial" w:hAnsi="Arial" w:cs="Arial"/>
          <w:sz w:val="22"/>
          <w:szCs w:val="22"/>
        </w:rPr>
        <w:fldChar w:fldCharType="separate"/>
      </w:r>
      <w:r w:rsidR="00B7170F" w:rsidRPr="00B7170F">
        <w:rPr>
          <w:rFonts w:ascii="Arial" w:hAnsi="Arial" w:cs="Arial"/>
          <w:noProof/>
          <w:sz w:val="22"/>
          <w:szCs w:val="22"/>
        </w:rPr>
        <w:t>(39)</w:t>
      </w:r>
      <w:r w:rsidR="000A224A" w:rsidRPr="0002326A">
        <w:rPr>
          <w:rFonts w:ascii="Arial" w:hAnsi="Arial" w:cs="Arial"/>
          <w:sz w:val="22"/>
          <w:szCs w:val="22"/>
        </w:rPr>
        <w:fldChar w:fldCharType="end"/>
      </w:r>
      <w:r w:rsidR="000A224A" w:rsidRPr="0002326A">
        <w:rPr>
          <w:rFonts w:ascii="Arial" w:hAnsi="Arial" w:cs="Arial"/>
          <w:sz w:val="22"/>
          <w:szCs w:val="22"/>
        </w:rPr>
        <w:t xml:space="preserve"> cell trajectories starting at rM and TAM_2 and proceeding into pM. Smaller UMAP shows pseudotime created by the cell trajectories. </w:t>
      </w:r>
      <w:r w:rsidR="000A224A" w:rsidRPr="0002326A">
        <w:rPr>
          <w:rFonts w:ascii="Arial" w:hAnsi="Arial" w:cs="Arial"/>
          <w:b/>
          <w:bCs/>
          <w:sz w:val="22"/>
          <w:szCs w:val="22"/>
        </w:rPr>
        <w:t>H</w:t>
      </w:r>
      <w:r w:rsidR="000A224A" w:rsidRPr="0002326A">
        <w:rPr>
          <w:rFonts w:ascii="Arial" w:hAnsi="Arial" w:cs="Arial"/>
          <w:sz w:val="22"/>
          <w:szCs w:val="22"/>
        </w:rPr>
        <w:t>. Z-transformed normalized enrichment scores from ssGSEA  for selected gene sets by subcluster.</w:t>
      </w:r>
    </w:p>
    <w:p w14:paraId="51F316DE" w14:textId="77777777" w:rsidR="000A224A" w:rsidRPr="0002326A" w:rsidRDefault="000A224A" w:rsidP="00276C2F">
      <w:pPr>
        <w:spacing w:line="480" w:lineRule="auto"/>
        <w:rPr>
          <w:rFonts w:ascii="Arial" w:hAnsi="Arial" w:cs="Arial"/>
          <w:sz w:val="22"/>
          <w:szCs w:val="22"/>
        </w:rPr>
      </w:pPr>
    </w:p>
    <w:p w14:paraId="6D160E61" w14:textId="2BDF2439" w:rsidR="009E2322" w:rsidRPr="0002326A" w:rsidRDefault="009E2322" w:rsidP="00276C2F">
      <w:pPr>
        <w:spacing w:line="480" w:lineRule="auto"/>
        <w:rPr>
          <w:rFonts w:ascii="Arial" w:hAnsi="Arial" w:cs="Arial"/>
          <w:sz w:val="22"/>
          <w:szCs w:val="22"/>
        </w:rPr>
      </w:pPr>
    </w:p>
    <w:sectPr w:rsidR="009E2322" w:rsidRPr="0002326A"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16C1A"/>
    <w:rsid w:val="0002326A"/>
    <w:rsid w:val="00024358"/>
    <w:rsid w:val="00034385"/>
    <w:rsid w:val="000352EF"/>
    <w:rsid w:val="00040449"/>
    <w:rsid w:val="00045B3F"/>
    <w:rsid w:val="00050C57"/>
    <w:rsid w:val="0005365F"/>
    <w:rsid w:val="0006181A"/>
    <w:rsid w:val="00072B81"/>
    <w:rsid w:val="00074BA2"/>
    <w:rsid w:val="000841A4"/>
    <w:rsid w:val="000928FC"/>
    <w:rsid w:val="000A02B4"/>
    <w:rsid w:val="000A09C5"/>
    <w:rsid w:val="000A224A"/>
    <w:rsid w:val="000A6675"/>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4FDB"/>
    <w:rsid w:val="00185803"/>
    <w:rsid w:val="00194EF3"/>
    <w:rsid w:val="00196548"/>
    <w:rsid w:val="00196F01"/>
    <w:rsid w:val="001A4ED9"/>
    <w:rsid w:val="001A6DCD"/>
    <w:rsid w:val="001C7A5D"/>
    <w:rsid w:val="001C7E66"/>
    <w:rsid w:val="001D7F41"/>
    <w:rsid w:val="001F7933"/>
    <w:rsid w:val="0020613A"/>
    <w:rsid w:val="00206317"/>
    <w:rsid w:val="0021505D"/>
    <w:rsid w:val="0022606C"/>
    <w:rsid w:val="002355A8"/>
    <w:rsid w:val="0024418D"/>
    <w:rsid w:val="00244E36"/>
    <w:rsid w:val="00247762"/>
    <w:rsid w:val="00250FBC"/>
    <w:rsid w:val="0026330F"/>
    <w:rsid w:val="00272B1C"/>
    <w:rsid w:val="00276C2F"/>
    <w:rsid w:val="00287639"/>
    <w:rsid w:val="002A683B"/>
    <w:rsid w:val="002B3EDD"/>
    <w:rsid w:val="002C44F6"/>
    <w:rsid w:val="002D1CBB"/>
    <w:rsid w:val="002D4FB3"/>
    <w:rsid w:val="002D7320"/>
    <w:rsid w:val="002D7B10"/>
    <w:rsid w:val="002E3B9B"/>
    <w:rsid w:val="002E4EFB"/>
    <w:rsid w:val="002E5D1B"/>
    <w:rsid w:val="002E735E"/>
    <w:rsid w:val="002F2B04"/>
    <w:rsid w:val="002F32A0"/>
    <w:rsid w:val="002F352E"/>
    <w:rsid w:val="002F4160"/>
    <w:rsid w:val="00302E3B"/>
    <w:rsid w:val="0030339B"/>
    <w:rsid w:val="00303FAC"/>
    <w:rsid w:val="003064F8"/>
    <w:rsid w:val="0031147A"/>
    <w:rsid w:val="00323FCD"/>
    <w:rsid w:val="003245D3"/>
    <w:rsid w:val="00352D3C"/>
    <w:rsid w:val="0038281C"/>
    <w:rsid w:val="003C4A05"/>
    <w:rsid w:val="003C7C92"/>
    <w:rsid w:val="003D1299"/>
    <w:rsid w:val="003E5B65"/>
    <w:rsid w:val="003E66F1"/>
    <w:rsid w:val="003F20A7"/>
    <w:rsid w:val="003F2CF0"/>
    <w:rsid w:val="003F69B8"/>
    <w:rsid w:val="00402629"/>
    <w:rsid w:val="00427BD5"/>
    <w:rsid w:val="00436041"/>
    <w:rsid w:val="00436D1A"/>
    <w:rsid w:val="00441217"/>
    <w:rsid w:val="0044717B"/>
    <w:rsid w:val="00452042"/>
    <w:rsid w:val="004576D0"/>
    <w:rsid w:val="00477581"/>
    <w:rsid w:val="004838F1"/>
    <w:rsid w:val="00496A84"/>
    <w:rsid w:val="00496F98"/>
    <w:rsid w:val="004B43AC"/>
    <w:rsid w:val="004C58A7"/>
    <w:rsid w:val="004F1798"/>
    <w:rsid w:val="005048A9"/>
    <w:rsid w:val="005148D8"/>
    <w:rsid w:val="00516F48"/>
    <w:rsid w:val="0052740A"/>
    <w:rsid w:val="00530253"/>
    <w:rsid w:val="00564DB7"/>
    <w:rsid w:val="00570FDC"/>
    <w:rsid w:val="00571916"/>
    <w:rsid w:val="00571DD7"/>
    <w:rsid w:val="005833F0"/>
    <w:rsid w:val="00596923"/>
    <w:rsid w:val="0059724A"/>
    <w:rsid w:val="00597CD9"/>
    <w:rsid w:val="005A1358"/>
    <w:rsid w:val="005A169F"/>
    <w:rsid w:val="005B103D"/>
    <w:rsid w:val="005B69AC"/>
    <w:rsid w:val="005C418C"/>
    <w:rsid w:val="005D0B49"/>
    <w:rsid w:val="005D2880"/>
    <w:rsid w:val="005E4D2C"/>
    <w:rsid w:val="005E7FEE"/>
    <w:rsid w:val="0060404B"/>
    <w:rsid w:val="00607C32"/>
    <w:rsid w:val="00614FAF"/>
    <w:rsid w:val="00617F53"/>
    <w:rsid w:val="00641EAB"/>
    <w:rsid w:val="00663A94"/>
    <w:rsid w:val="00665A8D"/>
    <w:rsid w:val="00666678"/>
    <w:rsid w:val="00673B61"/>
    <w:rsid w:val="0068587F"/>
    <w:rsid w:val="006A1B3C"/>
    <w:rsid w:val="006A6770"/>
    <w:rsid w:val="006B42C9"/>
    <w:rsid w:val="006C01FF"/>
    <w:rsid w:val="006C11C8"/>
    <w:rsid w:val="006C2FF3"/>
    <w:rsid w:val="006F7293"/>
    <w:rsid w:val="00702F2D"/>
    <w:rsid w:val="0070540D"/>
    <w:rsid w:val="0070740F"/>
    <w:rsid w:val="00707C08"/>
    <w:rsid w:val="00725C18"/>
    <w:rsid w:val="007321D6"/>
    <w:rsid w:val="00732B3F"/>
    <w:rsid w:val="00735CE0"/>
    <w:rsid w:val="00740F86"/>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C7455"/>
    <w:rsid w:val="007E6E65"/>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85FC7"/>
    <w:rsid w:val="008A56EF"/>
    <w:rsid w:val="008A78E5"/>
    <w:rsid w:val="008B4725"/>
    <w:rsid w:val="008C1AAF"/>
    <w:rsid w:val="008C4BC2"/>
    <w:rsid w:val="008E746C"/>
    <w:rsid w:val="009060F7"/>
    <w:rsid w:val="0091251A"/>
    <w:rsid w:val="009232CA"/>
    <w:rsid w:val="0093266F"/>
    <w:rsid w:val="00941B00"/>
    <w:rsid w:val="00946B48"/>
    <w:rsid w:val="009478C1"/>
    <w:rsid w:val="00951227"/>
    <w:rsid w:val="00952E0E"/>
    <w:rsid w:val="00955319"/>
    <w:rsid w:val="0097114C"/>
    <w:rsid w:val="00974483"/>
    <w:rsid w:val="009766CA"/>
    <w:rsid w:val="00987A75"/>
    <w:rsid w:val="009A5803"/>
    <w:rsid w:val="009B0E34"/>
    <w:rsid w:val="009B229C"/>
    <w:rsid w:val="009B62A4"/>
    <w:rsid w:val="009D0802"/>
    <w:rsid w:val="009E221A"/>
    <w:rsid w:val="009E2322"/>
    <w:rsid w:val="009E37AE"/>
    <w:rsid w:val="009F2D06"/>
    <w:rsid w:val="009F69B0"/>
    <w:rsid w:val="00A03655"/>
    <w:rsid w:val="00A121E2"/>
    <w:rsid w:val="00A75F11"/>
    <w:rsid w:val="00A83491"/>
    <w:rsid w:val="00A84007"/>
    <w:rsid w:val="00A938DB"/>
    <w:rsid w:val="00A95847"/>
    <w:rsid w:val="00AD7303"/>
    <w:rsid w:val="00AE0107"/>
    <w:rsid w:val="00AF201D"/>
    <w:rsid w:val="00AF4358"/>
    <w:rsid w:val="00AF4A9A"/>
    <w:rsid w:val="00B015AB"/>
    <w:rsid w:val="00B0496F"/>
    <w:rsid w:val="00B210E6"/>
    <w:rsid w:val="00B23181"/>
    <w:rsid w:val="00B32D66"/>
    <w:rsid w:val="00B51CE4"/>
    <w:rsid w:val="00B7078C"/>
    <w:rsid w:val="00B7170F"/>
    <w:rsid w:val="00BA583B"/>
    <w:rsid w:val="00BA6EBB"/>
    <w:rsid w:val="00BB6A39"/>
    <w:rsid w:val="00BB6E07"/>
    <w:rsid w:val="00BC0F7E"/>
    <w:rsid w:val="00BD28D1"/>
    <w:rsid w:val="00BE1078"/>
    <w:rsid w:val="00BE5804"/>
    <w:rsid w:val="00BF0F9E"/>
    <w:rsid w:val="00BF5FC5"/>
    <w:rsid w:val="00C0682E"/>
    <w:rsid w:val="00C20E2A"/>
    <w:rsid w:val="00C34676"/>
    <w:rsid w:val="00C42E13"/>
    <w:rsid w:val="00C47C17"/>
    <w:rsid w:val="00C62787"/>
    <w:rsid w:val="00C62E73"/>
    <w:rsid w:val="00C639D3"/>
    <w:rsid w:val="00C65816"/>
    <w:rsid w:val="00C752C8"/>
    <w:rsid w:val="00C770CF"/>
    <w:rsid w:val="00C9004A"/>
    <w:rsid w:val="00C94FB6"/>
    <w:rsid w:val="00C96B8B"/>
    <w:rsid w:val="00CA1845"/>
    <w:rsid w:val="00CA4320"/>
    <w:rsid w:val="00CA6564"/>
    <w:rsid w:val="00CB14CD"/>
    <w:rsid w:val="00CB2EE0"/>
    <w:rsid w:val="00CB4F3B"/>
    <w:rsid w:val="00CB7EE2"/>
    <w:rsid w:val="00CC3469"/>
    <w:rsid w:val="00CE4B61"/>
    <w:rsid w:val="00CF33B7"/>
    <w:rsid w:val="00CF5BEC"/>
    <w:rsid w:val="00CF660B"/>
    <w:rsid w:val="00CF7968"/>
    <w:rsid w:val="00D07574"/>
    <w:rsid w:val="00D12937"/>
    <w:rsid w:val="00D14B8E"/>
    <w:rsid w:val="00D2164B"/>
    <w:rsid w:val="00D3132E"/>
    <w:rsid w:val="00D44203"/>
    <w:rsid w:val="00D470F4"/>
    <w:rsid w:val="00D56BA4"/>
    <w:rsid w:val="00D621FA"/>
    <w:rsid w:val="00D67B0C"/>
    <w:rsid w:val="00D710B8"/>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4BFC"/>
    <w:rsid w:val="00E15DF5"/>
    <w:rsid w:val="00E21D97"/>
    <w:rsid w:val="00E26A39"/>
    <w:rsid w:val="00E30496"/>
    <w:rsid w:val="00E318BA"/>
    <w:rsid w:val="00E34118"/>
    <w:rsid w:val="00E4107A"/>
    <w:rsid w:val="00E547C6"/>
    <w:rsid w:val="00E677C1"/>
    <w:rsid w:val="00E732EF"/>
    <w:rsid w:val="00E87E79"/>
    <w:rsid w:val="00EB618C"/>
    <w:rsid w:val="00EB7944"/>
    <w:rsid w:val="00EC37F9"/>
    <w:rsid w:val="00EC70F5"/>
    <w:rsid w:val="00EE3E5B"/>
    <w:rsid w:val="00EE5773"/>
    <w:rsid w:val="00EF26C0"/>
    <w:rsid w:val="00F218E4"/>
    <w:rsid w:val="00F35AF3"/>
    <w:rsid w:val="00F518EE"/>
    <w:rsid w:val="00F72CA7"/>
    <w:rsid w:val="00F73F0E"/>
    <w:rsid w:val="00F8273D"/>
    <w:rsid w:val="00F918C1"/>
    <w:rsid w:val="00F9685A"/>
    <w:rsid w:val="00FD11E3"/>
    <w:rsid w:val="00FD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 w:type="character" w:customStyle="1" w:styleId="apple-converted-space">
    <w:name w:val="apple-converted-space"/>
    <w:basedOn w:val="DefaultParagraphFont"/>
    <w:rsid w:val="00CA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 w:id="191269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6BE53-210A-8B40-B9A7-F2B7ED5F4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33</Pages>
  <Words>90522</Words>
  <Characters>515982</Characters>
  <Application>Microsoft Office Word</Application>
  <DocSecurity>0</DocSecurity>
  <Lines>4299</Lines>
  <Paragraphs>1210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36</cp:revision>
  <cp:lastPrinted>2020-07-12T16:00:00Z</cp:lastPrinted>
  <dcterms:created xsi:type="dcterms:W3CDTF">2020-07-12T16:06:00Z</dcterms:created>
  <dcterms:modified xsi:type="dcterms:W3CDTF">2020-07-17T15:55:00Z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