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72EB1225"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specimens","type":"article-journal"},"uris":["http://www.mendeley.com/documents/?uuid=09185eb4-de1a-40f8-bf7f-e73ceb6b174f"]},{"id":"ITEM-4","itemData":{"DOI":"10.1038/s41591-020-0839-y","ISSN":"1546170X","PMID":"32472114","abstract":"PD-1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Medicine","id":"ITEM-4","issued":{"date-parts":[["2020"]]},"title":"Interplay of somatic alterations and immune infiltration modulates response to PD-1 blockade in advanced clear cell renal cell carcinoma","type":"article-journal"},"uris":["http://www.mendeley.com/documents/?uuid=54b204e6-ffc5-4c35-a4ba-366baecb1428"]}],"mendeley":{"formattedCitation":"(11–14)","plainTextFormattedCitation":"(11–14)","previouslyFormattedCitation":"(11–14)"},"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(11–14)</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(15,16)","plainTextFormattedCitation":"(15,16)","previouslyFormattedCitation":"(15,16)"},"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(15,16)</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2CC222F6"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(18,19)","plainTextFormattedCitation":"(18,19)","previouslyFormattedCitation":"(18,19)"},"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(18,19)</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(20,21)","plainTextFormattedCitation":"(20,21)","previouslyFormattedCitation":"(20,21)"},"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(20,21)</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(13,17,22)","plainTextFormattedCitation":"(13,17,22)","previouslyFormattedCitation":"(13,17,22)"},"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(13,17,22)</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(23–26)","plainTextFormattedCitation":"(23–26)","previouslyFormattedCitation":"(23–26)"},"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(23–26)</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673B61">
        <w:rPr>
          <w:rFonts w:ascii="Cambria Math" w:hAnsi="Cambria Math" w:cs="Cambria Math"/>
          <w:color w:val="000000"/>
          <w:sz w:val="22"/>
          <w:szCs w:val="22"/>
        </w:rPr>
        <w:instrText>∼</w:instrText>
      </w:r>
      <w:r w:rsidR="00673B61">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673B61">
        <w:rPr>
          <w:rFonts w:ascii="Cambria Math" w:hAnsi="Cambria Math" w:cs="Cambria Math"/>
          <w:color w:val="000000"/>
          <w:sz w:val="22"/>
          <w:szCs w:val="22"/>
        </w:rPr>
        <w:instrText>∼</w:instrText>
      </w:r>
      <w:r w:rsidR="00673B61">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(27,28)","plainTextFormattedCitation":"(27,28)","previouslyFormattedCitation":"(27,28)"},"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(27,28)</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5809444F"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Pr="00452042">
        <w:rPr>
          <w:rFonts w:ascii="Arial" w:hAnsi="Arial" w:cs="Arial"/>
          <w:color w:val="000000"/>
          <w:sz w:val="22"/>
          <w:szCs w:val="22"/>
        </w:rPr>
        <w:fldChar w:fldCharType="separate"/>
      </w:r>
      <w:r w:rsidR="00C42E13" w:rsidRPr="00C42E13">
        <w:rPr>
          <w:rFonts w:ascii="Arial" w:hAnsi="Arial" w:cs="Arial"/>
          <w:noProof/>
          <w:color w:val="000000"/>
          <w:sz w:val="22"/>
          <w:szCs w:val="22"/>
        </w:rPr>
        <w:t>(21)</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sidR="00CF5BEC" w:rsidRPr="00452042">
        <w:rPr>
          <w:rFonts w:ascii="Arial" w:hAnsi="Arial" w:cs="Arial"/>
          <w:color w:val="000000"/>
          <w:sz w:val="22"/>
          <w:szCs w:val="22"/>
        </w:rPr>
        <w:fldChar w:fldCharType="separate"/>
      </w:r>
      <w:r w:rsidR="00C42E13" w:rsidRPr="00C42E13">
        <w:rPr>
          <w:rFonts w:ascii="Arial" w:hAnsi="Arial" w:cs="Arial"/>
          <w:noProof/>
          <w:color w:val="000000"/>
          <w:sz w:val="22"/>
          <w:szCs w:val="22"/>
        </w:rPr>
        <w:t>(29)</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02557066"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(31)","plainTextFormattedCitation":"(31)","previouslyFormattedCitation":"(31)"},"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(31)</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673B61">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673B61">
        <w:rPr>
          <w:rFonts w:ascii="Cambria Math" w:hAnsi="Cambria Math" w:cs="Cambria Math"/>
          <w:sz w:val="22"/>
          <w:szCs w:val="22"/>
        </w:rPr>
        <w:instrText>‐</w:instrText>
      </w:r>
      <w:r w:rsidR="00673B61">
        <w:rPr>
          <w:rFonts w:ascii="Arial" w:hAnsi="Arial" w:cs="Arial"/>
          <w:sz w:val="22"/>
          <w:szCs w:val="22"/>
        </w:rPr>
        <w:instrText>cell RNA</w:instrText>
      </w:r>
      <w:r w:rsidR="00673B61">
        <w:rPr>
          <w:rFonts w:ascii="Cambria Math" w:hAnsi="Cambria Math" w:cs="Cambria Math"/>
          <w:sz w:val="22"/>
          <w:szCs w:val="22"/>
        </w:rPr>
        <w:instrText>‐</w:instrText>
      </w:r>
      <w:r w:rsidR="00673B61">
        <w:rPr>
          <w:rFonts w:ascii="Arial" w:hAnsi="Arial" w:cs="Arial"/>
          <w:sz w:val="22"/>
          <w:szCs w:val="22"/>
        </w:rPr>
        <w:instrText>seq analysis: a tutorial","type":"article-journal"},"uris":["http://www.mendeley.com/documents/?uuid=61609cd7-7498-484a-938f-07786a85a4aa"]}],"mendeley":{"formattedCitation":"(32)","plainTextFormattedCitation":"(32)","previouslyFormattedCitation":"(32)"},"properties":{"noteIndex":0},"schema":"https://github.com/citation-style-language/schema/raw/master/csl-citation.json"}</w:instrText>
      </w:r>
      <w:r w:rsidR="00F35AF3">
        <w:rPr>
          <w:rFonts w:ascii="Arial" w:hAnsi="Arial" w:cs="Arial"/>
          <w:sz w:val="22"/>
          <w:szCs w:val="22"/>
        </w:rPr>
        <w:fldChar w:fldCharType="separate"/>
      </w:r>
      <w:r w:rsidR="00C42E13" w:rsidRPr="00C42E13">
        <w:rPr>
          <w:rFonts w:ascii="Arial" w:hAnsi="Arial" w:cs="Arial"/>
          <w:noProof/>
          <w:sz w:val="22"/>
          <w:szCs w:val="22"/>
        </w:rPr>
        <w:t>(32)</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7897D28B"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974483">
        <w:rPr>
          <w:rFonts w:ascii="Arial" w:hAnsi="Arial" w:cs="Arial"/>
          <w:sz w:val="22"/>
          <w:szCs w:val="22"/>
        </w:rPr>
        <w:fldChar w:fldCharType="separate"/>
      </w:r>
      <w:r w:rsidR="00C42E13" w:rsidRPr="00C42E13">
        <w:rPr>
          <w:rFonts w:ascii="Arial" w:hAnsi="Arial" w:cs="Arial"/>
          <w:noProof/>
          <w:sz w:val="22"/>
          <w:szCs w:val="22"/>
        </w:rPr>
        <w:t>(33)</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(Figure 2E).</w:t>
      </w:r>
      <w:r w:rsidR="00DE7274">
        <w:rPr>
          <w:rFonts w:ascii="Arial" w:hAnsi="Arial" w:cs="Arial"/>
          <w:sz w:val="22"/>
          <w:szCs w:val="22"/>
        </w:rPr>
        <w:t xml:space="preserve"> This clonotype relationship was also observed in specific clonotype sequences (nucleotide and TCR genes) with overlapping clonotypes seen in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CD8_0, CD8_6, CD8_5 and CD8_3 (Figure 2F). In contrast, CD8_7 had minimal </w:t>
      </w:r>
      <w:proofErr w:type="spellStart"/>
      <w:r w:rsidR="00DE7274">
        <w:rPr>
          <w:rFonts w:ascii="Arial" w:hAnsi="Arial" w:cs="Arial"/>
          <w:sz w:val="22"/>
          <w:szCs w:val="22"/>
        </w:rPr>
        <w:t>overlaping</w:t>
      </w:r>
      <w:proofErr w:type="spellEnd"/>
      <w:r w:rsidR="00DE7274">
        <w:rPr>
          <w:rFonts w:ascii="Arial" w:hAnsi="Arial" w:cs="Arial"/>
          <w:sz w:val="22"/>
          <w:szCs w:val="22"/>
        </w:rPr>
        <w:t xml:space="preserve"> clonotypes with other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(Figure 2F).</w:t>
      </w:r>
      <w:r w:rsidR="009060F7">
        <w:rPr>
          <w:rFonts w:ascii="Arial" w:hAnsi="Arial" w:cs="Arial"/>
          <w:sz w:val="22"/>
          <w:szCs w:val="22"/>
        </w:rPr>
        <w:t xml:space="preserve"> </w:t>
      </w:r>
      <w:r w:rsidR="00D44203">
        <w:rPr>
          <w:rFonts w:ascii="Arial" w:hAnsi="Arial" w:cs="Arial"/>
          <w:sz w:val="22"/>
          <w:szCs w:val="22"/>
        </w:rPr>
        <w:t>This relationship was seen also independent of the individual patient sequenced (</w:t>
      </w:r>
      <w:r w:rsidR="00D44203" w:rsidRPr="00D44203">
        <w:rPr>
          <w:rFonts w:ascii="Arial" w:hAnsi="Arial" w:cs="Arial"/>
          <w:sz w:val="22"/>
          <w:szCs w:val="22"/>
          <w:highlight w:val="yellow"/>
        </w:rPr>
        <w:t>Supplemental Figure X</w:t>
      </w:r>
      <w:r w:rsidR="00D44203">
        <w:rPr>
          <w:rFonts w:ascii="Arial" w:hAnsi="Arial" w:cs="Arial"/>
          <w:sz w:val="22"/>
          <w:szCs w:val="22"/>
        </w:rPr>
        <w:t xml:space="preserve">). </w:t>
      </w:r>
      <w:r w:rsidR="009060F7">
        <w:rPr>
          <w:rFonts w:ascii="Arial" w:hAnsi="Arial" w:cs="Arial"/>
          <w:sz w:val="22"/>
          <w:szCs w:val="22"/>
        </w:rPr>
        <w:t>In order to assess possible functional differences based on these branching, we performed gene set enrichment analysis (Figure 2</w:t>
      </w:r>
      <w:r w:rsidR="00DE7274">
        <w:rPr>
          <w:rFonts w:ascii="Arial" w:hAnsi="Arial" w:cs="Arial"/>
          <w:sz w:val="22"/>
          <w:szCs w:val="22"/>
        </w:rPr>
        <w:t>G</w:t>
      </w:r>
      <w:r w:rsidR="009060F7">
        <w:rPr>
          <w:rFonts w:ascii="Arial" w:hAnsi="Arial" w:cs="Arial"/>
          <w:sz w:val="22"/>
          <w:szCs w:val="22"/>
        </w:rPr>
        <w:t xml:space="preserve">).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w:t>
      </w:r>
      <w:r w:rsidR="00DE7274">
        <w:rPr>
          <w:rFonts w:ascii="Arial" w:hAnsi="Arial" w:cs="Arial"/>
          <w:sz w:val="22"/>
          <w:szCs w:val="22"/>
        </w:rPr>
        <w:t>G</w:t>
      </w:r>
      <w:r w:rsidR="009D0802">
        <w:rPr>
          <w:rFonts w:ascii="Arial" w:hAnsi="Arial" w:cs="Arial"/>
          <w:sz w:val="22"/>
          <w:szCs w:val="22"/>
        </w:rPr>
        <w:t>).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w:t>
      </w:r>
      <w:r w:rsidR="00DE7274">
        <w:rPr>
          <w:rFonts w:ascii="Arial" w:hAnsi="Arial" w:cs="Arial"/>
          <w:sz w:val="22"/>
          <w:szCs w:val="22"/>
        </w:rPr>
        <w:t>G</w:t>
      </w:r>
      <w:r w:rsidR="009D0802">
        <w:rPr>
          <w:rFonts w:ascii="Arial" w:hAnsi="Arial" w:cs="Arial"/>
          <w:sz w:val="22"/>
          <w:szCs w:val="22"/>
        </w:rPr>
        <w:t>). The highly proliferative CD8_6 population was enriched for metabolic activity, such as the tricarboxylic acid cycle and glycolysis, and DNA repair</w:t>
      </w:r>
      <w:r w:rsidR="00EE5773">
        <w:rPr>
          <w:rFonts w:ascii="Arial" w:hAnsi="Arial" w:cs="Arial"/>
          <w:sz w:val="22"/>
          <w:szCs w:val="22"/>
        </w:rPr>
        <w:t xml:space="preserve"> (Figure 2</w:t>
      </w:r>
      <w:r w:rsidR="00DE7274">
        <w:rPr>
          <w:rFonts w:ascii="Arial" w:hAnsi="Arial" w:cs="Arial"/>
          <w:sz w:val="22"/>
          <w:szCs w:val="22"/>
        </w:rPr>
        <w:t>G</w:t>
      </w:r>
      <w:r w:rsidR="00EE5773">
        <w:rPr>
          <w:rFonts w:ascii="Arial" w:hAnsi="Arial" w:cs="Arial"/>
          <w:sz w:val="22"/>
          <w:szCs w:val="22"/>
        </w:rPr>
        <w:t>)</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ype 1 interferons (Figure 2</w:t>
      </w:r>
      <w:r w:rsidR="00DE7274">
        <w:rPr>
          <w:rFonts w:ascii="Arial" w:hAnsi="Arial" w:cs="Arial"/>
          <w:sz w:val="22"/>
          <w:szCs w:val="22"/>
        </w:rPr>
        <w:t>H</w:t>
      </w:r>
      <w:r w:rsidR="009D0802">
        <w:rPr>
          <w:rFonts w:ascii="Arial" w:hAnsi="Arial" w:cs="Arial"/>
          <w:sz w:val="22"/>
          <w:szCs w:val="22"/>
        </w:rPr>
        <w:t xml:space="preserve">). </w:t>
      </w:r>
      <w:r w:rsidR="00853C93">
        <w:rPr>
          <w:rFonts w:ascii="Arial" w:hAnsi="Arial" w:cs="Arial"/>
          <w:sz w:val="22"/>
          <w:szCs w:val="22"/>
        </w:rPr>
        <w:t>With immune checkpoint inhibitor responsiveness associated with distinct CD8</w:t>
      </w:r>
      <w:r w:rsidR="00853C93" w:rsidRPr="0068587F">
        <w:rPr>
          <w:rFonts w:ascii="Arial" w:hAnsi="Arial" w:cs="Arial"/>
          <w:sz w:val="22"/>
          <w:szCs w:val="22"/>
          <w:vertAlign w:val="superscript"/>
        </w:rPr>
        <w:t>+</w:t>
      </w:r>
      <w:r w:rsidR="00853C93">
        <w:rPr>
          <w:rFonts w:ascii="Arial" w:hAnsi="Arial" w:cs="Arial"/>
          <w:sz w:val="22"/>
          <w:szCs w:val="22"/>
        </w:rPr>
        <w:t xml:space="preserve"> T cell populations </w:t>
      </w:r>
      <w:r w:rsidR="00853C93">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853C93">
        <w:rPr>
          <w:rFonts w:ascii="Arial" w:hAnsi="Arial" w:cs="Arial"/>
          <w:sz w:val="22"/>
          <w:szCs w:val="22"/>
        </w:rPr>
        <w:fldChar w:fldCharType="separate"/>
      </w:r>
      <w:r w:rsidR="00C42E13" w:rsidRPr="00C42E13">
        <w:rPr>
          <w:rFonts w:ascii="Arial" w:hAnsi="Arial" w:cs="Arial"/>
          <w:noProof/>
          <w:sz w:val="22"/>
          <w:szCs w:val="22"/>
        </w:rPr>
        <w:t>(21)</w:t>
      </w:r>
      <w:r w:rsidR="00853C93">
        <w:rPr>
          <w:rFonts w:ascii="Arial" w:hAnsi="Arial" w:cs="Arial"/>
          <w:sz w:val="22"/>
          <w:szCs w:val="22"/>
        </w:rPr>
        <w:fldChar w:fldCharType="end"/>
      </w:r>
      <w:r w:rsidR="00853C93">
        <w:rPr>
          <w:rFonts w:ascii="Arial" w:hAnsi="Arial" w:cs="Arial"/>
          <w:sz w:val="22"/>
          <w:szCs w:val="22"/>
        </w:rPr>
        <w:t>, we next examined enrichment of signatures associated with response or nonresponse to anti-PD-1 therapies (Figure 2</w:t>
      </w:r>
      <w:r w:rsidR="00DE7274">
        <w:rPr>
          <w:rFonts w:ascii="Arial" w:hAnsi="Arial" w:cs="Arial"/>
          <w:sz w:val="22"/>
          <w:szCs w:val="22"/>
        </w:rPr>
        <w:t>H</w:t>
      </w:r>
      <w:r w:rsidR="00853C93">
        <w:rPr>
          <w:rFonts w:ascii="Arial" w:hAnsi="Arial" w:cs="Arial"/>
          <w:sz w:val="22"/>
          <w:szCs w:val="22"/>
        </w:rPr>
        <w:t xml:space="preserve">).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w:t>
      </w:r>
      <w:r w:rsidR="00DE7274">
        <w:rPr>
          <w:rFonts w:ascii="Arial" w:hAnsi="Arial" w:cs="Arial"/>
          <w:sz w:val="22"/>
          <w:szCs w:val="22"/>
        </w:rPr>
        <w:t>H</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w:t>
      </w:r>
      <w:r w:rsidR="00DE7274">
        <w:rPr>
          <w:rFonts w:ascii="Arial" w:hAnsi="Arial" w:cs="Arial"/>
          <w:sz w:val="22"/>
          <w:szCs w:val="22"/>
        </w:rPr>
        <w:t>H</w:t>
      </w:r>
      <w:r w:rsidR="00CF33B7">
        <w:rPr>
          <w:rFonts w:ascii="Arial" w:hAnsi="Arial" w:cs="Arial"/>
          <w:sz w:val="22"/>
          <w:szCs w:val="22"/>
        </w:rPr>
        <w:t>, red lines).</w:t>
      </w:r>
      <w:r w:rsidR="00666678">
        <w:rPr>
          <w:rFonts w:ascii="Arial" w:hAnsi="Arial" w:cs="Arial"/>
          <w:sz w:val="22"/>
          <w:szCs w:val="22"/>
        </w:rPr>
        <w:t xml:space="preserve"> </w:t>
      </w:r>
      <w:r w:rsidR="00666678" w:rsidRPr="00666678">
        <w:rPr>
          <w:rFonts w:ascii="Arial" w:hAnsi="Arial" w:cs="Arial"/>
          <w:sz w:val="22"/>
          <w:szCs w:val="22"/>
          <w:highlight w:val="yellow"/>
        </w:rPr>
        <w:t>Concluding thought.</w:t>
      </w:r>
    </w:p>
    <w:p w14:paraId="09418C44" w14:textId="39277FDD" w:rsidR="001D7F41" w:rsidRDefault="001D7F41" w:rsidP="00F72CA7">
      <w:pPr>
        <w:pStyle w:val="Paragraph"/>
        <w:snapToGrid w:val="0"/>
        <w:spacing w:line="480" w:lineRule="auto"/>
        <w:ind w:firstLine="0"/>
      </w:pPr>
    </w:p>
    <w:p w14:paraId="3B61040C" w14:textId="073BE075" w:rsidR="0068587F" w:rsidRPr="00EC37F9" w:rsidRDefault="0068587F" w:rsidP="00F72CA7">
      <w:pPr>
        <w:pStyle w:val="Paragraph"/>
        <w:snapToGrid w:val="0"/>
        <w:spacing w:line="480" w:lineRule="auto"/>
        <w:ind w:firstLine="0"/>
        <w:rPr>
          <w:i/>
          <w:iCs/>
        </w:rPr>
      </w:pPr>
      <w:r w:rsidRPr="00EC37F9">
        <w:rPr>
          <w:i/>
          <w:iCs/>
        </w:rPr>
        <w:lastRenderedPageBreak/>
        <w:t>Prominent infiltration of macrophages in ccRCC</w:t>
      </w:r>
      <w:r w:rsidR="00EC37F9" w:rsidRPr="00EC37F9">
        <w:rPr>
          <w:i/>
          <w:iCs/>
        </w:rPr>
        <w:t xml:space="preserve"> have transcriptional divergence.</w:t>
      </w:r>
    </w:p>
    <w:p w14:paraId="0E76C4F5" w14:textId="1C345247" w:rsidR="0068587F" w:rsidRDefault="0068587F" w:rsidP="00F72CA7">
      <w:pPr>
        <w:pStyle w:val="Paragraph"/>
        <w:snapToGrid w:val="0"/>
        <w:spacing w:line="480" w:lineRule="auto"/>
        <w:ind w:firstLine="0"/>
      </w:pPr>
      <w:r>
        <w:t xml:space="preserve">With the previous observation of an overall increase in macrophages and decreased monocytes in integrated UMAP (Figure 1E), we next focused on differential analyses of the myeloid populations (Figure 3A). Across monocytes, macrophages and dendritic cells, </w:t>
      </w:r>
      <w:proofErr w:type="spellStart"/>
      <w:r>
        <w:t>sublustering</w:t>
      </w:r>
      <w:proofErr w:type="spellEnd"/>
      <w:r>
        <w:t xml:space="preserve"> found 20 distinct clusters (Figure 3A). Tissue-specific distribution was observed, with the majority tumor-infiltrating </w:t>
      </w:r>
      <w:proofErr w:type="spellStart"/>
      <w:r>
        <w:t>myeloids</w:t>
      </w:r>
      <w:proofErr w:type="spellEnd"/>
      <w:r>
        <w:t xml:space="preserve"> cells in </w:t>
      </w:r>
      <w:proofErr w:type="spellStart"/>
      <w:r>
        <w:t>subclusters</w:t>
      </w:r>
      <w:proofErr w:type="spellEnd"/>
      <w:r>
        <w:t xml:space="preserve"> 0, 3, 7, 8 and 15 (Figure 3B). In contrast, </w:t>
      </w:r>
      <w:r w:rsidR="00EC37F9">
        <w:t xml:space="preserve">both normal kidney parenchyma and peripheral blood were comprised of a majority of monocytic </w:t>
      </w:r>
      <w:proofErr w:type="spellStart"/>
      <w:r w:rsidR="00EC37F9">
        <w:t>subclusters</w:t>
      </w:r>
      <w:proofErr w:type="spellEnd"/>
      <w:r w:rsidR="00EC37F9">
        <w:t xml:space="preserve"> (Figure 3B). </w:t>
      </w:r>
      <w:r w:rsidR="008812EB">
        <w:t xml:space="preserve">Populations were assigned using canonical markers and in addition to the previously </w:t>
      </w:r>
      <w:proofErr w:type="spellStart"/>
      <w:r w:rsidR="008812EB">
        <w:t>decribed</w:t>
      </w:r>
      <w:proofErr w:type="spellEnd"/>
      <w:r w:rsidR="008812EB">
        <w:t xml:space="preserve"> singleR approach with macrophage </w:t>
      </w:r>
      <w:proofErr w:type="spellStart"/>
      <w:r w:rsidR="008812EB">
        <w:t>subclusters</w:t>
      </w:r>
      <w:proofErr w:type="spellEnd"/>
      <w:r w:rsidR="008812EB">
        <w:t xml:space="preserve"> (0, 3, 7, 13 and 14) identified using markers such as CD1C, CLECL10A (CD301), FCER1A, and MSR1 (Figure 3C). In total, we observed a decreased the proportion in CD14+ monocytes in tissue-infiltrating myeloid cells compared to peripheral blood and an increase in macrophages (Figure 3D). Normal renal parenchyma had a variable increased in CD14</w:t>
      </w:r>
      <w:r w:rsidR="008812EB" w:rsidRPr="008812EB">
        <w:rPr>
          <w:vertAlign w:val="superscript"/>
        </w:rPr>
        <w:t>-</w:t>
      </w:r>
      <w:r w:rsidR="008812EB">
        <w:t xml:space="preserve"> CD16</w:t>
      </w:r>
      <w:r w:rsidR="008812EB" w:rsidRPr="008812EB">
        <w:rPr>
          <w:vertAlign w:val="superscript"/>
        </w:rPr>
        <w:t>-</w:t>
      </w:r>
      <w:r w:rsidR="008812EB">
        <w:t xml:space="preserve"> monocytes, which was not significant. </w:t>
      </w:r>
      <w:r w:rsidR="00EC37F9">
        <w:t>As previously seen, we found a small number of DC (</w:t>
      </w:r>
      <w:proofErr w:type="spellStart"/>
      <w:r w:rsidR="00EC37F9">
        <w:t>subclusters</w:t>
      </w:r>
      <w:proofErr w:type="spellEnd"/>
      <w:r w:rsidR="00EC37F9">
        <w:t xml:space="preserve"> 15, 16, and 19) with distinct expression profiles associated with conventional  DC 1, plasmacytoid DC, and monocyte-derived DCs, respectively (</w:t>
      </w:r>
      <w:r w:rsidR="00EC37F9" w:rsidRPr="00EC37F9">
        <w:rPr>
          <w:highlight w:val="yellow"/>
        </w:rPr>
        <w:t>Supplemental Figure X</w:t>
      </w:r>
      <w:r w:rsidR="00EC37F9">
        <w:t xml:space="preserve">). </w:t>
      </w:r>
    </w:p>
    <w:p w14:paraId="657F3D7B" w14:textId="77777777" w:rsidR="008812EB" w:rsidRDefault="008812EB" w:rsidP="00F72CA7">
      <w:pPr>
        <w:pStyle w:val="Paragraph"/>
        <w:snapToGrid w:val="0"/>
        <w:spacing w:line="480" w:lineRule="auto"/>
        <w:ind w:firstLine="0"/>
      </w:pPr>
    </w:p>
    <w:p w14:paraId="40DD77BF" w14:textId="36AAD409" w:rsidR="008812EB" w:rsidRDefault="008812EB" w:rsidP="00666678">
      <w:pPr>
        <w:pStyle w:val="Paragraph"/>
        <w:snapToGrid w:val="0"/>
        <w:spacing w:line="480" w:lineRule="auto"/>
        <w:ind w:firstLine="0"/>
      </w:pPr>
      <w:r>
        <w:t xml:space="preserve">Next we isolated the five macrophage </w:t>
      </w:r>
      <w:proofErr w:type="spellStart"/>
      <w:r>
        <w:t>subclusters</w:t>
      </w:r>
      <w:proofErr w:type="spellEnd"/>
      <w:r>
        <w:t>, relabeling them tumor-associated macrophage 1 (TAM_1), TAM_2, TAM_3, resident macrophage (</w:t>
      </w:r>
      <w:proofErr w:type="spellStart"/>
      <w:r>
        <w:t>rM</w:t>
      </w:r>
      <w:proofErr w:type="spellEnd"/>
      <w:r>
        <w:t>) and peripheral macrophage (</w:t>
      </w:r>
      <w:proofErr w:type="spellStart"/>
      <w:r>
        <w:t>pM</w:t>
      </w:r>
      <w:proofErr w:type="spellEnd"/>
      <w:r>
        <w:t xml:space="preserve">) based on the relative percent of cells derived from the respective tissue (Figure 3E). </w:t>
      </w:r>
      <w:r w:rsidR="00050C57">
        <w:t>Alt</w:t>
      </w:r>
      <w:r w:rsidR="00A84007">
        <w:t>h</w:t>
      </w:r>
      <w:r w:rsidR="00050C57">
        <w:t>ough similar expression, these five clusters had distinct expression patterns</w:t>
      </w:r>
      <w:r w:rsidR="00A84007">
        <w:t xml:space="preserve">. For example, the </w:t>
      </w:r>
      <w:r w:rsidR="00A84007" w:rsidRPr="00A84007">
        <w:rPr>
          <w:highlight w:val="yellow"/>
        </w:rPr>
        <w:t>X+ X+</w:t>
      </w:r>
      <w:r w:rsidR="00A84007">
        <w:t xml:space="preserve"> TAM_1 expressed increased levels of chemokines and cytokines, like </w:t>
      </w:r>
      <w:r w:rsidR="00A84007" w:rsidRPr="00A84007">
        <w:rPr>
          <w:i/>
          <w:iCs/>
        </w:rPr>
        <w:t>CCL3</w:t>
      </w:r>
      <w:r w:rsidR="00A84007">
        <w:t xml:space="preserve">, </w:t>
      </w:r>
      <w:r w:rsidR="00A84007" w:rsidRPr="00A84007">
        <w:rPr>
          <w:i/>
          <w:iCs/>
        </w:rPr>
        <w:t>CCL4</w:t>
      </w:r>
      <w:r w:rsidR="00A84007">
        <w:t xml:space="preserve">, </w:t>
      </w:r>
      <w:r w:rsidR="00A84007" w:rsidRPr="00A84007">
        <w:rPr>
          <w:i/>
          <w:iCs/>
        </w:rPr>
        <w:t>CXCL2</w:t>
      </w:r>
      <w:r w:rsidR="00A84007">
        <w:t xml:space="preserve">, and </w:t>
      </w:r>
      <w:r w:rsidR="00A84007" w:rsidRPr="00A84007">
        <w:rPr>
          <w:i/>
          <w:iCs/>
        </w:rPr>
        <w:t>IL10</w:t>
      </w:r>
      <w:r w:rsidR="00A84007">
        <w:t xml:space="preserve">; </w:t>
      </w:r>
      <w:r w:rsidR="00A84007" w:rsidRPr="00A84007">
        <w:rPr>
          <w:highlight w:val="yellow"/>
        </w:rPr>
        <w:t>X+ X+</w:t>
      </w:r>
      <w:r w:rsidR="00A84007">
        <w:t xml:space="preserve"> TAM_2 </w:t>
      </w:r>
      <w:proofErr w:type="spellStart"/>
      <w:r w:rsidR="00A84007">
        <w:t>subcluster</w:t>
      </w:r>
      <w:proofErr w:type="spellEnd"/>
      <w:r w:rsidR="00A84007">
        <w:t xml:space="preserve"> expressed the </w:t>
      </w:r>
      <w:proofErr w:type="spellStart"/>
      <w:r w:rsidR="00A84007">
        <w:t>apolipoporetin</w:t>
      </w:r>
      <w:proofErr w:type="spellEnd"/>
      <w:r w:rsidR="00A84007">
        <w:t xml:space="preserve"> gene </w:t>
      </w:r>
      <w:r w:rsidR="00A84007" w:rsidRPr="00A84007">
        <w:rPr>
          <w:i/>
          <w:iCs/>
        </w:rPr>
        <w:t>APOE</w:t>
      </w:r>
      <w:r w:rsidR="00A84007">
        <w:t>, lysosomal lipase (</w:t>
      </w:r>
      <w:r w:rsidR="00A84007" w:rsidRPr="00A84007">
        <w:rPr>
          <w:i/>
          <w:iCs/>
        </w:rPr>
        <w:t>LIPA</w:t>
      </w:r>
      <w:r w:rsidR="00A84007">
        <w:t xml:space="preserve">), </w:t>
      </w:r>
      <w:r w:rsidR="00A84007">
        <w:lastRenderedPageBreak/>
        <w:t xml:space="preserve">and </w:t>
      </w:r>
      <w:proofErr w:type="spellStart"/>
      <w:r w:rsidR="00A84007">
        <w:t>ferroportin</w:t>
      </w:r>
      <w:proofErr w:type="spellEnd"/>
      <w:r w:rsidR="00A84007">
        <w:t xml:space="preserve"> (</w:t>
      </w:r>
      <w:r w:rsidR="00A84007" w:rsidRPr="00A84007">
        <w:rPr>
          <w:i/>
          <w:iCs/>
        </w:rPr>
        <w:t>SLC40A1</w:t>
      </w:r>
      <w:r w:rsidR="00A84007">
        <w:t xml:space="preserve">); and </w:t>
      </w:r>
      <w:r w:rsidR="00A84007" w:rsidRPr="006C2FF3">
        <w:rPr>
          <w:highlight w:val="yellow"/>
        </w:rPr>
        <w:t>X+ X</w:t>
      </w:r>
      <w:r w:rsidR="00A84007">
        <w:t xml:space="preserve"> TAM_3 had high levels of </w:t>
      </w:r>
      <w:r w:rsidR="00A84007" w:rsidRPr="00A84007">
        <w:rPr>
          <w:i/>
          <w:iCs/>
        </w:rPr>
        <w:t>CD1C</w:t>
      </w:r>
      <w:r w:rsidR="00A84007">
        <w:t xml:space="preserve">, </w:t>
      </w:r>
      <w:r w:rsidR="00A84007" w:rsidRPr="00A84007">
        <w:rPr>
          <w:i/>
          <w:iCs/>
        </w:rPr>
        <w:t>IL1R2</w:t>
      </w:r>
      <w:r w:rsidR="00A84007">
        <w:t xml:space="preserve">, and </w:t>
      </w:r>
      <w:proofErr w:type="spellStart"/>
      <w:r w:rsidR="00A84007">
        <w:t>Langerhin</w:t>
      </w:r>
      <w:proofErr w:type="spellEnd"/>
      <w:r w:rsidR="00A84007">
        <w:t xml:space="preserve"> (</w:t>
      </w:r>
      <w:r w:rsidR="00A84007" w:rsidRPr="00A84007">
        <w:rPr>
          <w:i/>
          <w:iCs/>
        </w:rPr>
        <w:t>CD207</w:t>
      </w:r>
      <w:r w:rsidR="00A84007">
        <w:t xml:space="preserve">), a marker of the skin-resident </w:t>
      </w:r>
      <w:proofErr w:type="spellStart"/>
      <w:r w:rsidR="00A84007">
        <w:t>Langerhan</w:t>
      </w:r>
      <w:proofErr w:type="spellEnd"/>
      <w:r w:rsidR="00A84007">
        <w:t xml:space="preserve"> cells (Figure 3F). </w:t>
      </w:r>
      <w:r w:rsidR="0020613A">
        <w:t xml:space="preserve">The </w:t>
      </w:r>
      <w:proofErr w:type="spellStart"/>
      <w:r w:rsidR="0020613A">
        <w:t>pM</w:t>
      </w:r>
      <w:proofErr w:type="spellEnd"/>
      <w:r w:rsidR="0020613A">
        <w:t xml:space="preserve"> </w:t>
      </w:r>
      <w:proofErr w:type="spellStart"/>
      <w:r w:rsidR="0020613A">
        <w:t>sub</w:t>
      </w:r>
      <w:r w:rsidR="00666678">
        <w:t>c</w:t>
      </w:r>
      <w:r w:rsidR="0020613A">
        <w:t>luster</w:t>
      </w:r>
      <w:proofErr w:type="spellEnd"/>
      <w:r w:rsidR="0020613A">
        <w:t xml:space="preserve"> had the highest level of the cell adhesion molecules </w:t>
      </w:r>
      <w:r w:rsidR="0020613A" w:rsidRPr="0020613A">
        <w:rPr>
          <w:i/>
          <w:iCs/>
        </w:rPr>
        <w:t>CLEC10A</w:t>
      </w:r>
      <w:r w:rsidR="0020613A">
        <w:t xml:space="preserve">, </w:t>
      </w:r>
      <w:r w:rsidR="0020613A" w:rsidRPr="0020613A">
        <w:rPr>
          <w:i/>
          <w:iCs/>
        </w:rPr>
        <w:t>SELL</w:t>
      </w:r>
      <w:r w:rsidR="0020613A">
        <w:t xml:space="preserve"> (CD62L), and </w:t>
      </w:r>
      <w:r w:rsidR="0020613A" w:rsidRPr="0020613A">
        <w:rPr>
          <w:i/>
          <w:iCs/>
        </w:rPr>
        <w:t>ITGB7</w:t>
      </w:r>
      <w:r w:rsidR="0020613A">
        <w:t xml:space="preserve">, which can dimerize with </w:t>
      </w:r>
      <w:r w:rsidR="0020613A" w:rsidRPr="0020613A">
        <w:rPr>
          <w:i/>
          <w:iCs/>
        </w:rPr>
        <w:t>ITGA4</w:t>
      </w:r>
      <w:r w:rsidR="0020613A">
        <w:t xml:space="preserve"> (CD49d) or </w:t>
      </w:r>
      <w:r w:rsidR="0020613A" w:rsidRPr="0020613A">
        <w:rPr>
          <w:i/>
          <w:iCs/>
        </w:rPr>
        <w:t>ITGAE</w:t>
      </w:r>
      <w:r w:rsidR="0020613A">
        <w:t xml:space="preserve"> (CD103).</w:t>
      </w:r>
      <w:r w:rsidR="006C2FF3">
        <w:t xml:space="preserve"> Like the CD8</w:t>
      </w:r>
      <w:r w:rsidR="006C2FF3" w:rsidRPr="00666678">
        <w:rPr>
          <w:vertAlign w:val="superscript"/>
        </w:rPr>
        <w:t>+</w:t>
      </w:r>
      <w:r w:rsidR="006C2FF3">
        <w:t xml:space="preserve"> T cells, we built cell trajectories based on varied genes find two distinct curves converging into TAM_3 and </w:t>
      </w:r>
      <w:proofErr w:type="spellStart"/>
      <w:r w:rsidR="006C2FF3">
        <w:t>pM</w:t>
      </w:r>
      <w:proofErr w:type="spellEnd"/>
      <w:r w:rsidR="006C2FF3">
        <w:t xml:space="preserve"> (Figure 3G). </w:t>
      </w:r>
      <w:r w:rsidR="006C2FF3">
        <w:rPr>
          <w:rFonts w:ascii="Arial" w:hAnsi="Arial" w:cs="Arial"/>
          <w:sz w:val="22"/>
          <w:szCs w:val="22"/>
        </w:rPr>
        <w:t xml:space="preserve">In order to </w:t>
      </w:r>
      <w:r w:rsidR="00666678">
        <w:rPr>
          <w:rFonts w:ascii="Arial" w:hAnsi="Arial" w:cs="Arial"/>
          <w:sz w:val="22"/>
          <w:szCs w:val="22"/>
        </w:rPr>
        <w:t>assess potential</w:t>
      </w:r>
      <w:r w:rsidR="006C2FF3">
        <w:rPr>
          <w:rFonts w:ascii="Arial" w:hAnsi="Arial" w:cs="Arial"/>
          <w:sz w:val="22"/>
          <w:szCs w:val="22"/>
        </w:rPr>
        <w:t xml:space="preserve"> functional difference</w:t>
      </w:r>
      <w:r w:rsidR="00666678">
        <w:rPr>
          <w:rFonts w:ascii="Arial" w:hAnsi="Arial" w:cs="Arial"/>
          <w:sz w:val="22"/>
          <w:szCs w:val="22"/>
        </w:rPr>
        <w:t xml:space="preserve">s for the macrophages, </w:t>
      </w:r>
      <w:r w:rsidR="006C2FF3">
        <w:rPr>
          <w:rFonts w:ascii="Arial" w:hAnsi="Arial" w:cs="Arial"/>
          <w:sz w:val="22"/>
          <w:szCs w:val="22"/>
        </w:rPr>
        <w:t>we performed gene set enrichment analysis (Figure 3H</w:t>
      </w:r>
      <w:r w:rsidR="00666678">
        <w:rPr>
          <w:rFonts w:ascii="Arial" w:hAnsi="Arial" w:cs="Arial"/>
          <w:sz w:val="22"/>
          <w:szCs w:val="22"/>
        </w:rPr>
        <w:t xml:space="preserve">). As previously observed in single-cell data (cite here), no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was distinctly M1 or M2 polarized. For example, TAM_1 had enrichment for gene sets commonly associated with the M2 macrophage compartment, such has angiogenesis and the production of lipid mediators, while also having the highest levels of </w:t>
      </w:r>
      <w:proofErr w:type="spellStart"/>
      <w:r w:rsidR="00666678">
        <w:rPr>
          <w:rFonts w:ascii="Arial" w:hAnsi="Arial" w:cs="Arial"/>
          <w:sz w:val="22"/>
          <w:szCs w:val="22"/>
        </w:rPr>
        <w:t>TNFɑ</w:t>
      </w:r>
      <w:proofErr w:type="spellEnd"/>
      <w:r w:rsidR="00666678">
        <w:rPr>
          <w:rFonts w:ascii="Arial" w:hAnsi="Arial" w:cs="Arial"/>
          <w:sz w:val="22"/>
          <w:szCs w:val="22"/>
        </w:rPr>
        <w:t xml:space="preserve"> signaling enrichment, a common M1 macrophage characteristic. Across the three 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modest enrichment in both type 1 and type 2 interferon signaling was observed (Figure 3H). The non-TAM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t>
      </w:r>
      <w:proofErr w:type="spellStart"/>
      <w:r w:rsidR="00666678">
        <w:rPr>
          <w:rFonts w:ascii="Arial" w:hAnsi="Arial" w:cs="Arial"/>
          <w:sz w:val="22"/>
          <w:szCs w:val="22"/>
        </w:rPr>
        <w:t>rM</w:t>
      </w:r>
      <w:proofErr w:type="spellEnd"/>
      <w:r w:rsidR="00666678">
        <w:rPr>
          <w:rFonts w:ascii="Arial" w:hAnsi="Arial" w:cs="Arial"/>
          <w:sz w:val="22"/>
          <w:szCs w:val="22"/>
        </w:rPr>
        <w:t xml:space="preserve"> and </w:t>
      </w:r>
      <w:proofErr w:type="spellStart"/>
      <w:r w:rsidR="00666678">
        <w:rPr>
          <w:rFonts w:ascii="Arial" w:hAnsi="Arial" w:cs="Arial"/>
          <w:sz w:val="22"/>
          <w:szCs w:val="22"/>
        </w:rPr>
        <w:t>pM</w:t>
      </w:r>
      <w:proofErr w:type="spellEnd"/>
      <w:r w:rsidR="00666678">
        <w:rPr>
          <w:rFonts w:ascii="Arial" w:hAnsi="Arial" w:cs="Arial"/>
          <w:sz w:val="22"/>
          <w:szCs w:val="22"/>
        </w:rPr>
        <w:t xml:space="preserve"> had relatively lower levels of enrichment with the exception of proinflammatory signaling and glycolysis, respectively (Figure 3H). </w:t>
      </w:r>
      <w:r w:rsidR="00666678" w:rsidRPr="00666678">
        <w:rPr>
          <w:rFonts w:ascii="Arial" w:hAnsi="Arial" w:cs="Arial"/>
          <w:sz w:val="22"/>
          <w:szCs w:val="22"/>
          <w:highlight w:val="yellow"/>
        </w:rPr>
        <w:t>Concluding thought</w:t>
      </w:r>
    </w:p>
    <w:p w14:paraId="6CA58468" w14:textId="064F59B4" w:rsidR="006A1B3C" w:rsidRDefault="00C42E13" w:rsidP="008274D0">
      <w:pPr>
        <w:pStyle w:val="Paragraph"/>
        <w:snapToGrid w:val="0"/>
        <w:ind w:firstLine="0"/>
        <w:rPr>
          <w:rFonts w:ascii="Arial" w:hAnsi="Arial" w:cs="Arial"/>
          <w:b/>
          <w:bCs/>
          <w:color w:val="000000"/>
          <w:sz w:val="22"/>
          <w:szCs w:val="22"/>
        </w:rPr>
      </w:pPr>
      <w:proofErr w:type="spellStart"/>
      <w:r>
        <w:rPr>
          <w:rFonts w:ascii="Arial" w:hAnsi="Arial" w:cs="Arial"/>
          <w:b/>
          <w:bCs/>
          <w:color w:val="000000"/>
          <w:sz w:val="22"/>
          <w:szCs w:val="22"/>
        </w:rPr>
        <w:t>Discusion</w:t>
      </w:r>
      <w:proofErr w:type="spellEnd"/>
    </w:p>
    <w:p w14:paraId="2D30F44E" w14:textId="4A192ABA" w:rsidR="00C42E13" w:rsidRDefault="00C42E13" w:rsidP="008274D0">
      <w:pPr>
        <w:pStyle w:val="Paragraph"/>
        <w:snapToGrid w:val="0"/>
        <w:ind w:firstLine="0"/>
        <w:rPr>
          <w:rFonts w:ascii="Arial" w:hAnsi="Arial" w:cs="Arial"/>
          <w:b/>
          <w:bCs/>
          <w:color w:val="000000"/>
          <w:sz w:val="22"/>
          <w:szCs w:val="22"/>
        </w:rPr>
      </w:pPr>
    </w:p>
    <w:p w14:paraId="42890BF8" w14:textId="5088CFBD" w:rsidR="00C42E13" w:rsidRDefault="00673B61" w:rsidP="008274D0">
      <w:pPr>
        <w:pStyle w:val="Paragraph"/>
        <w:snapToGrid w:val="0"/>
        <w:ind w:firstLine="0"/>
        <w:rPr>
          <w:rFonts w:ascii="Arial" w:hAnsi="Arial" w:cs="Arial"/>
          <w:color w:val="000000"/>
          <w:sz w:val="22"/>
          <w:szCs w:val="22"/>
        </w:rPr>
      </w:pPr>
      <w:r w:rsidRPr="00673B61">
        <w:rPr>
          <w:rFonts w:ascii="Arial" w:hAnsi="Arial" w:cs="Arial"/>
          <w:color w:val="000000"/>
          <w:sz w:val="22"/>
          <w:szCs w:val="22"/>
        </w:rPr>
        <w:t xml:space="preserve">Unlike other tumors that respond to immune checkpoint blockade, ccRCC has a relatively low tumor mutational load </w:t>
      </w:r>
      <w:r w:rsidRPr="00673B61">
        <w:rPr>
          <w:rFonts w:ascii="Arial" w:hAnsi="Arial" w:cs="Arial"/>
          <w:color w:val="000000"/>
          <w:sz w:val="22"/>
          <w:szCs w:val="22"/>
        </w:rPr>
        <w:fldChar w:fldCharType="begin" w:fldLock="1"/>
      </w:r>
      <w:r w:rsidRPr="00673B61">
        <w:rPr>
          <w:rFonts w:ascii="Arial" w:hAnsi="Arial" w:cs="Arial"/>
          <w:color w:val="000000"/>
          <w:sz w:val="22"/>
          <w:szCs w:val="22"/>
        </w:rPr>
        <w:instrText>ADDIN CSL_CITATION {"citationItems":[{"id":"ITEM-1","itemData":{"DOI":"10.1126/science.aan5951","ISSN":"10959203","PMID":"29301960","abstract":"Immune checkpoint inhibitors targeting the programmed cell death 1 receptor (PD-1) improve survival in a subset of patients with clear cell renal cell carcinoma (ccRCC). To identify genomic alterations in ccRCC that correlate with response to anti–PD-1 monotherapy, we performed whole-exome sequencing of metastatic ccRCC from 35 patients. We found that clinical benefit was associated with loss-of-function mutations in the PBRM1 gene (P = 0.012), which encodes a subunit of the PBAF switch-sucrose nonfermentable (SWI/SNF) chromatin remodeling complex. We confirmed this finding in an independent validation cohort of 63 ccRCC patients treated with PD-1 or PD-L1 (PD-1 ligand) blockade therapy alone or in combination with anti–CTLA-4 (cytotoxic T lymphocyte-associated protein 4) therapies (P = 0.0071). Gene-expression analysis of PBAF-deficient ccRCC cell lines and PBRM1-deficient tumors revealed altered transcriptional output in JAK-STAT (Janus kinase–signal transducers and activators of transcription), hypoxia, and immune signaling pathways. PBRM1 loss in ccRCC May alter global tumor-cell expression profiles to influence responsiveness to immune checkpoint therapy.","author":[{"dropping-particle":"","family":"Miao","given":"Diana","non-dropping-particle":"","parse-names":false,"suffix":""},{"dropping-particle":"","family":"Margolis","given":"Claire A.","non-dropping-particle":"","parse-names":false,"suffix":""},{"dropping-particle":"","family":"Gao","given":"Wenhua","non-dropping-particle":"","parse-names":false,"suffix":""},{"dropping-particle":"","family":"Voss","given":"Martin H.","non-dropping-particle":"","parse-names":false,"suffix":""},{"dropping-particle":"","family":"Li","given":"Wei","non-dropping-particle":"","parse-names":false,"suffix":""},{"dropping-particle":"","family":"Martini","given":"Dylan J.","non-dropping-particle":"","parse-names":false,"suffix":""},{"dropping-particle":"","family":"Norton","given":"Craig","non-dropping-particle":"","parse-names":false,"suffix":""},{"dropping-particle":"","family":"Bossé","given":"Dominick","non-dropping-particle":"","parse-names":false,"suffix":""},{"dropping-particle":"","family":"Wankowicz","given":"Stephanie M.","non-dropping-particle":"","parse-names":false,"suffix":""},{"dropping-particle":"","family":"Cullen","given":"Dana","non-dropping-particle":"","parse-names":false,"suffix":""},{"dropping-particle":"","family":"Horak","given":"Christine","non-dropping-particle":"","parse-names":false,"suffix":""},{"dropping-particle":"","family":"Wind-Rotolo","given":"Megan","non-dropping-particle":"","parse-names":false,"suffix":""},{"dropping-particle":"","family":"Tracy","given":"Adam","non-dropping-particle":"","parse-names":false,"suffix":""},{"dropping-particle":"","family":"Giannakis","given":"Marios","non-dropping-particle":"","parse-names":false,"suffix":""},{"dropping-particle":"","family":"Hodi","given":"Frank Stephen","non-dropping-particle":"","parse-names":false,"suffix":""},{"dropping-particle":"","family":"Drake","given":"Charles G.","non-dropping-particle":"","parse-names":false,"suffix":""},{"dropping-particle":"","family":"Ball","given":"Mark W.","non-dropping-particle":"","parse-names":false,"suffix":""},{"dropping-particle":"","family":"Allaf","given":"Mohamad E.","non-dropping-particle":"","parse-names":false,"suffix":""},{"dropping-particle":"","family":"Snyder","given":"Alexandra","non-dropping-particle":"","parse-names":false,"suffix":""},{"dropping-particle":"","family":"Hellmann","given":"Matthew D.","non-dropping-particle":"","parse-names":false,"suffix":""},{"dropping-particle":"","family":"Ho","given":"Thai","non-dropping-particle":"","parse-names":false,"suffix":""},{"dropping-particle":"","family":"Motzer","given":"Robert J.","non-dropping-particle":"","parse-names":false,"suffix":""},{"dropping-particle":"","family":"Signoretti","given":"Sabina","non-dropping-particle":"","parse-names":false,"suffix":""},{"dropping-particle":"","family":"Kaelin","given":"William G.","non-dropping-particle":"","parse-names":false,"suffix":""},{"dropping-particle":"","family":"Choueiri","given":"Toni K.","non-dropping-particle":"","parse-names":false,"suffix":""},{"dropping-particle":"","family":"Allen","given":"Eliezer M.","non-dropping-particle":"Van","parse-names":false,"suffix":""}],"container-title":"Science","id":"ITEM-1","issued":{"date-parts":[["2018"]]},"title":"Genomic correlates of response to immune checkpoint therapies in clear cell renal cell carcinoma","type":"article-journal"},"uris":["http://www.mendeley.com/documents/?uuid=fd49aeb7-c337-4536-9ab3-f616516d0485"]},{"id":"ITEM-2","itemData":{"DOI":"10.1038/nature12222","ISSN":"00280836","PMID":"23792563","abstract":"Genetic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J.","non-dropping-particle":"","parse-names":false,"suffix":""}],"container-title":"Nature","id":"ITEM-2","issued":{"date-parts":[["2013"]]},"title":"Comprehensivemolecular characterization of clear cell renal cell carcinoma","type":"article-journal"},"uris":["http://www.mendeley.com/documents/?uuid=d6020cd7-f897-4ff4-b600-c843bbbf7719"]}],"mendeley":{"formattedCitation":"(18,34)","plainTextFormattedCitation":"(18,34)","previouslyFormattedCitation":"(18,34)"},"properties":{"noteIndex":0},"schema":"https://github.com/citation-style-language/schema/raw/master/csl-citation.json"}</w:instrText>
      </w:r>
      <w:r w:rsidRPr="00673B61">
        <w:rPr>
          <w:rFonts w:ascii="Arial" w:hAnsi="Arial" w:cs="Arial"/>
          <w:color w:val="000000"/>
          <w:sz w:val="22"/>
          <w:szCs w:val="22"/>
        </w:rPr>
        <w:fldChar w:fldCharType="separate"/>
      </w:r>
      <w:r w:rsidRPr="00673B61">
        <w:rPr>
          <w:rFonts w:ascii="Arial" w:hAnsi="Arial" w:cs="Arial"/>
          <w:noProof/>
          <w:color w:val="000000"/>
          <w:sz w:val="22"/>
          <w:szCs w:val="22"/>
        </w:rPr>
        <w:t>(18,34)</w:t>
      </w:r>
      <w:r w:rsidRPr="00673B61">
        <w:rPr>
          <w:rFonts w:ascii="Arial" w:hAnsi="Arial" w:cs="Arial"/>
          <w:color w:val="000000"/>
          <w:sz w:val="22"/>
          <w:szCs w:val="22"/>
        </w:rPr>
        <w:fldChar w:fldCharType="end"/>
      </w:r>
      <w:r w:rsidRPr="00673B61">
        <w:rPr>
          <w:rFonts w:ascii="Arial" w:hAnsi="Arial" w:cs="Arial"/>
          <w:color w:val="000000"/>
          <w:sz w:val="22"/>
          <w:szCs w:val="22"/>
        </w:rPr>
        <w:t xml:space="preserve"> nor is the mutational load associated with response to therapy </w:t>
      </w:r>
      <w:r w:rsidRPr="00673B61">
        <w:rPr>
          <w:rFonts w:ascii="Arial" w:hAnsi="Arial" w:cs="Arial"/>
          <w:color w:val="000000"/>
          <w:sz w:val="22"/>
          <w:szCs w:val="22"/>
        </w:rPr>
        <w:fldChar w:fldCharType="begin" w:fldLock="1"/>
      </w:r>
      <w:r w:rsidR="00352D3C">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sidRPr="00673B61">
        <w:rPr>
          <w:rFonts w:ascii="Arial" w:hAnsi="Arial" w:cs="Arial"/>
          <w:color w:val="000000"/>
          <w:sz w:val="22"/>
          <w:szCs w:val="22"/>
        </w:rPr>
        <w:fldChar w:fldCharType="separate"/>
      </w:r>
      <w:r w:rsidRPr="00673B61">
        <w:rPr>
          <w:rFonts w:ascii="Arial" w:hAnsi="Arial" w:cs="Arial"/>
          <w:noProof/>
          <w:color w:val="000000"/>
          <w:sz w:val="22"/>
          <w:szCs w:val="22"/>
        </w:rPr>
        <w:t>(14)</w:t>
      </w:r>
      <w:r w:rsidRPr="00673B61">
        <w:rPr>
          <w:rFonts w:ascii="Arial" w:hAnsi="Arial" w:cs="Arial"/>
          <w:color w:val="000000"/>
          <w:sz w:val="22"/>
          <w:szCs w:val="22"/>
        </w:rPr>
        <w:fldChar w:fldCharType="end"/>
      </w:r>
      <w:r w:rsidRPr="00673B61">
        <w:rPr>
          <w:rFonts w:ascii="Arial" w:hAnsi="Arial" w:cs="Arial"/>
          <w:color w:val="000000"/>
          <w:sz w:val="22"/>
          <w:szCs w:val="22"/>
        </w:rPr>
        <w:t xml:space="preserve">. </w:t>
      </w:r>
      <w:r>
        <w:rPr>
          <w:rFonts w:ascii="Arial" w:hAnsi="Arial" w:cs="Arial"/>
          <w:color w:val="000000"/>
          <w:sz w:val="22"/>
          <w:szCs w:val="22"/>
        </w:rPr>
        <w:t xml:space="preserve">Similarly, </w:t>
      </w:r>
      <w:r w:rsidR="00352D3C">
        <w:rPr>
          <w:rFonts w:ascii="Arial" w:hAnsi="Arial" w:cs="Arial"/>
          <w:color w:val="000000"/>
          <w:sz w:val="22"/>
          <w:szCs w:val="22"/>
        </w:rPr>
        <w:t>therapeutic response</w:t>
      </w:r>
      <w:r>
        <w:rPr>
          <w:rFonts w:ascii="Arial" w:hAnsi="Arial" w:cs="Arial"/>
          <w:color w:val="000000"/>
          <w:sz w:val="22"/>
          <w:szCs w:val="22"/>
        </w:rPr>
        <w:t xml:space="preserve"> to anti-PD-1 therapy </w:t>
      </w:r>
      <w:r w:rsidR="00352D3C">
        <w:rPr>
          <w:rFonts w:ascii="Arial" w:hAnsi="Arial" w:cs="Arial"/>
          <w:color w:val="000000"/>
          <w:sz w:val="22"/>
          <w:szCs w:val="22"/>
        </w:rPr>
        <w:t xml:space="preserve">have been correlated </w:t>
      </w:r>
      <w:r>
        <w:rPr>
          <w:rFonts w:ascii="Arial" w:hAnsi="Arial" w:cs="Arial"/>
          <w:color w:val="000000"/>
          <w:sz w:val="22"/>
          <w:szCs w:val="22"/>
        </w:rPr>
        <w:t>with HLA heterozygo</w:t>
      </w:r>
      <w:r w:rsidR="00352D3C">
        <w:rPr>
          <w:rFonts w:ascii="Arial" w:hAnsi="Arial" w:cs="Arial"/>
          <w:color w:val="000000"/>
          <w:sz w:val="22"/>
          <w:szCs w:val="22"/>
        </w:rPr>
        <w:t xml:space="preserve">sity </w:t>
      </w:r>
      <w:r w:rsidR="00352D3C">
        <w:rPr>
          <w:rFonts w:ascii="Arial" w:hAnsi="Arial" w:cs="Arial"/>
          <w:color w:val="000000"/>
          <w:sz w:val="22"/>
          <w:szCs w:val="22"/>
        </w:rPr>
        <w:fldChar w:fldCharType="begin" w:fldLock="1"/>
      </w:r>
      <w:r w:rsidR="00352D3C">
        <w:rPr>
          <w:rFonts w:ascii="Arial" w:hAnsi="Arial" w:cs="Arial"/>
          <w:color w:val="000000"/>
          <w:sz w:val="22"/>
          <w:szCs w:val="22"/>
        </w:rPr>
        <w:instrText>ADDIN CSL_CITATION {"citationItems":[{"id":"ITEM-1","itemData":{"DOI":"10.1126/science.aao4572","ISSN":"10959203","PMID":"29217585","abstract":"CD8+ T cell–dependent killing of cancer cells requires efficient presentation of tumor antigens by human leukocyte antigen class I (HLA-I) molecules. However, the extent to which patient-specific HLA-I genotype influences response to anti–programmed cell death protein 1 or anti–cytotoxic T lymphocyte–associated protein 4 is currently unknown. We determined the HLA-I genotype of 1535 advanced cancer patients treated with immune checkpoint blockade (ICB). Maximal heterozygosity at HLA-I loci (“A,” “B,” and “C”) improved overall survival after ICB compared with patients who were homozygous for at least one HLA locus. In two independent melanoma cohorts, patients with the HLA-B44 supertype had extended survival, whereas the HLA-B62 supertype (including HLA-B*15:01) or somatic loss of heterozygosity at HLA-I was associated with poor outcome. Molecular dynamics simulations of HLA-B*15:01 revealed different elements that may impair CD8+ T cell recognition of neoantigens. Our results have important implications for predicting response to ICB and for the design of neoantigen-based therapeutic vaccines.","author":[{"dropping-particle":"","family":"Chowell","given":"Diego","non-dropping-particle":"","parse-names":false,"suffix":""},{"dropping-particle":"","family":"Morris","given":"Luc G.T.","non-dropping-particle":"","parse-names":false,"suffix":""},{"dropping-particle":"","family":"Grigg","given":"Claud M.","non-dropping-particle":"","parse-names":false,"suffix":""},{"dropping-particle":"","family":"Weber","given":"Jeffrey K.","non-dropping-particle":"","parse-names":false,"suffix":""},{"dropping-particle":"","family":"Samstein","given":"Robert M.","non-dropping-particle":"","parse-names":false,"suffix":""},{"dropping-particle":"","family":"Makarov","given":"Vladimir","non-dropping-particle":"","parse-names":false,"suffix":""},{"dropping-particle":"","family":"Kuo","given":"Fengshen","non-dropping-particle":"","parse-names":false,"suffix":""},{"dropping-particle":"","family":"Kendall","given":"Sviatoslav M.","non-dropping-particle":"","parse-names":false,"suffix":""},{"dropping-particle":"","family":"Requena","given":"David","non-dropping-particle":"","parse-names":false,"suffix":""},{"dropping-particle":"","family":"Riaz","given":"Nadeem","non-dropping-particle":"","parse-names":false,"suffix":""},{"dropping-particle":"","family":"Greenbaum","given":"Benjamin","non-dropping-particle":"","parse-names":false,"suffix":""},{"dropping-particle":"","family":"Carroll","given":"James","non-dropping-particle":"","parse-names":false,"suffix":""},{"dropping-particle":"","family":"Garon","given":"Edward","non-dropping-particle":"","parse-names":false,"suffix":""},{"dropping-particle":"","family":"Hyman","given":"David M.","non-dropping-particle":"","parse-names":false,"suffix":""},{"dropping-particle":"","family":"Zehir","given":"Ahmet","non-dropping-particle":"","parse-names":false,"suffix":""},{"dropping-particle":"","family":"Solit","given":"David","non-dropping-particle":"","parse-names":false,"suffix":""},{"dropping-particle":"","family":"Berger","given":"Michael","non-dropping-particle":"","parse-names":false,"suffix":""},{"dropping-particle":"","family":"Zhou","given":"Ruhong","non-dropping-particle":"","parse-names":false,"suffix":""},{"dropping-particle":"","family":"Rizvi","given":"Naiyer A.","non-dropping-particle":"","parse-names":false,"suffix":""},{"dropping-particle":"","family":"Chan","given":"Timothy A.","non-dropping-particle":"","parse-names":false,"suffix":""}],"container-title":"Science","id":"ITEM-1","issued":{"date-parts":[["2018"]]},"title":"Patient HLA class I genotype influences cancer response to checkpoint blockade immunotherapy","type":"article-journal"},"uris":["http://www.mendeley.com/documents/?uuid=7713df84-bd85-4628-9927-8c8a7a10b51d"]}],"mendeley":{"formattedCitation":"(35)","plainTextFormattedCitation":"(35)","previouslyFormattedCitation":"(35)"},"properties":{"noteIndex":0},"schema":"https://github.com/citation-style-language/schema/raw/master/csl-citation.json"}</w:instrText>
      </w:r>
      <w:r w:rsidR="00352D3C">
        <w:rPr>
          <w:rFonts w:ascii="Arial" w:hAnsi="Arial" w:cs="Arial"/>
          <w:color w:val="000000"/>
          <w:sz w:val="22"/>
          <w:szCs w:val="22"/>
        </w:rPr>
        <w:fldChar w:fldCharType="separate"/>
      </w:r>
      <w:r w:rsidR="00352D3C" w:rsidRPr="00352D3C">
        <w:rPr>
          <w:rFonts w:ascii="Arial" w:hAnsi="Arial" w:cs="Arial"/>
          <w:noProof/>
          <w:color w:val="000000"/>
          <w:sz w:val="22"/>
          <w:szCs w:val="22"/>
        </w:rPr>
        <w:t>(35)</w:t>
      </w:r>
      <w:r w:rsidR="00352D3C">
        <w:rPr>
          <w:rFonts w:ascii="Arial" w:hAnsi="Arial" w:cs="Arial"/>
          <w:color w:val="000000"/>
          <w:sz w:val="22"/>
          <w:szCs w:val="22"/>
        </w:rPr>
        <w:fldChar w:fldCharType="end"/>
      </w:r>
      <w:r w:rsidR="00352D3C">
        <w:rPr>
          <w:rFonts w:ascii="Arial" w:hAnsi="Arial" w:cs="Arial"/>
          <w:color w:val="000000"/>
          <w:sz w:val="22"/>
          <w:szCs w:val="22"/>
        </w:rPr>
        <w:t xml:space="preserve">, which does not seem to be the case for ccRCC </w:t>
      </w:r>
      <w:r w:rsidR="00352D3C">
        <w:rPr>
          <w:rFonts w:ascii="Arial" w:hAnsi="Arial" w:cs="Arial"/>
          <w:color w:val="000000"/>
          <w:sz w:val="22"/>
          <w:szCs w:val="22"/>
        </w:rPr>
        <w:fldChar w:fldCharType="begin" w:fldLock="1"/>
      </w:r>
      <w:r w:rsidR="00072B81">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sidR="00352D3C">
        <w:rPr>
          <w:rFonts w:ascii="Arial" w:hAnsi="Arial" w:cs="Arial"/>
          <w:color w:val="000000"/>
          <w:sz w:val="22"/>
          <w:szCs w:val="22"/>
        </w:rPr>
        <w:fldChar w:fldCharType="separate"/>
      </w:r>
      <w:r w:rsidR="00352D3C" w:rsidRPr="00352D3C">
        <w:rPr>
          <w:rFonts w:ascii="Arial" w:hAnsi="Arial" w:cs="Arial"/>
          <w:noProof/>
          <w:color w:val="000000"/>
          <w:sz w:val="22"/>
          <w:szCs w:val="22"/>
        </w:rPr>
        <w:t>(14)</w:t>
      </w:r>
      <w:r w:rsidR="00352D3C">
        <w:rPr>
          <w:rFonts w:ascii="Arial" w:hAnsi="Arial" w:cs="Arial"/>
          <w:color w:val="000000"/>
          <w:sz w:val="22"/>
          <w:szCs w:val="22"/>
        </w:rPr>
        <w:fldChar w:fldCharType="end"/>
      </w:r>
      <w:r w:rsidR="00352D3C">
        <w:rPr>
          <w:rFonts w:ascii="Arial" w:hAnsi="Arial" w:cs="Arial"/>
          <w:color w:val="000000"/>
          <w:sz w:val="22"/>
          <w:szCs w:val="22"/>
        </w:rPr>
        <w:t>.</w:t>
      </w:r>
    </w:p>
    <w:p w14:paraId="301EF132" w14:textId="2E17C5C3" w:rsidR="00352D3C" w:rsidRDefault="00352D3C" w:rsidP="008274D0">
      <w:pPr>
        <w:pStyle w:val="Paragraph"/>
        <w:snapToGrid w:val="0"/>
        <w:ind w:firstLine="0"/>
        <w:rPr>
          <w:rFonts w:ascii="Arial" w:hAnsi="Arial" w:cs="Arial"/>
          <w:color w:val="000000"/>
          <w:sz w:val="22"/>
          <w:szCs w:val="22"/>
        </w:rPr>
      </w:pPr>
    </w:p>
    <w:p w14:paraId="3D1155DD" w14:textId="07EABA2C" w:rsidR="00496F98" w:rsidRDefault="00352D3C" w:rsidP="008274D0">
      <w:pPr>
        <w:pStyle w:val="Paragraph"/>
        <w:snapToGrid w:val="0"/>
        <w:ind w:firstLine="0"/>
        <w:rPr>
          <w:rFonts w:ascii="Arial" w:hAnsi="Arial" w:cs="Arial"/>
          <w:color w:val="000000"/>
          <w:sz w:val="22"/>
          <w:szCs w:val="22"/>
        </w:rPr>
      </w:pPr>
      <w:r>
        <w:rPr>
          <w:rFonts w:ascii="Arial" w:hAnsi="Arial" w:cs="Arial"/>
          <w:color w:val="000000"/>
          <w:sz w:val="22"/>
          <w:szCs w:val="22"/>
        </w:rPr>
        <w:t xml:space="preserve">CD8+ T cells </w:t>
      </w:r>
      <w:r w:rsidR="00072B81">
        <w:rPr>
          <w:rFonts w:ascii="Arial" w:hAnsi="Arial" w:cs="Arial"/>
          <w:color w:val="000000"/>
          <w:sz w:val="22"/>
          <w:szCs w:val="22"/>
        </w:rPr>
        <w:t xml:space="preserve">with lower activation and exhausted expression patterns were associated with improved anti-PD-1 responses in melanoma. Unlike the more exhausted cells, these responsive T cells had minimal clonotypes shared between the more activated CD8+ subsets </w:t>
      </w:r>
      <w:r w:rsidR="00072B81">
        <w:rPr>
          <w:rFonts w:ascii="Arial" w:hAnsi="Arial" w:cs="Arial"/>
          <w:color w:val="000000"/>
          <w:sz w:val="22"/>
          <w:szCs w:val="22"/>
        </w:rPr>
        <w:fldChar w:fldCharType="begin" w:fldLock="1"/>
      </w:r>
      <w:r w:rsidR="00496F98">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072B81">
        <w:rPr>
          <w:rFonts w:ascii="Arial" w:hAnsi="Arial" w:cs="Arial"/>
          <w:color w:val="000000"/>
          <w:sz w:val="22"/>
          <w:szCs w:val="22"/>
        </w:rPr>
        <w:fldChar w:fldCharType="separate"/>
      </w:r>
      <w:r w:rsidR="00072B81" w:rsidRPr="00072B81">
        <w:rPr>
          <w:rFonts w:ascii="Arial" w:hAnsi="Arial" w:cs="Arial"/>
          <w:noProof/>
          <w:color w:val="000000"/>
          <w:sz w:val="22"/>
          <w:szCs w:val="22"/>
        </w:rPr>
        <w:t>(21)</w:t>
      </w:r>
      <w:r w:rsidR="00072B81">
        <w:rPr>
          <w:rFonts w:ascii="Arial" w:hAnsi="Arial" w:cs="Arial"/>
          <w:color w:val="000000"/>
          <w:sz w:val="22"/>
          <w:szCs w:val="22"/>
        </w:rPr>
        <w:fldChar w:fldCharType="end"/>
      </w:r>
      <w:r w:rsidR="00072B81">
        <w:rPr>
          <w:rFonts w:ascii="Arial" w:hAnsi="Arial" w:cs="Arial"/>
          <w:color w:val="000000"/>
          <w:sz w:val="22"/>
          <w:szCs w:val="22"/>
        </w:rPr>
        <w:t>.</w:t>
      </w:r>
    </w:p>
    <w:p w14:paraId="74EC0993" w14:textId="77777777" w:rsidR="00496F98" w:rsidRDefault="00496F98" w:rsidP="008274D0">
      <w:pPr>
        <w:pStyle w:val="Paragraph"/>
        <w:snapToGrid w:val="0"/>
        <w:ind w:firstLine="0"/>
        <w:rPr>
          <w:rFonts w:ascii="Arial" w:hAnsi="Arial" w:cs="Arial"/>
          <w:color w:val="000000"/>
          <w:sz w:val="22"/>
          <w:szCs w:val="22"/>
        </w:rPr>
      </w:pPr>
    </w:p>
    <w:p w14:paraId="783DA2DC" w14:textId="40DD5CA6" w:rsidR="009E37AE" w:rsidRDefault="00496F98" w:rsidP="009E37AE">
      <w:pPr>
        <w:pStyle w:val="Paragraph"/>
        <w:snapToGrid w:val="0"/>
        <w:ind w:firstLine="0"/>
        <w:rPr>
          <w:rFonts w:ascii="Arial" w:hAnsi="Arial" w:cs="Arial"/>
          <w:color w:val="000000"/>
          <w:sz w:val="22"/>
          <w:szCs w:val="22"/>
        </w:rPr>
      </w:pPr>
      <w:r>
        <w:rPr>
          <w:rFonts w:ascii="Arial" w:hAnsi="Arial" w:cs="Arial"/>
          <w:color w:val="000000"/>
          <w:sz w:val="22"/>
          <w:szCs w:val="22"/>
        </w:rPr>
        <w:t>Immune-regulated subtype asso</w:t>
      </w:r>
      <w:r w:rsidR="00303FAC">
        <w:rPr>
          <w:rFonts w:ascii="Arial" w:hAnsi="Arial" w:cs="Arial"/>
          <w:color w:val="000000"/>
          <w:sz w:val="22"/>
          <w:szCs w:val="22"/>
        </w:rPr>
        <w:t>ci</w:t>
      </w:r>
      <w:r>
        <w:rPr>
          <w:rFonts w:ascii="Arial" w:hAnsi="Arial" w:cs="Arial"/>
          <w:color w:val="000000"/>
          <w:sz w:val="22"/>
          <w:szCs w:val="22"/>
        </w:rPr>
        <w:t xml:space="preserve">ated with infiltration of polyclonal </w:t>
      </w:r>
      <w:r w:rsidR="00303FAC">
        <w:rPr>
          <w:rFonts w:ascii="Arial" w:hAnsi="Arial" w:cs="Arial"/>
          <w:color w:val="000000"/>
          <w:sz w:val="22"/>
          <w:szCs w:val="22"/>
        </w:rPr>
        <w:t>exhausted</w:t>
      </w:r>
      <w:r>
        <w:rPr>
          <w:rFonts w:ascii="Arial" w:hAnsi="Arial" w:cs="Arial"/>
          <w:color w:val="000000"/>
          <w:sz w:val="22"/>
          <w:szCs w:val="22"/>
        </w:rPr>
        <w:t xml:space="preserve"> T cells, Tregs, and dysfunctional DC associated with advanced histological features and </w:t>
      </w:r>
      <w:r w:rsidR="00303FAC">
        <w:rPr>
          <w:rFonts w:ascii="Arial" w:hAnsi="Arial" w:cs="Arial"/>
          <w:color w:val="000000"/>
          <w:sz w:val="22"/>
          <w:szCs w:val="22"/>
        </w:rPr>
        <w:t>increased</w:t>
      </w:r>
      <w:r>
        <w:rPr>
          <w:rFonts w:ascii="Arial" w:hAnsi="Arial" w:cs="Arial"/>
          <w:color w:val="000000"/>
          <w:sz w:val="22"/>
          <w:szCs w:val="22"/>
        </w:rPr>
        <w:t xml:space="preserve"> risk of disease progression </w:t>
      </w:r>
      <w:r>
        <w:rPr>
          <w:rFonts w:ascii="Arial" w:hAnsi="Arial" w:cs="Arial"/>
          <w:color w:val="000000"/>
          <w:sz w:val="22"/>
          <w:szCs w:val="22"/>
        </w:rPr>
        <w:fldChar w:fldCharType="begin" w:fldLock="1"/>
      </w:r>
      <w:r w:rsidR="009E37AE">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Research","id":"ITEM-1","issued":{"date-parts":[["2017"]]},"title":"Tumor-infiltrating and peripheral blood T-cell immunophenotypes predict early relapse in localized clear cell renal cell carcinoma","type":"article-journal"},"uris":["http://www.mendeley.com/documents/?uuid=20c9d997-3de2-4bb5-8279-f69c2b319dba"]}],"mendeley":{"formattedCitation":"(36)","plainTextFormattedCitation":"(36)","previouslyFormattedCitation":"(36)"},"properties":{"noteIndex":0},"schema":"https://github.com/citation-style-language/schema/raw/master/csl-citation.json"}</w:instrText>
      </w:r>
      <w:r>
        <w:rPr>
          <w:rFonts w:ascii="Arial" w:hAnsi="Arial" w:cs="Arial"/>
          <w:color w:val="000000"/>
          <w:sz w:val="22"/>
          <w:szCs w:val="22"/>
        </w:rPr>
        <w:fldChar w:fldCharType="separate"/>
      </w:r>
      <w:r w:rsidRPr="00496F98">
        <w:rPr>
          <w:rFonts w:ascii="Arial" w:hAnsi="Arial" w:cs="Arial"/>
          <w:noProof/>
          <w:color w:val="000000"/>
          <w:sz w:val="22"/>
          <w:szCs w:val="22"/>
        </w:rPr>
        <w:t>(36)</w:t>
      </w:r>
      <w:r>
        <w:rPr>
          <w:rFonts w:ascii="Arial" w:hAnsi="Arial" w:cs="Arial"/>
          <w:color w:val="000000"/>
          <w:sz w:val="22"/>
          <w:szCs w:val="22"/>
        </w:rPr>
        <w:fldChar w:fldCharType="end"/>
      </w:r>
      <w:r>
        <w:rPr>
          <w:rFonts w:ascii="Arial" w:hAnsi="Arial" w:cs="Arial"/>
          <w:color w:val="000000"/>
          <w:sz w:val="22"/>
          <w:szCs w:val="22"/>
        </w:rPr>
        <w:t>.</w:t>
      </w:r>
      <w:r w:rsidR="009E37AE">
        <w:rPr>
          <w:rFonts w:ascii="Arial" w:hAnsi="Arial" w:cs="Arial"/>
          <w:color w:val="000000"/>
          <w:sz w:val="22"/>
          <w:szCs w:val="22"/>
        </w:rPr>
        <w:t xml:space="preserve"> This same exhausted </w:t>
      </w:r>
      <w:r w:rsidR="009E37AE">
        <w:rPr>
          <w:rFonts w:ascii="Arial" w:hAnsi="Arial" w:cs="Arial"/>
          <w:color w:val="000000"/>
          <w:sz w:val="22"/>
          <w:szCs w:val="22"/>
        </w:rPr>
        <w:t xml:space="preserve">CD8+ T cell phenotype have been associated with increased dysfunctional </w:t>
      </w:r>
      <w:r w:rsidR="009E37AE">
        <w:rPr>
          <w:rFonts w:ascii="Arial" w:hAnsi="Arial" w:cs="Arial"/>
          <w:color w:val="000000"/>
          <w:sz w:val="22"/>
          <w:szCs w:val="22"/>
        </w:rPr>
        <w:t xml:space="preserve">DC </w:t>
      </w:r>
      <w:r w:rsidR="009E37AE">
        <w:rPr>
          <w:rFonts w:ascii="Arial" w:hAnsi="Arial" w:cs="Arial"/>
          <w:color w:val="000000"/>
          <w:sz w:val="22"/>
          <w:szCs w:val="22"/>
        </w:rPr>
        <w:fldChar w:fldCharType="begin" w:fldLock="1"/>
      </w:r>
      <w:r w:rsidR="009E37AE">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Research","id":"ITEM-1","issued":{"date-parts":[["2015"]]},"title":"Orchestration and prognostic significance of immune checkpoints in the microenvironment of primary and metastatic renal cell cancer","type":"article-journal"},"uris":["http://www.mendeley.com/documents/?uuid=ec3302ef-5ce4-4969-9eec-dd95284e1655"]}],"mendeley":{"formattedCitation":"(6)","plainTextFormattedCitation":"(6)"},"properties":{"noteIndex":0},"schema":"https://github.com/citation-style-language/schema/raw/master/csl-citation.json"}</w:instrText>
      </w:r>
      <w:r w:rsidR="009E37AE">
        <w:rPr>
          <w:rFonts w:ascii="Arial" w:hAnsi="Arial" w:cs="Arial"/>
          <w:color w:val="000000"/>
          <w:sz w:val="22"/>
          <w:szCs w:val="22"/>
        </w:rPr>
        <w:fldChar w:fldCharType="separate"/>
      </w:r>
      <w:r w:rsidR="009E37AE" w:rsidRPr="009E37AE">
        <w:rPr>
          <w:rFonts w:ascii="Arial" w:hAnsi="Arial" w:cs="Arial"/>
          <w:noProof/>
          <w:color w:val="000000"/>
          <w:sz w:val="22"/>
          <w:szCs w:val="22"/>
        </w:rPr>
        <w:t>(6)</w:t>
      </w:r>
      <w:r w:rsidR="009E37AE">
        <w:rPr>
          <w:rFonts w:ascii="Arial" w:hAnsi="Arial" w:cs="Arial"/>
          <w:color w:val="000000"/>
          <w:sz w:val="22"/>
          <w:szCs w:val="22"/>
        </w:rPr>
        <w:fldChar w:fldCharType="end"/>
      </w:r>
      <w:r w:rsidR="009E37AE">
        <w:rPr>
          <w:rFonts w:ascii="Arial" w:hAnsi="Arial" w:cs="Arial"/>
          <w:color w:val="000000"/>
          <w:sz w:val="22"/>
          <w:szCs w:val="22"/>
        </w:rPr>
        <w:t xml:space="preserve"> and macrophage populations </w:t>
      </w:r>
      <w:r w:rsidR="009E37AE">
        <w:rPr>
          <w:rFonts w:ascii="Arial" w:hAnsi="Arial" w:cs="Arial"/>
          <w:color w:val="000000"/>
          <w:sz w:val="22"/>
          <w:szCs w:val="22"/>
        </w:rPr>
        <w:fldChar w:fldCharType="begin" w:fldLock="1"/>
      </w:r>
      <w:r w:rsidR="009E37AE">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9E37AE">
        <w:rPr>
          <w:rFonts w:ascii="Arial" w:hAnsi="Arial" w:cs="Arial"/>
          <w:color w:val="000000"/>
          <w:sz w:val="22"/>
          <w:szCs w:val="22"/>
        </w:rPr>
        <w:fldChar w:fldCharType="separate"/>
      </w:r>
      <w:r w:rsidR="009E37AE" w:rsidRPr="009E37AE">
        <w:rPr>
          <w:rFonts w:ascii="Arial" w:hAnsi="Arial" w:cs="Arial"/>
          <w:noProof/>
          <w:color w:val="000000"/>
          <w:sz w:val="22"/>
          <w:szCs w:val="22"/>
        </w:rPr>
        <w:t>(17)</w:t>
      </w:r>
      <w:r w:rsidR="009E37AE">
        <w:rPr>
          <w:rFonts w:ascii="Arial" w:hAnsi="Arial" w:cs="Arial"/>
          <w:color w:val="000000"/>
          <w:sz w:val="22"/>
          <w:szCs w:val="22"/>
        </w:rPr>
        <w:fldChar w:fldCharType="end"/>
      </w:r>
      <w:r w:rsidR="009E37AE">
        <w:rPr>
          <w:rFonts w:ascii="Arial" w:hAnsi="Arial" w:cs="Arial"/>
          <w:color w:val="000000"/>
          <w:sz w:val="22"/>
          <w:szCs w:val="22"/>
        </w:rPr>
        <w:t xml:space="preserve">. </w:t>
      </w:r>
    </w:p>
    <w:p w14:paraId="7CF4E260" w14:textId="6F9DCD2D" w:rsidR="00352D3C" w:rsidRDefault="00352D3C" w:rsidP="00496F98">
      <w:pPr>
        <w:pStyle w:val="Paragraph"/>
        <w:snapToGrid w:val="0"/>
        <w:ind w:firstLine="0"/>
        <w:rPr>
          <w:rFonts w:ascii="Arial" w:hAnsi="Arial" w:cs="Arial"/>
          <w:color w:val="000000"/>
          <w:sz w:val="22"/>
          <w:szCs w:val="22"/>
        </w:rPr>
      </w:pPr>
      <w:bookmarkStart w:id="0" w:name="_GoBack"/>
      <w:bookmarkEnd w:id="0"/>
    </w:p>
    <w:p w14:paraId="40B311E0" w14:textId="30C1A434" w:rsidR="00496F98" w:rsidRDefault="00496F98" w:rsidP="00496F98">
      <w:pPr>
        <w:pStyle w:val="Paragraph"/>
        <w:snapToGrid w:val="0"/>
        <w:ind w:firstLine="0"/>
        <w:rPr>
          <w:rFonts w:ascii="Arial" w:hAnsi="Arial" w:cs="Arial"/>
          <w:color w:val="000000"/>
          <w:sz w:val="22"/>
          <w:szCs w:val="22"/>
        </w:rPr>
      </w:pPr>
    </w:p>
    <w:p w14:paraId="2E9ADA94" w14:textId="132B3DF7"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3B5A9756"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Pr>
          <w:rFonts w:ascii="Arial" w:hAnsi="Arial" w:cs="Arial"/>
          <w:color w:val="000000"/>
          <w:sz w:val="22"/>
          <w:szCs w:val="22"/>
        </w:rPr>
        <w:t>were males with an age range of</w:t>
      </w:r>
      <w:r w:rsidRPr="00761DC0">
        <w:rPr>
          <w:rFonts w:ascii="Arial" w:hAnsi="Arial" w:cs="Arial"/>
          <w:color w:val="000000"/>
          <w:sz w:val="22"/>
          <w:szCs w:val="22"/>
        </w:rPr>
        <w:t xml:space="preserve"> 67 to 74 years old.</w:t>
      </w:r>
      <w:r w:rsidR="00CA4320">
        <w:rPr>
          <w:rFonts w:ascii="Arial" w:hAnsi="Arial" w:cs="Arial"/>
          <w:color w:val="000000"/>
          <w:sz w:val="22"/>
          <w:szCs w:val="22"/>
        </w:rPr>
        <w:t xml:space="preserve"> </w:t>
      </w:r>
      <w:r w:rsidR="00614FAF">
        <w:rPr>
          <w:rFonts w:ascii="Arial" w:hAnsi="Arial" w:cs="Arial"/>
          <w:color w:val="000000"/>
          <w:sz w:val="22"/>
          <w:szCs w:val="22"/>
        </w:rPr>
        <w:t>T</w:t>
      </w:r>
      <w:r w:rsidR="00614FAF" w:rsidRPr="00761DC0">
        <w:rPr>
          <w:rFonts w:ascii="Arial" w:hAnsi="Arial" w:cs="Arial"/>
          <w:color w:val="000000"/>
          <w:sz w:val="22"/>
          <w:szCs w:val="22"/>
        </w:rPr>
        <w:t xml:space="preserve">umor grades were histologically determined by a pathologist. </w:t>
      </w:r>
      <w:r w:rsidR="00CA4320">
        <w:rPr>
          <w:rFonts w:ascii="Arial" w:hAnsi="Arial" w:cs="Arial"/>
          <w:color w:val="000000"/>
          <w:sz w:val="22"/>
          <w:szCs w:val="22"/>
        </w:rPr>
        <w:t xml:space="preserve">Primary tumor stage for Patient 1 and Patient 2 </w:t>
      </w:r>
      <w:r w:rsidR="00CA4320" w:rsidRPr="00352D3C">
        <w:rPr>
          <w:rFonts w:ascii="Arial" w:hAnsi="Arial" w:cs="Arial"/>
          <w:color w:val="000000"/>
          <w:sz w:val="22"/>
          <w:szCs w:val="22"/>
          <w:highlight w:val="yellow"/>
        </w:rPr>
        <w:t>were reported as pT1b with</w:t>
      </w:r>
      <w:r w:rsidR="00614FAF" w:rsidRPr="00352D3C">
        <w:rPr>
          <w:rFonts w:ascii="Arial" w:hAnsi="Arial" w:cs="Arial"/>
          <w:color w:val="000000"/>
          <w:sz w:val="22"/>
          <w:szCs w:val="22"/>
          <w:highlight w:val="yellow"/>
        </w:rPr>
        <w:t>out extension, while Patient 3 was reported</w:t>
      </w:r>
      <w:r w:rsidR="00614FAF">
        <w:rPr>
          <w:rFonts w:ascii="Arial" w:hAnsi="Arial" w:cs="Arial"/>
          <w:color w:val="000000"/>
          <w:sz w:val="22"/>
          <w:szCs w:val="22"/>
        </w:rPr>
        <w:t xml:space="preserve"> as pT3a with vascular invasion into renal vein. </w:t>
      </w:r>
      <w:r w:rsidRPr="00761DC0">
        <w:rPr>
          <w:rFonts w:ascii="Arial" w:hAnsi="Arial" w:cs="Arial"/>
          <w:color w:val="000000"/>
          <w:sz w:val="22"/>
          <w:szCs w:val="22"/>
        </w:rPr>
        <w:t xml:space="preserve">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28535BFB"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9E37AE">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(37)","plainTextFormattedCitation":"(37)","previouslyFormattedCitation":"(37)"},"properties":{"noteIndex":0},"schema":"https://github.com/citation-style-language/schema/raw/master/csl-citation.json"}</w:instrText>
      </w:r>
      <w:r w:rsidR="003245D3">
        <w:rPr>
          <w:rFonts w:ascii="Arial" w:hAnsi="Arial" w:cs="Arial"/>
          <w:color w:val="000000"/>
          <w:sz w:val="22"/>
          <w:szCs w:val="22"/>
        </w:rPr>
        <w:fldChar w:fldCharType="separate"/>
      </w:r>
      <w:r w:rsidR="00496F98" w:rsidRPr="00496F98">
        <w:rPr>
          <w:rFonts w:ascii="Arial" w:hAnsi="Arial" w:cs="Arial"/>
          <w:noProof/>
          <w:color w:val="000000"/>
          <w:sz w:val="22"/>
          <w:szCs w:val="22"/>
        </w:rPr>
        <w:t>(37)</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 xml:space="preserve">FITC Positive Selection Kit (StemCell Technologies). Alternatively, mononuclear cells (MNCs) from whole peripheral blood of paired subjects were isolated using SepMate Tubes (StemCell Technologies) by density gradient </w:t>
      </w:r>
      <w:r w:rsidRPr="00761DC0">
        <w:rPr>
          <w:rFonts w:ascii="Arial" w:hAnsi="Arial" w:cs="Arial"/>
          <w:color w:val="000000"/>
          <w:sz w:val="22"/>
          <w:szCs w:val="22"/>
        </w:rPr>
        <w:lastRenderedPageBreak/>
        <w:t>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 xml:space="preserve">Genomics) using the same input sample. Sequencing libraries were generated with unique sample indices (SI) for </w:t>
      </w:r>
      <w:r w:rsidRPr="00761DC0">
        <w:rPr>
          <w:rFonts w:ascii="Arial" w:hAnsi="Arial" w:cs="Arial"/>
          <w:color w:val="000000"/>
          <w:sz w:val="22"/>
          <w:szCs w:val="22"/>
        </w:rPr>
        <w:lastRenderedPageBreak/>
        <w:t>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25F178D3"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9E37AE">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(38)","plainTextFormattedCitation":"(38)","previouslyFormattedCitation":"(38)"},"properties":{"noteIndex":0},"schema":"https://github.com/citation-style-language/schema/raw/master/csl-citation.json"}</w:instrText>
      </w:r>
      <w:r w:rsidRPr="004F1798">
        <w:rPr>
          <w:rFonts w:ascii="Arial" w:hAnsi="Arial" w:cs="Arial"/>
          <w:color w:val="000000" w:themeColor="text1"/>
          <w:sz w:val="22"/>
          <w:szCs w:val="22"/>
        </w:rPr>
        <w:fldChar w:fldCharType="separate"/>
      </w:r>
      <w:r w:rsidR="00496F98" w:rsidRPr="00496F98">
        <w:rPr>
          <w:rFonts w:ascii="Arial" w:hAnsi="Arial" w:cs="Arial"/>
          <w:noProof/>
          <w:color w:val="000000" w:themeColor="text1"/>
          <w:sz w:val="22"/>
          <w:szCs w:val="22"/>
        </w:rPr>
        <w:t>(38)</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5C580C27"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9E37AE">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(39,40)","plainTextFormattedCitation":"(39,40)","previouslyFormattedCitation":"(39,40)"},"properties":{"noteIndex":0},"schema":"https://github.com/citation-style-language/schema/raw/master/csl-citation.json"}</w:instrText>
      </w:r>
      <w:r w:rsidR="003245D3">
        <w:rPr>
          <w:rFonts w:ascii="Arial" w:hAnsi="Arial" w:cs="Arial"/>
          <w:sz w:val="22"/>
          <w:szCs w:val="22"/>
        </w:rPr>
        <w:fldChar w:fldCharType="separate"/>
      </w:r>
      <w:r w:rsidR="00496F98" w:rsidRPr="00496F98">
        <w:rPr>
          <w:rFonts w:ascii="Arial" w:hAnsi="Arial" w:cs="Arial"/>
          <w:noProof/>
          <w:sz w:val="22"/>
          <w:szCs w:val="22"/>
        </w:rPr>
        <w:t>(39,40)</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9E37AE">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(41)","plainTextFormattedCitation":"(41)","previouslyFormattedCitation":"(41)"},"properties":{"noteIndex":0},"schema":"https://github.com/citation-style-language/schema/raw/master/csl-citation.json"}</w:instrText>
      </w:r>
      <w:r w:rsidR="003245D3">
        <w:rPr>
          <w:rFonts w:ascii="Arial" w:hAnsi="Arial" w:cs="Arial"/>
          <w:sz w:val="22"/>
          <w:szCs w:val="22"/>
        </w:rPr>
        <w:fldChar w:fldCharType="separate"/>
      </w:r>
      <w:r w:rsidR="00496F98" w:rsidRPr="00496F98">
        <w:rPr>
          <w:rFonts w:ascii="Arial" w:hAnsi="Arial" w:cs="Arial"/>
          <w:noProof/>
          <w:sz w:val="22"/>
          <w:szCs w:val="22"/>
        </w:rPr>
        <w:t>(41)</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lastRenderedPageBreak/>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073A8CD5"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9E37AE">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(42)","plainTextFormattedCitation":"(42)","previouslyFormattedCitation":"(42)"},"properties":{"noteIndex":0},"schema":"https://github.com/citation-style-language/schema/raw/master/csl-citation.json"}</w:instrText>
      </w:r>
      <w:r w:rsidR="003245D3">
        <w:rPr>
          <w:rFonts w:ascii="Arial" w:hAnsi="Arial" w:cs="Arial"/>
          <w:sz w:val="22"/>
          <w:szCs w:val="22"/>
        </w:rPr>
        <w:fldChar w:fldCharType="separate"/>
      </w:r>
      <w:r w:rsidR="00496F98" w:rsidRPr="00496F98">
        <w:rPr>
          <w:rFonts w:ascii="Arial" w:hAnsi="Arial" w:cs="Arial"/>
          <w:noProof/>
          <w:sz w:val="22"/>
          <w:szCs w:val="22"/>
        </w:rPr>
        <w:t>(42)</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3E77D2FC"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9E37AE">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(43)","plainTextFormattedCitation":"(43)","previouslyFormattedCitation":"(43)"},"properties":{"noteIndex":0},"schema":"https://github.com/citation-style-language/schema/raw/master/csl-citation.json"}</w:instrText>
      </w:r>
      <w:r>
        <w:rPr>
          <w:rFonts w:ascii="Arial" w:hAnsi="Arial" w:cs="Arial"/>
          <w:sz w:val="22"/>
          <w:szCs w:val="22"/>
        </w:rPr>
        <w:fldChar w:fldCharType="separate"/>
      </w:r>
      <w:r w:rsidR="00496F98" w:rsidRPr="00496F98">
        <w:rPr>
          <w:rFonts w:ascii="Arial" w:hAnsi="Arial" w:cs="Arial"/>
          <w:noProof/>
          <w:sz w:val="22"/>
          <w:szCs w:val="22"/>
        </w:rPr>
        <w:t>(43)</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(29)</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(21,24)","plainTextFormattedCitation":"(21,24)","previouslyFormattedCitation":"(21,24)"},"properties":{"noteIndex":0},"schema":"https://github.com/citation-style-language/schema/raw/master/csl-citation.json"}</w:instrText>
      </w:r>
      <w:r w:rsidR="007A2B8C">
        <w:rPr>
          <w:rFonts w:ascii="Arial" w:hAnsi="Arial" w:cs="Arial"/>
          <w:sz w:val="22"/>
          <w:szCs w:val="22"/>
        </w:rPr>
        <w:fldChar w:fldCharType="separate"/>
      </w:r>
      <w:r w:rsidR="00C42E13" w:rsidRPr="00C42E13">
        <w:rPr>
          <w:rFonts w:ascii="Arial" w:hAnsi="Arial" w:cs="Arial"/>
          <w:noProof/>
          <w:sz w:val="22"/>
          <w:szCs w:val="22"/>
        </w:rPr>
        <w:t>(21,24)</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250FBC">
        <w:rPr>
          <w:rFonts w:ascii="Arial" w:hAnsi="Arial" w:cs="Arial"/>
          <w:sz w:val="22"/>
          <w:szCs w:val="22"/>
        </w:rPr>
        <w:fldChar w:fldCharType="separate"/>
      </w:r>
      <w:r w:rsidR="00C42E13" w:rsidRPr="00C42E13">
        <w:rPr>
          <w:rFonts w:ascii="Arial" w:hAnsi="Arial" w:cs="Arial"/>
          <w:noProof/>
          <w:sz w:val="22"/>
          <w:szCs w:val="22"/>
        </w:rPr>
        <w:t>(21)</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w:t>
      </w:r>
      <w:r w:rsidR="003245D3" w:rsidRPr="00761DC0">
        <w:rPr>
          <w:rFonts w:ascii="Arial" w:hAnsi="Arial" w:cs="Arial"/>
          <w:sz w:val="22"/>
          <w:szCs w:val="22"/>
        </w:rPr>
        <w:lastRenderedPageBreak/>
        <w:t xml:space="preserve">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9E37AE">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(44)","plainTextFormattedCitation":"(44)","previouslyFormattedCitation":"(44)"},"properties":{"noteIndex":0},"schema":"https://github.com/citation-style-language/schema/raw/master/csl-citation.json"}</w:instrText>
      </w:r>
      <w:r w:rsidR="003245D3">
        <w:rPr>
          <w:rFonts w:ascii="Arial" w:hAnsi="Arial" w:cs="Arial"/>
          <w:sz w:val="22"/>
          <w:szCs w:val="22"/>
        </w:rPr>
        <w:fldChar w:fldCharType="separate"/>
      </w:r>
      <w:r w:rsidR="00496F98" w:rsidRPr="00496F98">
        <w:rPr>
          <w:rFonts w:ascii="Arial" w:hAnsi="Arial" w:cs="Arial"/>
          <w:noProof/>
          <w:sz w:val="22"/>
          <w:szCs w:val="22"/>
        </w:rPr>
        <w:t>(44)</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70740F">
        <w:rPr>
          <w:rFonts w:ascii="Arial" w:hAnsi="Arial" w:cs="Arial"/>
          <w:sz w:val="22"/>
          <w:szCs w:val="22"/>
        </w:rPr>
        <w:fldChar w:fldCharType="separate"/>
      </w:r>
      <w:r w:rsidR="00C42E13" w:rsidRPr="00C42E13">
        <w:rPr>
          <w:rFonts w:ascii="Arial" w:hAnsi="Arial" w:cs="Arial"/>
          <w:noProof/>
          <w:sz w:val="22"/>
          <w:szCs w:val="22"/>
        </w:rPr>
        <w:t>(33)</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w:t>
      </w:r>
      <w:r w:rsidRPr="002E4EFB">
        <w:rPr>
          <w:rFonts w:ascii="Arial" w:hAnsi="Arial" w:cs="Arial"/>
          <w:bCs/>
          <w:color w:val="000000"/>
          <w:sz w:val="22"/>
          <w:szCs w:val="22"/>
        </w:rPr>
        <w:lastRenderedPageBreak/>
        <w:t xml:space="preserve">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lastRenderedPageBreak/>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2A7B2D66" w14:textId="796EAD16" w:rsidR="009E37AE" w:rsidRPr="009E37AE" w:rsidRDefault="002E4EFB" w:rsidP="009E37AE">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9E37AE" w:rsidRPr="009E37AE">
        <w:rPr>
          <w:rFonts w:ascii="Arial" w:hAnsi="Arial" w:cs="Arial"/>
          <w:noProof/>
          <w:sz w:val="22"/>
        </w:rPr>
        <w:t xml:space="preserve">1. </w:t>
      </w:r>
      <w:r w:rsidR="009E37AE" w:rsidRPr="009E37AE">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52896C3C"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 </w:t>
      </w:r>
      <w:r w:rsidRPr="009E37AE">
        <w:rPr>
          <w:rFonts w:ascii="Arial" w:hAnsi="Arial" w:cs="Arial"/>
          <w:noProof/>
          <w:sz w:val="22"/>
        </w:rPr>
        <w:tab/>
        <w:t xml:space="preserve">Koneru R, Hotte SJ. Role of cytokine therapy for renal cell carcinoma in the era of targeted agents. Curr Oncol. Multimed Inc.; 2009;16:S40. </w:t>
      </w:r>
    </w:p>
    <w:p w14:paraId="7D0A0CE4"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 </w:t>
      </w:r>
      <w:r w:rsidRPr="009E37AE">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059D7188"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4. </w:t>
      </w:r>
      <w:r w:rsidRPr="009E37AE">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041914B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5. </w:t>
      </w:r>
      <w:r w:rsidRPr="009E37AE">
        <w:rPr>
          <w:rFonts w:ascii="Arial" w:hAnsi="Arial" w:cs="Arial"/>
          <w:noProof/>
          <w:sz w:val="22"/>
        </w:rPr>
        <w:tab/>
        <w:t xml:space="preserve">Sharma P, Allison JP. Immune checkpoint targeting in cancer therapy: Toward </w:t>
      </w:r>
      <w:r w:rsidRPr="009E37AE">
        <w:rPr>
          <w:rFonts w:ascii="Arial" w:hAnsi="Arial" w:cs="Arial"/>
          <w:noProof/>
          <w:sz w:val="22"/>
        </w:rPr>
        <w:lastRenderedPageBreak/>
        <w:t xml:space="preserve">combination strategies with curative potential. Cell. 2015. </w:t>
      </w:r>
    </w:p>
    <w:p w14:paraId="513BC389"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6. </w:t>
      </w:r>
      <w:r w:rsidRPr="009E37AE">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7CC9348F"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7. </w:t>
      </w:r>
      <w:r w:rsidRPr="009E37AE">
        <w:rPr>
          <w:rFonts w:ascii="Arial" w:hAnsi="Arial" w:cs="Arial"/>
          <w:noProof/>
          <w:sz w:val="22"/>
        </w:rPr>
        <w:tab/>
        <w:t xml:space="preserve">Tumeh PC, Harview CL, Yearley JH, Shintaku IP, Taylor EJM, Robert L, et al. PD-1 blockade induces responses by inhibiting adaptive immune resistance. Nature. 2014; </w:t>
      </w:r>
    </w:p>
    <w:p w14:paraId="4DF25154"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8. </w:t>
      </w:r>
      <w:r w:rsidRPr="009E37AE">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6426D54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9. </w:t>
      </w:r>
      <w:r w:rsidRPr="009E37AE">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40D04BB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10. </w:t>
      </w:r>
      <w:r w:rsidRPr="009E37AE">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11F4DC22"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11. </w:t>
      </w:r>
      <w:r w:rsidRPr="009E37AE">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79ADD07A"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12. </w:t>
      </w:r>
      <w:r w:rsidRPr="009E37AE">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1C23C724"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13. </w:t>
      </w:r>
      <w:r w:rsidRPr="009E37AE">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239B7C6F"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14. </w:t>
      </w:r>
      <w:r w:rsidRPr="009E37AE">
        <w:rPr>
          <w:rFonts w:ascii="Arial" w:hAnsi="Arial" w:cs="Arial"/>
          <w:noProof/>
          <w:sz w:val="22"/>
        </w:rPr>
        <w:tab/>
        <w:t xml:space="preserve">Braun DA, Hou Y, Bakouny Z, Ficial M, Sant’ Angelo M, Forman J, et al. Interplay of somatic alterations and immune infiltration modulates response to PD-1 blockade in </w:t>
      </w:r>
      <w:r w:rsidRPr="009E37AE">
        <w:rPr>
          <w:rFonts w:ascii="Arial" w:hAnsi="Arial" w:cs="Arial"/>
          <w:noProof/>
          <w:sz w:val="22"/>
        </w:rPr>
        <w:lastRenderedPageBreak/>
        <w:t xml:space="preserve">advanced clear cell renal cell carcinoma. Nat Med. 2020; </w:t>
      </w:r>
    </w:p>
    <w:p w14:paraId="1F01655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15. </w:t>
      </w:r>
      <w:r w:rsidRPr="009E37AE">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1398E112"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16. </w:t>
      </w:r>
      <w:r w:rsidRPr="009E37AE">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6AFF20B1"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17. </w:t>
      </w:r>
      <w:r w:rsidRPr="009E37AE">
        <w:rPr>
          <w:rFonts w:ascii="Arial" w:hAnsi="Arial" w:cs="Arial"/>
          <w:noProof/>
          <w:sz w:val="22"/>
        </w:rPr>
        <w:tab/>
        <w:t xml:space="preserve">Chevrier S, Levine JH, Zanotelli VRT, Silina K, Schulz D, Bacac M, et al. An Immune Atlas of Clear Cell Renal Cell Carcinoma. Cell. 2017; </w:t>
      </w:r>
    </w:p>
    <w:p w14:paraId="58960622"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18. </w:t>
      </w:r>
      <w:r w:rsidRPr="009E37AE">
        <w:rPr>
          <w:rFonts w:ascii="Arial" w:hAnsi="Arial" w:cs="Arial"/>
          <w:noProof/>
          <w:sz w:val="22"/>
        </w:rPr>
        <w:tab/>
        <w:t xml:space="preserve">Creighton CJ, Morgan M, Gunaratne PH, Wheeler DA, Gibbs RA, Robertson G, et al. Comprehensivemolecular characterization of clear cell renal cell carcinoma. Nature. 2013; </w:t>
      </w:r>
    </w:p>
    <w:p w14:paraId="0E762C7B"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19. </w:t>
      </w:r>
      <w:r w:rsidRPr="009E37AE">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6695344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20. </w:t>
      </w:r>
      <w:r w:rsidRPr="009E37AE">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0502D66B"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21. </w:t>
      </w:r>
      <w:r w:rsidRPr="009E37AE">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58E885CF"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22. </w:t>
      </w:r>
      <w:r w:rsidRPr="009E37AE">
        <w:rPr>
          <w:rFonts w:ascii="Arial" w:hAnsi="Arial" w:cs="Arial"/>
          <w:noProof/>
          <w:sz w:val="22"/>
        </w:rPr>
        <w:tab/>
        <w:t xml:space="preserve">Geissler K, Fornara P, Lautenschläger C, Holzhausen HJ, Seliger B, Riemann D. Immune signature of tumor infiltrating immune cells in renal cancer. Oncoimmunology. 2015; </w:t>
      </w:r>
    </w:p>
    <w:p w14:paraId="6B624637"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23. </w:t>
      </w:r>
      <w:r w:rsidRPr="009E37AE">
        <w:rPr>
          <w:rFonts w:ascii="Arial" w:hAnsi="Arial" w:cs="Arial"/>
          <w:noProof/>
          <w:sz w:val="22"/>
        </w:rPr>
        <w:tab/>
        <w:t xml:space="preserve">Chung W, Eum HH, Lee HO, Lee KM, Lee HB, Kim KT, et al. Single-cell RNA-seq </w:t>
      </w:r>
      <w:r w:rsidRPr="009E37AE">
        <w:rPr>
          <w:rFonts w:ascii="Arial" w:hAnsi="Arial" w:cs="Arial"/>
          <w:noProof/>
          <w:sz w:val="22"/>
        </w:rPr>
        <w:lastRenderedPageBreak/>
        <w:t xml:space="preserve">enables comprehensive tumour and immune cell profiling in primary breast cancer. Nat Commun. 2017; </w:t>
      </w:r>
    </w:p>
    <w:p w14:paraId="342C9B06"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24. </w:t>
      </w:r>
      <w:r w:rsidRPr="009E37AE">
        <w:rPr>
          <w:rFonts w:ascii="Arial" w:hAnsi="Arial" w:cs="Arial"/>
          <w:noProof/>
          <w:sz w:val="22"/>
        </w:rPr>
        <w:tab/>
        <w:t xml:space="preserve">Azizi E, Carr AJ, Plitas G, Cornish AE, Konopacki C, Prabhakaran S, et al. Single-Cell Map of Diverse Immune Phenotypes in the Breast Tumor Microenvironment. Cell. 2018; </w:t>
      </w:r>
    </w:p>
    <w:p w14:paraId="2E44168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25. </w:t>
      </w:r>
      <w:r w:rsidRPr="009E37AE">
        <w:rPr>
          <w:rFonts w:ascii="Arial" w:hAnsi="Arial" w:cs="Arial"/>
          <w:noProof/>
          <w:sz w:val="22"/>
        </w:rPr>
        <w:tab/>
        <w:t xml:space="preserve">Guo X, Zhang Y, Zheng L, Zheng C, Song J, Zhang Q, et al. Global characterization of T cells in non-small-cell lung cancer by single-cell sequencing. Nat Med. 2018; </w:t>
      </w:r>
    </w:p>
    <w:p w14:paraId="0520778F"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26. </w:t>
      </w:r>
      <w:r w:rsidRPr="009E37AE">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499765DE"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27. </w:t>
      </w:r>
      <w:r w:rsidRPr="009E37AE">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502BC2F9"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28. </w:t>
      </w:r>
      <w:r w:rsidRPr="009E37AE">
        <w:rPr>
          <w:rFonts w:ascii="Arial" w:hAnsi="Arial" w:cs="Arial"/>
          <w:noProof/>
          <w:sz w:val="22"/>
        </w:rPr>
        <w:tab/>
        <w:t xml:space="preserve">Zheng C, Zheng L, Yoo JK, Guo H, Zhang Y, Guo X, et al. Landscape of Infiltrating T Cells in Liver Cancer Revealed by Single-Cell Sequencing. Cell. 2017; </w:t>
      </w:r>
    </w:p>
    <w:p w14:paraId="39E3B5AE"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29. </w:t>
      </w:r>
      <w:r w:rsidRPr="009E37AE">
        <w:rPr>
          <w:rFonts w:ascii="Arial" w:hAnsi="Arial" w:cs="Arial"/>
          <w:noProof/>
          <w:sz w:val="22"/>
        </w:rPr>
        <w:tab/>
        <w:t xml:space="preserve">Dunham I, Kundaje A, Aldred SF, Collins PJ, Davis CA, Doyle F, et al. An integrated encyclopedia of DNA elements in the human genome. Nature. 2012; </w:t>
      </w:r>
    </w:p>
    <w:p w14:paraId="6FBDAB46"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30. </w:t>
      </w:r>
      <w:r w:rsidRPr="009E37AE">
        <w:rPr>
          <w:rFonts w:ascii="Arial" w:hAnsi="Arial" w:cs="Arial"/>
          <w:noProof/>
          <w:sz w:val="22"/>
        </w:rPr>
        <w:tab/>
        <w:t xml:space="preserve">Apetoh L, Smyth MJ, Drake CG, Abastado JP, Apte RN, Ayyoub M, et al. Consensus nomenclature for CD8+ T cell phenotypes in cancer. Oncoimmunology. 2015; </w:t>
      </w:r>
    </w:p>
    <w:p w14:paraId="5A609F2E"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31. </w:t>
      </w:r>
      <w:r w:rsidRPr="009E37AE">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47C78033"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32. </w:t>
      </w:r>
      <w:r w:rsidRPr="009E37AE">
        <w:rPr>
          <w:rFonts w:ascii="Arial" w:hAnsi="Arial" w:cs="Arial"/>
          <w:noProof/>
          <w:sz w:val="22"/>
        </w:rPr>
        <w:tab/>
        <w:t>Luecken MD, Theis FJ. Current best practices in single</w:t>
      </w:r>
      <w:r w:rsidRPr="009E37AE">
        <w:rPr>
          <w:rFonts w:ascii="Cambria Math" w:hAnsi="Cambria Math" w:cs="Cambria Math"/>
          <w:noProof/>
          <w:sz w:val="22"/>
        </w:rPr>
        <w:t>‐</w:t>
      </w:r>
      <w:r w:rsidRPr="009E37AE">
        <w:rPr>
          <w:rFonts w:ascii="Arial" w:hAnsi="Arial" w:cs="Arial"/>
          <w:noProof/>
          <w:sz w:val="22"/>
        </w:rPr>
        <w:t>cell RNA</w:t>
      </w:r>
      <w:r w:rsidRPr="009E37AE">
        <w:rPr>
          <w:rFonts w:ascii="Cambria Math" w:hAnsi="Cambria Math" w:cs="Cambria Math"/>
          <w:noProof/>
          <w:sz w:val="22"/>
        </w:rPr>
        <w:t>‐</w:t>
      </w:r>
      <w:r w:rsidRPr="009E37AE">
        <w:rPr>
          <w:rFonts w:ascii="Arial" w:hAnsi="Arial" w:cs="Arial"/>
          <w:noProof/>
          <w:sz w:val="22"/>
        </w:rPr>
        <w:t xml:space="preserve">seq analysis: a tutorial. Mol Syst Biol. 2019; </w:t>
      </w:r>
    </w:p>
    <w:p w14:paraId="4B8E1239"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33. </w:t>
      </w:r>
      <w:r w:rsidRPr="009E37AE">
        <w:rPr>
          <w:rFonts w:ascii="Arial" w:hAnsi="Arial" w:cs="Arial"/>
          <w:noProof/>
          <w:sz w:val="22"/>
        </w:rPr>
        <w:tab/>
        <w:t xml:space="preserve">Street K, Risso D, Fletcher RB, Das D, Ngai J, Yosef N, et al. Slingshot: Cell lineage and pseudotime inference for single-cell transcriptomics. BMC Genomics. 2018; </w:t>
      </w:r>
    </w:p>
    <w:p w14:paraId="245DEB8D"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34. </w:t>
      </w:r>
      <w:r w:rsidRPr="009E37AE">
        <w:rPr>
          <w:rFonts w:ascii="Arial" w:hAnsi="Arial" w:cs="Arial"/>
          <w:noProof/>
          <w:sz w:val="22"/>
        </w:rPr>
        <w:tab/>
        <w:t xml:space="preserve">Miao D, Margolis CA, Gao W, Voss MH, Li W, Martini DJ, et al. Genomic correlates of </w:t>
      </w:r>
      <w:r w:rsidRPr="009E37AE">
        <w:rPr>
          <w:rFonts w:ascii="Arial" w:hAnsi="Arial" w:cs="Arial"/>
          <w:noProof/>
          <w:sz w:val="22"/>
        </w:rPr>
        <w:lastRenderedPageBreak/>
        <w:t xml:space="preserve">response to immune checkpoint therapies in clear cell renal cell carcinoma. Science (80- ). 2018; </w:t>
      </w:r>
    </w:p>
    <w:p w14:paraId="422247B4"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35. </w:t>
      </w:r>
      <w:r w:rsidRPr="009E37AE">
        <w:rPr>
          <w:rFonts w:ascii="Arial" w:hAnsi="Arial" w:cs="Arial"/>
          <w:noProof/>
          <w:sz w:val="22"/>
        </w:rPr>
        <w:tab/>
        <w:t xml:space="preserve">Chowell D, Morris LGT, Grigg CM, Weber JK, Samstein RM, Makarov V, et al. Patient HLA class I genotype influences cancer response to checkpoint blockade immunotherapy. Science (80- ). 2018; </w:t>
      </w:r>
    </w:p>
    <w:p w14:paraId="3825A92C"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36. </w:t>
      </w:r>
      <w:r w:rsidRPr="009E37AE">
        <w:rPr>
          <w:rFonts w:ascii="Arial" w:hAnsi="Arial" w:cs="Arial"/>
          <w:noProof/>
          <w:sz w:val="22"/>
        </w:rPr>
        <w:tab/>
        <w:t xml:space="preserve">Giraldo NA, Becht E, Vano Y, Petitprez F, Lacroix L, Validire P, et al. Tumor-infiltrating and peripheral blood T-cell immunophenotypes predict early relapse in localized clear cell renal cell carcinoma. Clin Cancer Res. 2017; </w:t>
      </w:r>
    </w:p>
    <w:p w14:paraId="17D7BC3A"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37. </w:t>
      </w:r>
      <w:r w:rsidRPr="009E37AE">
        <w:rPr>
          <w:rFonts w:ascii="Arial" w:hAnsi="Arial" w:cs="Arial"/>
          <w:noProof/>
          <w:sz w:val="22"/>
        </w:rPr>
        <w:tab/>
        <w:t xml:space="preserve">Baldan V, Griffiths R, Hawkins RE, Gilham DE. Efficient and reproducible generation of tumour-infiltrating lymphocytes for renal cell carcinoma. Br J Cancer. 2015; </w:t>
      </w:r>
    </w:p>
    <w:p w14:paraId="4A5CBC3C"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38. </w:t>
      </w:r>
      <w:r w:rsidRPr="009E37AE">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62AE285B"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39. </w:t>
      </w:r>
      <w:r w:rsidRPr="009E37AE">
        <w:rPr>
          <w:rFonts w:ascii="Arial" w:hAnsi="Arial" w:cs="Arial"/>
          <w:noProof/>
          <w:sz w:val="22"/>
        </w:rPr>
        <w:tab/>
        <w:t xml:space="preserve">Stuart T, Butler A, Hoffman P, Hafemeister C, Papalexi E, Mauck WM, et al. Comprehensive Integration of Single-Cell Data. Cell. 2019; </w:t>
      </w:r>
    </w:p>
    <w:p w14:paraId="4E4F0DBD"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40. </w:t>
      </w:r>
      <w:r w:rsidRPr="009E37AE">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49CEEDF7"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41. </w:t>
      </w:r>
      <w:r w:rsidRPr="009E37AE">
        <w:rPr>
          <w:rFonts w:ascii="Arial" w:hAnsi="Arial" w:cs="Arial"/>
          <w:noProof/>
          <w:sz w:val="22"/>
        </w:rPr>
        <w:tab/>
        <w:t xml:space="preserve">Hafemeister C, Satija R. Normalization and variance stabilization of single-cell RNA-seq data using regularized negative binomial regression. Genome Biol. 2019; </w:t>
      </w:r>
    </w:p>
    <w:p w14:paraId="228C028F"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42. </w:t>
      </w:r>
      <w:r w:rsidRPr="009E37AE">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704AFC04"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43. </w:t>
      </w:r>
      <w:r w:rsidRPr="009E37AE">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07B31E04" w14:textId="77777777" w:rsidR="009E37AE" w:rsidRPr="009E37AE" w:rsidRDefault="009E37AE" w:rsidP="009E37AE">
      <w:pPr>
        <w:widowControl w:val="0"/>
        <w:autoSpaceDE w:val="0"/>
        <w:autoSpaceDN w:val="0"/>
        <w:adjustRightInd w:val="0"/>
        <w:spacing w:line="480" w:lineRule="auto"/>
        <w:ind w:left="640" w:hanging="640"/>
        <w:rPr>
          <w:rFonts w:ascii="Arial" w:hAnsi="Arial" w:cs="Arial"/>
          <w:noProof/>
          <w:sz w:val="22"/>
        </w:rPr>
      </w:pPr>
      <w:r w:rsidRPr="009E37AE">
        <w:rPr>
          <w:rFonts w:ascii="Arial" w:hAnsi="Arial" w:cs="Arial"/>
          <w:noProof/>
          <w:sz w:val="22"/>
        </w:rPr>
        <w:t xml:space="preserve">44. </w:t>
      </w:r>
      <w:r w:rsidRPr="009E37AE">
        <w:rPr>
          <w:rFonts w:ascii="Arial" w:hAnsi="Arial" w:cs="Arial"/>
          <w:noProof/>
          <w:sz w:val="22"/>
        </w:rPr>
        <w:tab/>
        <w:t xml:space="preserve">Borcherding N, Bormann NL. scRepertoire: An R-based toolkit for single-cell immune </w:t>
      </w:r>
      <w:r w:rsidRPr="009E37AE">
        <w:rPr>
          <w:rFonts w:ascii="Arial" w:hAnsi="Arial" w:cs="Arial"/>
          <w:noProof/>
          <w:sz w:val="22"/>
        </w:rPr>
        <w:lastRenderedPageBreak/>
        <w:t xml:space="preserve">receptor analysis. F1000Research. 2020; </w:t>
      </w:r>
    </w:p>
    <w:p w14:paraId="25CAF47A" w14:textId="7D933CF7" w:rsidR="002E4EFB" w:rsidRPr="002E4EFB" w:rsidRDefault="002E4EFB" w:rsidP="009E37AE">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68A16865" w14:textId="1C3ADD18" w:rsidR="001D7F41" w:rsidRDefault="001D7F41" w:rsidP="00276C2F">
      <w:pPr>
        <w:spacing w:line="480" w:lineRule="auto"/>
        <w:rPr>
          <w:rFonts w:ascii="Arial" w:hAnsi="Arial" w:cs="Arial"/>
          <w:sz w:val="22"/>
          <w:szCs w:val="22"/>
        </w:rPr>
      </w:pPr>
    </w:p>
    <w:p w14:paraId="6BFBF397" w14:textId="017A12D1" w:rsidR="00BF0F9E" w:rsidRPr="00DD271C" w:rsidRDefault="0030339B"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6AE0026C" wp14:editId="7AB7D7C4">
            <wp:extent cx="5943600" cy="4460240"/>
            <wp:effectExtent l="0" t="0" r="0" b="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DD271C">
        <w:rPr>
          <w:rFonts w:ascii="Arial" w:hAnsi="Arial" w:cs="Arial"/>
          <w:b/>
          <w:bCs/>
          <w:sz w:val="22"/>
          <w:szCs w:val="22"/>
        </w:rPr>
        <w:t>Figure 2: CD8</w:t>
      </w:r>
      <w:r w:rsidR="00AF201D">
        <w:rPr>
          <w:rFonts w:ascii="Arial" w:hAnsi="Arial" w:cs="Arial"/>
          <w:b/>
          <w:bCs/>
          <w:sz w:val="22"/>
          <w:szCs w:val="22"/>
          <w:vertAlign w:val="superscript"/>
        </w:rPr>
        <w:t>+</w:t>
      </w:r>
      <w:r w:rsidR="00BF0F9E" w:rsidRPr="00DD271C">
        <w:rPr>
          <w:rFonts w:ascii="Arial" w:hAnsi="Arial" w:cs="Arial"/>
          <w:b/>
          <w:bCs/>
          <w:sz w:val="22"/>
          <w:szCs w:val="22"/>
        </w:rPr>
        <w:t xml:space="preserve"> T cells in ccRCC tumors exhibit a transcriptional continuum with distinct populations. A. </w:t>
      </w:r>
      <w:r w:rsidR="00BF0F9E" w:rsidRPr="00DD271C">
        <w:rPr>
          <w:rFonts w:ascii="Arial" w:hAnsi="Arial" w:cs="Arial"/>
          <w:sz w:val="22"/>
          <w:szCs w:val="22"/>
        </w:rPr>
        <w:t xml:space="preserve">UMAP </w:t>
      </w:r>
      <w:proofErr w:type="spellStart"/>
      <w:r w:rsidR="00BF0F9E" w:rsidRPr="00DD271C">
        <w:rPr>
          <w:rFonts w:ascii="Arial" w:hAnsi="Arial" w:cs="Arial"/>
          <w:sz w:val="22"/>
          <w:szCs w:val="22"/>
        </w:rPr>
        <w:t>subclustering</w:t>
      </w:r>
      <w:proofErr w:type="spellEnd"/>
      <w:r w:rsidR="00BF0F9E" w:rsidRPr="00DD271C">
        <w:rPr>
          <w:rFonts w:ascii="Arial" w:hAnsi="Arial" w:cs="Arial"/>
          <w:sz w:val="22"/>
          <w:szCs w:val="22"/>
        </w:rPr>
        <w:t xml:space="preserve"> of CD</w:t>
      </w:r>
      <w:r w:rsidR="007A2B8C" w:rsidRPr="00DD271C">
        <w:rPr>
          <w:rFonts w:ascii="Arial" w:hAnsi="Arial" w:cs="Arial"/>
          <w:sz w:val="22"/>
          <w:szCs w:val="22"/>
        </w:rPr>
        <w:t>8</w:t>
      </w:r>
      <w:r w:rsidR="00BF0F9E" w:rsidRPr="00DD271C">
        <w:rPr>
          <w:rFonts w:ascii="Arial" w:hAnsi="Arial" w:cs="Arial"/>
          <w:sz w:val="22"/>
          <w:szCs w:val="22"/>
          <w:vertAlign w:val="superscript"/>
        </w:rPr>
        <w:t>+</w:t>
      </w:r>
      <w:r w:rsidR="00BF0F9E" w:rsidRPr="00DD271C">
        <w:rPr>
          <w:rFonts w:ascii="Arial" w:hAnsi="Arial" w:cs="Arial"/>
          <w:sz w:val="22"/>
          <w:szCs w:val="22"/>
        </w:rPr>
        <w:t xml:space="preserve"> T cells (original clusters 1, 8</w:t>
      </w:r>
      <w:r w:rsidR="00DD271C">
        <w:rPr>
          <w:rFonts w:ascii="Arial" w:hAnsi="Arial" w:cs="Arial"/>
          <w:sz w:val="22"/>
          <w:szCs w:val="22"/>
        </w:rPr>
        <w:t xml:space="preserve">, </w:t>
      </w:r>
      <w:r w:rsidR="00BF0F9E" w:rsidRPr="00DD271C">
        <w:rPr>
          <w:rFonts w:ascii="Arial" w:hAnsi="Arial" w:cs="Arial"/>
          <w:sz w:val="22"/>
          <w:szCs w:val="22"/>
        </w:rPr>
        <w:t>9</w:t>
      </w:r>
      <w:r w:rsidR="00DD271C">
        <w:rPr>
          <w:rFonts w:ascii="Arial" w:hAnsi="Arial" w:cs="Arial"/>
          <w:sz w:val="22"/>
          <w:szCs w:val="22"/>
        </w:rPr>
        <w:t>, and 17</w:t>
      </w:r>
      <w:r w:rsidR="00BF0F9E" w:rsidRPr="00DD271C">
        <w:rPr>
          <w:rFonts w:ascii="Arial" w:hAnsi="Arial" w:cs="Arial"/>
          <w:sz w:val="22"/>
          <w:szCs w:val="22"/>
        </w:rPr>
        <w:t xml:space="preserve">). </w:t>
      </w:r>
      <w:r w:rsidR="00BF0F9E" w:rsidRPr="00DD271C">
        <w:rPr>
          <w:rFonts w:ascii="Arial" w:hAnsi="Arial" w:cs="Arial"/>
          <w:b/>
          <w:bCs/>
          <w:sz w:val="22"/>
          <w:szCs w:val="22"/>
        </w:rPr>
        <w:t>B</w:t>
      </w:r>
      <w:r w:rsidR="00BF0F9E" w:rsidRPr="00DD271C">
        <w:rPr>
          <w:rFonts w:ascii="Arial" w:hAnsi="Arial" w:cs="Arial"/>
          <w:sz w:val="22"/>
          <w:szCs w:val="22"/>
        </w:rPr>
        <w:t xml:space="preserve">. UMAP distribution of single cells by tissue type with relative percent of cells by tissue in each cluster. </w:t>
      </w:r>
      <w:r w:rsidR="00BF0F9E" w:rsidRPr="00DD271C">
        <w:rPr>
          <w:rFonts w:ascii="Arial" w:hAnsi="Arial" w:cs="Arial"/>
          <w:b/>
          <w:bCs/>
          <w:sz w:val="22"/>
          <w:szCs w:val="22"/>
        </w:rPr>
        <w:t>C</w:t>
      </w:r>
      <w:r w:rsidR="00BF0F9E" w:rsidRPr="00DD271C">
        <w:rPr>
          <w:rFonts w:ascii="Arial" w:hAnsi="Arial" w:cs="Arial"/>
          <w:sz w:val="22"/>
          <w:szCs w:val="22"/>
        </w:rPr>
        <w:t>. Cell cycle regression assignments for CD8</w:t>
      </w:r>
      <w:r w:rsidR="00BF0F9E" w:rsidRPr="001D7F41">
        <w:rPr>
          <w:rFonts w:ascii="Arial" w:hAnsi="Arial" w:cs="Arial"/>
          <w:sz w:val="22"/>
          <w:szCs w:val="22"/>
          <w:vertAlign w:val="superscript"/>
        </w:rPr>
        <w:t>+</w:t>
      </w:r>
      <w:r w:rsidR="00BF0F9E" w:rsidRPr="00DD271C">
        <w:rPr>
          <w:rFonts w:ascii="Arial" w:hAnsi="Arial" w:cs="Arial"/>
          <w:sz w:val="22"/>
          <w:szCs w:val="22"/>
        </w:rPr>
        <w:t xml:space="preserve"> T cells by cluster assignment. </w:t>
      </w:r>
      <w:r w:rsidR="00BF0F9E" w:rsidRPr="00DD271C">
        <w:rPr>
          <w:rFonts w:ascii="Arial" w:hAnsi="Arial" w:cs="Arial"/>
          <w:b/>
          <w:bCs/>
          <w:sz w:val="22"/>
          <w:szCs w:val="22"/>
        </w:rPr>
        <w:t>D</w:t>
      </w:r>
      <w:r w:rsidR="00BF0F9E"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1D7F41" w:rsidRPr="00DD271C">
        <w:rPr>
          <w:rFonts w:ascii="Arial" w:hAnsi="Arial" w:cs="Arial"/>
          <w:sz w:val="22"/>
          <w:szCs w:val="22"/>
        </w:rPr>
        <w:fldChar w:fldCharType="separate"/>
      </w:r>
      <w:r w:rsidR="00C42E13" w:rsidRPr="00C42E13">
        <w:rPr>
          <w:rFonts w:ascii="Arial" w:hAnsi="Arial" w:cs="Arial"/>
          <w:noProof/>
          <w:sz w:val="22"/>
          <w:szCs w:val="22"/>
        </w:rPr>
        <w:t>(33)</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00BF0F9E" w:rsidRPr="00DD271C">
        <w:rPr>
          <w:rFonts w:ascii="Arial" w:hAnsi="Arial" w:cs="Arial"/>
          <w:sz w:val="22"/>
          <w:szCs w:val="22"/>
        </w:rPr>
        <w:t xml:space="preserve"> </w:t>
      </w:r>
      <w:r w:rsidRPr="0030339B">
        <w:rPr>
          <w:rFonts w:ascii="Arial" w:hAnsi="Arial" w:cs="Arial"/>
          <w:b/>
          <w:bCs/>
          <w:sz w:val="22"/>
          <w:szCs w:val="22"/>
        </w:rPr>
        <w:t>F</w:t>
      </w:r>
      <w:r>
        <w:rPr>
          <w:rFonts w:ascii="Arial" w:hAnsi="Arial" w:cs="Arial"/>
          <w:sz w:val="22"/>
          <w:szCs w:val="22"/>
        </w:rPr>
        <w:t xml:space="preserve">. Clonotype overlap coefficients between </w:t>
      </w:r>
      <w:proofErr w:type="spellStart"/>
      <w:r>
        <w:rPr>
          <w:rFonts w:ascii="Arial" w:hAnsi="Arial" w:cs="Arial"/>
          <w:sz w:val="22"/>
          <w:szCs w:val="22"/>
        </w:rPr>
        <w:t>subclusters</w:t>
      </w:r>
      <w:proofErr w:type="spellEnd"/>
      <w:r>
        <w:rPr>
          <w:rFonts w:ascii="Arial" w:hAnsi="Arial" w:cs="Arial"/>
          <w:sz w:val="22"/>
          <w:szCs w:val="22"/>
        </w:rPr>
        <w:t xml:space="preserve">. </w:t>
      </w:r>
      <w:r>
        <w:rPr>
          <w:rFonts w:ascii="Arial" w:hAnsi="Arial" w:cs="Arial"/>
          <w:b/>
          <w:bCs/>
          <w:sz w:val="22"/>
          <w:szCs w:val="22"/>
        </w:rPr>
        <w:t>G</w:t>
      </w:r>
      <w:r w:rsidR="00BF0F9E"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00BF0F9E"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00BF0F9E" w:rsidRPr="00DD271C">
        <w:rPr>
          <w:rFonts w:ascii="Arial" w:hAnsi="Arial" w:cs="Arial"/>
          <w:sz w:val="22"/>
          <w:szCs w:val="22"/>
        </w:rPr>
        <w:t xml:space="preserve"> </w:t>
      </w:r>
      <w:r>
        <w:rPr>
          <w:rFonts w:ascii="Arial" w:hAnsi="Arial" w:cs="Arial"/>
          <w:b/>
          <w:bCs/>
          <w:sz w:val="22"/>
          <w:szCs w:val="22"/>
        </w:rPr>
        <w:t>H</w:t>
      </w:r>
      <w:r w:rsidR="00BF0F9E"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C3B3DD2" w:rsidR="00BF0F9E" w:rsidRDefault="00BF0F9E" w:rsidP="00276C2F">
      <w:pPr>
        <w:spacing w:line="480" w:lineRule="auto"/>
        <w:rPr>
          <w:rFonts w:ascii="Arial" w:hAnsi="Arial" w:cs="Arial"/>
          <w:sz w:val="22"/>
          <w:szCs w:val="22"/>
        </w:rPr>
      </w:pPr>
    </w:p>
    <w:p w14:paraId="57BF69BE" w14:textId="0AE7BAA3" w:rsidR="000A224A" w:rsidRDefault="000A224A" w:rsidP="00276C2F">
      <w:pPr>
        <w:spacing w:line="480" w:lineRule="auto"/>
        <w:rPr>
          <w:rFonts w:ascii="Arial" w:hAnsi="Arial" w:cs="Arial"/>
          <w:sz w:val="22"/>
          <w:szCs w:val="22"/>
        </w:rPr>
      </w:pPr>
      <w:r>
        <w:rPr>
          <w:rFonts w:ascii="Arial" w:hAnsi="Arial" w:cs="Arial"/>
          <w:noProof/>
          <w:sz w:val="22"/>
          <w:szCs w:val="22"/>
        </w:rPr>
        <w:drawing>
          <wp:inline distT="0" distB="0" distL="0" distR="0" wp14:anchorId="76EFBFF3" wp14:editId="7505BA67">
            <wp:extent cx="5943600" cy="3972560"/>
            <wp:effectExtent l="0" t="0" r="0" b="2540"/>
            <wp:docPr id="4" name="Picture 4" descr="A picture containing indoor, sitting,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344E0345" w:rsidR="000A224A"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002D4FB3">
        <w:rPr>
          <w:rFonts w:ascii="Arial" w:hAnsi="Arial" w:cs="Arial"/>
          <w:b/>
          <w:bCs/>
          <w:sz w:val="22"/>
          <w:szCs w:val="22"/>
        </w:rPr>
        <w:t>C</w:t>
      </w:r>
      <w:r>
        <w:rPr>
          <w:rFonts w:ascii="Arial" w:hAnsi="Arial" w:cs="Arial"/>
          <w:sz w:val="22"/>
          <w:szCs w:val="22"/>
        </w:rPr>
        <w:t xml:space="preserve">. Percent of cells expressing selected markers for </w:t>
      </w:r>
      <w:r w:rsidR="000A224A">
        <w:rPr>
          <w:rFonts w:ascii="Arial" w:hAnsi="Arial" w:cs="Arial"/>
          <w:sz w:val="22"/>
          <w:szCs w:val="22"/>
        </w:rPr>
        <w:t>myeloid and macrophage markers</w:t>
      </w:r>
      <w:r>
        <w:rPr>
          <w:rFonts w:ascii="Arial" w:hAnsi="Arial" w:cs="Arial"/>
          <w:sz w:val="22"/>
          <w:szCs w:val="22"/>
        </w:rPr>
        <w:t>.</w:t>
      </w:r>
      <w:r w:rsidR="002D4FB3" w:rsidRPr="002D4FB3">
        <w:rPr>
          <w:rFonts w:ascii="Arial" w:hAnsi="Arial" w:cs="Arial"/>
          <w:b/>
          <w:bCs/>
          <w:sz w:val="22"/>
          <w:szCs w:val="22"/>
        </w:rPr>
        <w:t xml:space="preserve"> </w:t>
      </w:r>
      <w:r w:rsidR="002D4FB3">
        <w:rPr>
          <w:rFonts w:ascii="Arial" w:hAnsi="Arial" w:cs="Arial"/>
          <w:b/>
          <w:bCs/>
          <w:sz w:val="22"/>
          <w:szCs w:val="22"/>
        </w:rPr>
        <w:t>D</w:t>
      </w:r>
      <w:r w:rsidR="002D4FB3">
        <w:rPr>
          <w:rFonts w:ascii="Arial" w:hAnsi="Arial" w:cs="Arial"/>
          <w:sz w:val="22"/>
          <w:szCs w:val="22"/>
        </w:rPr>
        <w:t xml:space="preserve">. </w:t>
      </w:r>
      <w:r w:rsidR="000A224A">
        <w:rPr>
          <w:rFonts w:ascii="Arial" w:hAnsi="Arial" w:cs="Arial"/>
          <w:sz w:val="22"/>
          <w:szCs w:val="22"/>
        </w:rPr>
        <w:t xml:space="preserve">Proportion of assigned cell types compared to total antigen presenting cells by tissue type. </w:t>
      </w:r>
      <w:r w:rsidR="000A224A" w:rsidRPr="000A224A">
        <w:rPr>
          <w:rFonts w:ascii="Arial" w:hAnsi="Arial" w:cs="Arial"/>
          <w:b/>
          <w:bCs/>
          <w:sz w:val="22"/>
          <w:szCs w:val="22"/>
        </w:rPr>
        <w:t>E</w:t>
      </w:r>
      <w:r w:rsidR="000A224A">
        <w:rPr>
          <w:rFonts w:ascii="Arial" w:hAnsi="Arial" w:cs="Arial"/>
          <w:sz w:val="22"/>
          <w:szCs w:val="22"/>
        </w:rPr>
        <w:t xml:space="preserve">. Macrophage </w:t>
      </w:r>
      <w:proofErr w:type="spellStart"/>
      <w:r w:rsidR="000A224A">
        <w:rPr>
          <w:rFonts w:ascii="Arial" w:hAnsi="Arial" w:cs="Arial"/>
          <w:sz w:val="22"/>
          <w:szCs w:val="22"/>
        </w:rPr>
        <w:t>subclusters</w:t>
      </w:r>
      <w:proofErr w:type="spellEnd"/>
      <w:r w:rsidR="000A224A">
        <w:rPr>
          <w:rFonts w:ascii="Arial" w:hAnsi="Arial" w:cs="Arial"/>
          <w:sz w:val="22"/>
          <w:szCs w:val="22"/>
        </w:rPr>
        <w:t>: TAM_1 (</w:t>
      </w:r>
      <w:r w:rsidR="000A224A" w:rsidRPr="000A224A">
        <w:rPr>
          <w:rFonts w:ascii="Arial" w:hAnsi="Arial" w:cs="Arial"/>
          <w:sz w:val="22"/>
          <w:szCs w:val="22"/>
          <w:highlight w:val="yellow"/>
        </w:rPr>
        <w:t>n=</w:t>
      </w:r>
      <w:r w:rsidR="000A224A">
        <w:rPr>
          <w:rFonts w:ascii="Arial" w:hAnsi="Arial" w:cs="Arial"/>
          <w:sz w:val="22"/>
          <w:szCs w:val="22"/>
        </w:rPr>
        <w:t>), TAM_2 (</w:t>
      </w:r>
      <w:r w:rsidR="000A224A" w:rsidRPr="000A224A">
        <w:rPr>
          <w:rFonts w:ascii="Arial" w:hAnsi="Arial" w:cs="Arial"/>
          <w:sz w:val="22"/>
          <w:szCs w:val="22"/>
          <w:highlight w:val="yellow"/>
        </w:rPr>
        <w:t>n=</w:t>
      </w:r>
      <w:r w:rsidR="000A224A">
        <w:rPr>
          <w:rFonts w:ascii="Arial" w:hAnsi="Arial" w:cs="Arial"/>
          <w:sz w:val="22"/>
          <w:szCs w:val="22"/>
        </w:rPr>
        <w:t>), TAM_3 (</w:t>
      </w:r>
      <w:r w:rsidR="000A224A" w:rsidRPr="000A224A">
        <w:rPr>
          <w:rFonts w:ascii="Arial" w:hAnsi="Arial" w:cs="Arial"/>
          <w:sz w:val="22"/>
          <w:szCs w:val="22"/>
          <w:highlight w:val="yellow"/>
        </w:rPr>
        <w:t>n=</w:t>
      </w:r>
      <w:r w:rsidR="000A224A">
        <w:rPr>
          <w:rFonts w:ascii="Arial" w:hAnsi="Arial" w:cs="Arial"/>
          <w:sz w:val="22"/>
          <w:szCs w:val="22"/>
        </w:rPr>
        <w:t xml:space="preserve">), </w:t>
      </w:r>
      <w:proofErr w:type="spellStart"/>
      <w:r w:rsidR="000A224A">
        <w:rPr>
          <w:rFonts w:ascii="Arial" w:hAnsi="Arial" w:cs="Arial"/>
          <w:sz w:val="22"/>
          <w:szCs w:val="22"/>
        </w:rPr>
        <w:t>pM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 xml:space="preserve">), and </w:t>
      </w:r>
      <w:proofErr w:type="spellStart"/>
      <w:r w:rsidR="000A224A">
        <w:rPr>
          <w:rFonts w:ascii="Arial" w:hAnsi="Arial" w:cs="Arial"/>
          <w:sz w:val="22"/>
          <w:szCs w:val="22"/>
        </w:rPr>
        <w:t>rM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 xml:space="preserve">) with relative percent of cells by tissue in each cluster. F. Differential expression markers for macrophage </w:t>
      </w:r>
      <w:proofErr w:type="spellStart"/>
      <w:r w:rsidR="000A224A">
        <w:rPr>
          <w:rFonts w:ascii="Arial" w:hAnsi="Arial" w:cs="Arial"/>
          <w:sz w:val="22"/>
          <w:szCs w:val="22"/>
        </w:rPr>
        <w:t>subclusters</w:t>
      </w:r>
      <w:proofErr w:type="spellEnd"/>
      <w:r w:rsidR="000A224A">
        <w:rPr>
          <w:rFonts w:ascii="Arial" w:hAnsi="Arial" w:cs="Arial"/>
          <w:sz w:val="22"/>
          <w:szCs w:val="22"/>
        </w:rPr>
        <w:t xml:space="preserve">. </w:t>
      </w:r>
      <w:r w:rsidR="000A224A" w:rsidRPr="000A224A">
        <w:rPr>
          <w:rFonts w:ascii="Arial" w:hAnsi="Arial" w:cs="Arial"/>
          <w:b/>
          <w:bCs/>
          <w:sz w:val="22"/>
          <w:szCs w:val="22"/>
        </w:rPr>
        <w:t>G</w:t>
      </w:r>
      <w:r w:rsidR="000A224A">
        <w:rPr>
          <w:rFonts w:ascii="Arial" w:hAnsi="Arial" w:cs="Arial"/>
          <w:sz w:val="22"/>
          <w:szCs w:val="22"/>
        </w:rPr>
        <w:t>. Macrophage</w:t>
      </w:r>
      <w:r w:rsidR="000A224A" w:rsidRPr="00DD271C">
        <w:rPr>
          <w:rFonts w:ascii="Arial" w:hAnsi="Arial" w:cs="Arial"/>
          <w:sz w:val="22"/>
          <w:szCs w:val="22"/>
        </w:rPr>
        <w:t xml:space="preserve"> UMAP overlaid with slingshot-based </w:t>
      </w:r>
      <w:r w:rsidR="000A224A"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0A224A" w:rsidRPr="00DD271C">
        <w:rPr>
          <w:rFonts w:ascii="Arial" w:hAnsi="Arial" w:cs="Arial"/>
          <w:sz w:val="22"/>
          <w:szCs w:val="22"/>
        </w:rPr>
        <w:fldChar w:fldCharType="separate"/>
      </w:r>
      <w:r w:rsidR="00C42E13" w:rsidRPr="00C42E13">
        <w:rPr>
          <w:rFonts w:ascii="Arial" w:hAnsi="Arial" w:cs="Arial"/>
          <w:noProof/>
          <w:sz w:val="22"/>
          <w:szCs w:val="22"/>
        </w:rPr>
        <w:t>(33)</w:t>
      </w:r>
      <w:r w:rsidR="000A224A" w:rsidRPr="00DD271C">
        <w:rPr>
          <w:rFonts w:ascii="Arial" w:hAnsi="Arial" w:cs="Arial"/>
          <w:sz w:val="22"/>
          <w:szCs w:val="22"/>
        </w:rPr>
        <w:fldChar w:fldCharType="end"/>
      </w:r>
      <w:r w:rsidR="000A224A" w:rsidRPr="00DD271C">
        <w:rPr>
          <w:rFonts w:ascii="Arial" w:hAnsi="Arial" w:cs="Arial"/>
          <w:sz w:val="22"/>
          <w:szCs w:val="22"/>
        </w:rPr>
        <w:t xml:space="preserve"> cell trajector</w:t>
      </w:r>
      <w:r w:rsidR="000A224A">
        <w:rPr>
          <w:rFonts w:ascii="Arial" w:hAnsi="Arial" w:cs="Arial"/>
          <w:sz w:val="22"/>
          <w:szCs w:val="22"/>
        </w:rPr>
        <w:t>ies</w:t>
      </w:r>
      <w:r w:rsidR="000A224A" w:rsidRPr="00DD271C">
        <w:rPr>
          <w:rFonts w:ascii="Arial" w:hAnsi="Arial" w:cs="Arial"/>
          <w:sz w:val="22"/>
          <w:szCs w:val="22"/>
        </w:rPr>
        <w:t xml:space="preserve"> </w:t>
      </w:r>
      <w:r w:rsidR="000A224A">
        <w:rPr>
          <w:rFonts w:ascii="Arial" w:hAnsi="Arial" w:cs="Arial"/>
          <w:sz w:val="22"/>
          <w:szCs w:val="22"/>
        </w:rPr>
        <w:t xml:space="preserve">starting at </w:t>
      </w:r>
      <w:proofErr w:type="spellStart"/>
      <w:r w:rsidR="000A224A">
        <w:rPr>
          <w:rFonts w:ascii="Arial" w:hAnsi="Arial" w:cs="Arial"/>
          <w:sz w:val="22"/>
          <w:szCs w:val="22"/>
        </w:rPr>
        <w:t>rM</w:t>
      </w:r>
      <w:proofErr w:type="spellEnd"/>
      <w:r w:rsidR="000A224A">
        <w:rPr>
          <w:rFonts w:ascii="Arial" w:hAnsi="Arial" w:cs="Arial"/>
          <w:sz w:val="22"/>
          <w:szCs w:val="22"/>
        </w:rPr>
        <w:t xml:space="preserve"> and TAM_2</w:t>
      </w:r>
      <w:r w:rsidR="000A224A" w:rsidRPr="00DD271C">
        <w:rPr>
          <w:rFonts w:ascii="Arial" w:hAnsi="Arial" w:cs="Arial"/>
          <w:sz w:val="22"/>
          <w:szCs w:val="22"/>
        </w:rPr>
        <w:t xml:space="preserve"> </w:t>
      </w:r>
      <w:r w:rsidR="000A224A">
        <w:rPr>
          <w:rFonts w:ascii="Arial" w:hAnsi="Arial" w:cs="Arial"/>
          <w:sz w:val="22"/>
          <w:szCs w:val="22"/>
        </w:rPr>
        <w:t xml:space="preserve">and proceeding into </w:t>
      </w:r>
      <w:proofErr w:type="spellStart"/>
      <w:r w:rsidR="000A224A">
        <w:rPr>
          <w:rFonts w:ascii="Arial" w:hAnsi="Arial" w:cs="Arial"/>
          <w:sz w:val="22"/>
          <w:szCs w:val="22"/>
        </w:rPr>
        <w:t>pM</w:t>
      </w:r>
      <w:proofErr w:type="spellEnd"/>
      <w:r w:rsidR="000A224A">
        <w:rPr>
          <w:rFonts w:ascii="Arial" w:hAnsi="Arial" w:cs="Arial"/>
          <w:sz w:val="22"/>
          <w:szCs w:val="22"/>
        </w:rPr>
        <w:t xml:space="preserve">. Smaller UMAP shows pseudotime created by the cell trajectories. </w:t>
      </w:r>
      <w:r w:rsidR="000A224A" w:rsidRPr="000A224A">
        <w:rPr>
          <w:rFonts w:ascii="Arial" w:hAnsi="Arial" w:cs="Arial"/>
          <w:b/>
          <w:bCs/>
          <w:sz w:val="22"/>
          <w:szCs w:val="22"/>
        </w:rPr>
        <w:t>H</w:t>
      </w:r>
      <w:r w:rsidR="000A224A">
        <w:rPr>
          <w:rFonts w:ascii="Arial" w:hAnsi="Arial" w:cs="Arial"/>
          <w:sz w:val="22"/>
          <w:szCs w:val="22"/>
        </w:rPr>
        <w:t xml:space="preserve">. </w:t>
      </w:r>
      <w:r w:rsidR="000A224A" w:rsidRPr="00DD271C">
        <w:rPr>
          <w:rFonts w:ascii="Arial" w:hAnsi="Arial" w:cs="Arial"/>
          <w:sz w:val="22"/>
          <w:szCs w:val="22"/>
        </w:rPr>
        <w:t xml:space="preserve">Z-transformed normalized enrichment scores from ssGSEA  for selected gene sets by </w:t>
      </w:r>
      <w:proofErr w:type="spellStart"/>
      <w:r w:rsidR="000A224A" w:rsidRPr="00DD271C">
        <w:rPr>
          <w:rFonts w:ascii="Arial" w:hAnsi="Arial" w:cs="Arial"/>
          <w:sz w:val="22"/>
          <w:szCs w:val="22"/>
        </w:rPr>
        <w:t>subcluster</w:t>
      </w:r>
      <w:proofErr w:type="spellEnd"/>
      <w:r w:rsidR="000A224A" w:rsidRPr="00DD271C">
        <w:rPr>
          <w:rFonts w:ascii="Arial" w:hAnsi="Arial" w:cs="Arial"/>
          <w:sz w:val="22"/>
          <w:szCs w:val="22"/>
        </w:rPr>
        <w:t>.</w:t>
      </w:r>
    </w:p>
    <w:p w14:paraId="51F316DE" w14:textId="77777777" w:rsidR="000A224A" w:rsidRDefault="000A224A" w:rsidP="00276C2F">
      <w:pPr>
        <w:spacing w:line="480" w:lineRule="auto"/>
        <w:rPr>
          <w:rFonts w:ascii="Arial" w:hAnsi="Arial" w:cs="Arial"/>
          <w:sz w:val="22"/>
          <w:szCs w:val="22"/>
        </w:rPr>
      </w:pPr>
    </w:p>
    <w:p w14:paraId="0DEFE7C1" w14:textId="77777777" w:rsidR="000A224A" w:rsidRDefault="000A224A" w:rsidP="00276C2F">
      <w:pPr>
        <w:spacing w:line="480" w:lineRule="auto"/>
        <w:rPr>
          <w:rFonts w:ascii="Arial" w:hAnsi="Arial" w:cs="Arial"/>
          <w:sz w:val="22"/>
          <w:szCs w:val="22"/>
        </w:rPr>
      </w:pPr>
    </w:p>
    <w:p w14:paraId="122D6D37" w14:textId="77777777" w:rsidR="000A224A" w:rsidRDefault="000A224A" w:rsidP="00276C2F">
      <w:pPr>
        <w:spacing w:line="480" w:lineRule="auto"/>
        <w:rPr>
          <w:rFonts w:ascii="Arial" w:hAnsi="Arial" w:cs="Arial"/>
          <w:sz w:val="22"/>
          <w:szCs w:val="22"/>
        </w:rPr>
      </w:pPr>
    </w:p>
    <w:p w14:paraId="6D160E61" w14:textId="34B8A5D6" w:rsidR="009E2322" w:rsidRPr="0044717B" w:rsidRDefault="002D4FB3" w:rsidP="00276C2F">
      <w:pPr>
        <w:spacing w:line="480" w:lineRule="auto"/>
        <w:rPr>
          <w:rFonts w:ascii="Arial" w:hAnsi="Arial" w:cs="Arial"/>
          <w:sz w:val="22"/>
          <w:szCs w:val="22"/>
        </w:rPr>
      </w:pPr>
      <w:r w:rsidRPr="00DD271C">
        <w:rPr>
          <w:rFonts w:ascii="Arial" w:hAnsi="Arial" w:cs="Arial"/>
          <w:sz w:val="22"/>
          <w:szCs w:val="22"/>
        </w:rPr>
        <w:t>CD</w:t>
      </w:r>
      <w:r>
        <w:rPr>
          <w:rFonts w:ascii="Arial" w:hAnsi="Arial" w:cs="Arial"/>
          <w:sz w:val="22"/>
          <w:szCs w:val="22"/>
        </w:rPr>
        <w:t>4</w:t>
      </w:r>
      <w:r w:rsidRPr="00DD271C">
        <w:rPr>
          <w:rFonts w:ascii="Arial" w:hAnsi="Arial" w:cs="Arial"/>
          <w:sz w:val="22"/>
          <w:szCs w:val="22"/>
          <w:vertAlign w:val="superscript"/>
        </w:rPr>
        <w:t>+</w:t>
      </w:r>
      <w:r w:rsidRPr="00DD271C">
        <w:rPr>
          <w:rFonts w:ascii="Arial" w:hAnsi="Arial" w:cs="Arial"/>
          <w:sz w:val="22"/>
          <w:szCs w:val="22"/>
        </w:rPr>
        <w:t xml:space="preserve"> UMAP of </w:t>
      </w:r>
      <w:proofErr w:type="spellStart"/>
      <w:r w:rsidRPr="00DD271C">
        <w:rPr>
          <w:rFonts w:ascii="Arial" w:hAnsi="Arial" w:cs="Arial"/>
          <w:sz w:val="22"/>
          <w:szCs w:val="22"/>
        </w:rPr>
        <w:t>subclusters</w:t>
      </w:r>
      <w:proofErr w:type="spellEnd"/>
      <w:r w:rsidRPr="00DD271C">
        <w:rPr>
          <w:rFonts w:ascii="Arial" w:hAnsi="Arial" w:cs="Arial"/>
          <w:sz w:val="22"/>
          <w:szCs w:val="22"/>
        </w:rPr>
        <w:t xml:space="preserve"> (upper panel) and clonotype frequency (lower panel) overlaid with slingshot-based </w:t>
      </w:r>
      <w:r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Pr="00DD271C">
        <w:rPr>
          <w:rFonts w:ascii="Arial" w:hAnsi="Arial" w:cs="Arial"/>
          <w:sz w:val="22"/>
          <w:szCs w:val="22"/>
        </w:rPr>
        <w:fldChar w:fldCharType="separate"/>
      </w:r>
      <w:r w:rsidR="00C42E13" w:rsidRPr="00C42E13">
        <w:rPr>
          <w:rFonts w:ascii="Arial" w:hAnsi="Arial" w:cs="Arial"/>
          <w:noProof/>
          <w:sz w:val="22"/>
          <w:szCs w:val="22"/>
        </w:rPr>
        <w:t>(33)</w:t>
      </w:r>
      <w:r w:rsidRPr="00DD271C">
        <w:rPr>
          <w:rFonts w:ascii="Arial" w:hAnsi="Arial" w:cs="Arial"/>
          <w:sz w:val="22"/>
          <w:szCs w:val="22"/>
        </w:rPr>
        <w:fldChar w:fldCharType="end"/>
      </w:r>
      <w:r w:rsidRPr="00DD271C">
        <w:rPr>
          <w:rFonts w:ascii="Arial" w:hAnsi="Arial" w:cs="Arial"/>
          <w:sz w:val="22"/>
          <w:szCs w:val="22"/>
        </w:rPr>
        <w:t xml:space="preserve"> cell trajectory</w:t>
      </w:r>
      <w:r>
        <w:rPr>
          <w:rFonts w:ascii="Arial" w:hAnsi="Arial" w:cs="Arial"/>
          <w:sz w:val="22"/>
          <w:szCs w:val="22"/>
        </w:rPr>
        <w:t xml:space="preserve"> starting from CD4_1 (root 1) and CD4_1 (root 2) with relative pseudotime for all curves calculated using slingshot. </w:t>
      </w:r>
      <w:r w:rsidR="0044717B">
        <w:rPr>
          <w:rFonts w:ascii="Arial" w:hAnsi="Arial" w:cs="Arial"/>
          <w:b/>
          <w:bCs/>
          <w:sz w:val="22"/>
          <w:szCs w:val="22"/>
        </w:rPr>
        <w:t>E</w:t>
      </w:r>
      <w:r w:rsidR="009E2322">
        <w:rPr>
          <w:rFonts w:ascii="Arial" w:hAnsi="Arial" w:cs="Arial"/>
          <w:sz w:val="22"/>
          <w:szCs w:val="22"/>
        </w:rPr>
        <w:t xml:space="preserve">. Percentage difference (∆ </w:t>
      </w:r>
      <w:r w:rsidR="00014CCE">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 TI to PB CD4</w:t>
      </w:r>
      <w:r w:rsidR="009E2322" w:rsidRPr="00D67B0C">
        <w:rPr>
          <w:rFonts w:ascii="Arial" w:hAnsi="Arial" w:cs="Arial"/>
          <w:sz w:val="22"/>
          <w:szCs w:val="22"/>
          <w:vertAlign w:val="superscript"/>
        </w:rPr>
        <w:t>+</w:t>
      </w:r>
      <w:r w:rsidR="009E2322">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sidR="00014CCE">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Pr>
          <w:rFonts w:ascii="Arial" w:hAnsi="Arial" w:cs="Arial"/>
          <w:b/>
          <w:bCs/>
          <w:sz w:val="22"/>
          <w:szCs w:val="22"/>
        </w:rPr>
        <w:t>F</w:t>
      </w:r>
      <w:r w:rsidRPr="00DD271C">
        <w:rPr>
          <w:rFonts w:ascii="Arial" w:hAnsi="Arial" w:cs="Arial"/>
          <w:sz w:val="22"/>
          <w:szCs w:val="22"/>
        </w:rPr>
        <w:t xml:space="preserve">. Z-transformed normalized enrichment scores from ssGSEA  for selected gene sets by </w:t>
      </w:r>
      <w:proofErr w:type="spellStart"/>
      <w:r w:rsidRPr="00DD271C">
        <w:rPr>
          <w:rFonts w:ascii="Arial" w:hAnsi="Arial" w:cs="Arial"/>
          <w:sz w:val="22"/>
          <w:szCs w:val="22"/>
        </w:rPr>
        <w:t>subcluster</w:t>
      </w:r>
      <w:proofErr w:type="spellEnd"/>
      <w:r w:rsidRPr="00DD271C">
        <w:rPr>
          <w:rFonts w:ascii="Arial" w:hAnsi="Arial" w:cs="Arial"/>
          <w:sz w:val="22"/>
          <w:szCs w:val="22"/>
        </w:rPr>
        <w: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80D80"/>
    <w:multiLevelType w:val="hybridMultilevel"/>
    <w:tmpl w:val="0DA49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50C57"/>
    <w:rsid w:val="00072B81"/>
    <w:rsid w:val="00074BA2"/>
    <w:rsid w:val="000841A4"/>
    <w:rsid w:val="000928FC"/>
    <w:rsid w:val="000A02B4"/>
    <w:rsid w:val="000A224A"/>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13A"/>
    <w:rsid w:val="00206317"/>
    <w:rsid w:val="0021505D"/>
    <w:rsid w:val="0022606C"/>
    <w:rsid w:val="002355A8"/>
    <w:rsid w:val="0024418D"/>
    <w:rsid w:val="00244E36"/>
    <w:rsid w:val="00247762"/>
    <w:rsid w:val="00250FBC"/>
    <w:rsid w:val="00276C2F"/>
    <w:rsid w:val="00287639"/>
    <w:rsid w:val="002A683B"/>
    <w:rsid w:val="002B3EDD"/>
    <w:rsid w:val="002D4FB3"/>
    <w:rsid w:val="002D7320"/>
    <w:rsid w:val="002D7B10"/>
    <w:rsid w:val="002E3B9B"/>
    <w:rsid w:val="002E4EFB"/>
    <w:rsid w:val="002E5D1B"/>
    <w:rsid w:val="002E735E"/>
    <w:rsid w:val="002F2B04"/>
    <w:rsid w:val="002F32A0"/>
    <w:rsid w:val="002F4160"/>
    <w:rsid w:val="0030339B"/>
    <w:rsid w:val="00303FAC"/>
    <w:rsid w:val="003064F8"/>
    <w:rsid w:val="0031147A"/>
    <w:rsid w:val="00323FCD"/>
    <w:rsid w:val="003245D3"/>
    <w:rsid w:val="00352D3C"/>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96F98"/>
    <w:rsid w:val="004F1798"/>
    <w:rsid w:val="00516F48"/>
    <w:rsid w:val="0052740A"/>
    <w:rsid w:val="00530253"/>
    <w:rsid w:val="00564DB7"/>
    <w:rsid w:val="00570FDC"/>
    <w:rsid w:val="00571916"/>
    <w:rsid w:val="00571DD7"/>
    <w:rsid w:val="005833F0"/>
    <w:rsid w:val="0059724A"/>
    <w:rsid w:val="005A1358"/>
    <w:rsid w:val="005A169F"/>
    <w:rsid w:val="005B69AC"/>
    <w:rsid w:val="005C418C"/>
    <w:rsid w:val="005D0B49"/>
    <w:rsid w:val="005D2880"/>
    <w:rsid w:val="005E7FEE"/>
    <w:rsid w:val="0060404B"/>
    <w:rsid w:val="00614FAF"/>
    <w:rsid w:val="00617F53"/>
    <w:rsid w:val="00666678"/>
    <w:rsid w:val="00673B61"/>
    <w:rsid w:val="0068587F"/>
    <w:rsid w:val="006A1B3C"/>
    <w:rsid w:val="006A6770"/>
    <w:rsid w:val="006C01FF"/>
    <w:rsid w:val="006C11C8"/>
    <w:rsid w:val="006C2FF3"/>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A56EF"/>
    <w:rsid w:val="008B4725"/>
    <w:rsid w:val="008C1AAF"/>
    <w:rsid w:val="008C4BC2"/>
    <w:rsid w:val="008E746C"/>
    <w:rsid w:val="009060F7"/>
    <w:rsid w:val="0091251A"/>
    <w:rsid w:val="0093266F"/>
    <w:rsid w:val="00941B00"/>
    <w:rsid w:val="00946B48"/>
    <w:rsid w:val="00951227"/>
    <w:rsid w:val="00952E0E"/>
    <w:rsid w:val="00974483"/>
    <w:rsid w:val="00987A75"/>
    <w:rsid w:val="009A5803"/>
    <w:rsid w:val="009B229C"/>
    <w:rsid w:val="009D0802"/>
    <w:rsid w:val="009E2322"/>
    <w:rsid w:val="009E37AE"/>
    <w:rsid w:val="009F2D06"/>
    <w:rsid w:val="00A03655"/>
    <w:rsid w:val="00A121E2"/>
    <w:rsid w:val="00A75F11"/>
    <w:rsid w:val="00A83491"/>
    <w:rsid w:val="00A84007"/>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E1078"/>
    <w:rsid w:val="00BF0F9E"/>
    <w:rsid w:val="00BF5FC5"/>
    <w:rsid w:val="00C0682E"/>
    <w:rsid w:val="00C20E2A"/>
    <w:rsid w:val="00C42E13"/>
    <w:rsid w:val="00C47C17"/>
    <w:rsid w:val="00C62787"/>
    <w:rsid w:val="00C639D3"/>
    <w:rsid w:val="00C65816"/>
    <w:rsid w:val="00C770CF"/>
    <w:rsid w:val="00C9004A"/>
    <w:rsid w:val="00C94FB6"/>
    <w:rsid w:val="00CA4320"/>
    <w:rsid w:val="00CB2EE0"/>
    <w:rsid w:val="00CB4F3B"/>
    <w:rsid w:val="00CB7EE2"/>
    <w:rsid w:val="00CC3469"/>
    <w:rsid w:val="00CF33B7"/>
    <w:rsid w:val="00CF5BEC"/>
    <w:rsid w:val="00CF660B"/>
    <w:rsid w:val="00CF7968"/>
    <w:rsid w:val="00D07574"/>
    <w:rsid w:val="00D14B8E"/>
    <w:rsid w:val="00D3132E"/>
    <w:rsid w:val="00D44203"/>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5DF5"/>
    <w:rsid w:val="00E21D97"/>
    <w:rsid w:val="00E26A39"/>
    <w:rsid w:val="00E318BA"/>
    <w:rsid w:val="00E34118"/>
    <w:rsid w:val="00E677C1"/>
    <w:rsid w:val="00E732EF"/>
    <w:rsid w:val="00EB618C"/>
    <w:rsid w:val="00EB7944"/>
    <w:rsid w:val="00EC37F9"/>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8B661-A840-E74E-B4D4-04E96081A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25</Pages>
  <Words>67992</Words>
  <Characters>387558</Characters>
  <Application>Microsoft Office Word</Application>
  <DocSecurity>0</DocSecurity>
  <Lines>3229</Lines>
  <Paragraphs>909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12</cp:revision>
  <cp:lastPrinted>2020-07-12T16:00:00Z</cp:lastPrinted>
  <dcterms:created xsi:type="dcterms:W3CDTF">2020-07-12T16:06:00Z</dcterms:created>
  <dcterms:modified xsi:type="dcterms:W3CDTF">2020-07-13T17:32:00Z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