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Fresh blood and primary clear cell renal cell carcinoma (ccRCC)</w:t>
      </w:r>
      <w:r w:rsidRPr="00761DC0">
        <w:rPr>
          <w:rFonts w:ascii="Arial" w:hAnsi="Arial" w:cs="Arial"/>
          <w:color w:val="000000"/>
          <w:sz w:val="22"/>
          <w:szCs w:val="22"/>
        </w:rPr>
        <w:t xml:space="preserve"> </w:t>
      </w:r>
      <w:r w:rsidRPr="00761DC0">
        <w:rPr>
          <w:rFonts w:ascii="Arial" w:hAnsi="Arial" w:cs="Arial"/>
          <w:color w:val="000000"/>
          <w:sz w:val="22"/>
          <w:szCs w:val="22"/>
        </w:rPr>
        <w:t xml:space="preserve">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w:t>
      </w:r>
      <w:r w:rsidRPr="00761DC0">
        <w:rPr>
          <w:rFonts w:ascii="Arial" w:hAnsi="Arial" w:cs="Arial"/>
          <w:color w:val="000000"/>
          <w:sz w:val="22"/>
          <w:szCs w:val="22"/>
        </w:rPr>
        <w:t xml:space="preserve"> </w:t>
      </w:r>
      <w:r w:rsidRPr="00761DC0">
        <w:rPr>
          <w:rFonts w:ascii="Arial" w:hAnsi="Arial" w:cs="Arial"/>
          <w:sz w:val="22"/>
          <w:szCs w:val="22"/>
        </w:rPr>
        <w:t xml:space="preserve">Gene expression </w:t>
      </w:r>
      <w:r w:rsidRPr="00761DC0">
        <w:rPr>
          <w:rFonts w:ascii="Arial" w:hAnsi="Arial" w:cs="Arial"/>
          <w:color w:val="000000"/>
          <w:sz w:val="22"/>
          <w:szCs w:val="22"/>
        </w:rPr>
        <w:t>FASTQ files were aligned to the human genome (GRCh38) using the CellRanger v</w:t>
      </w:r>
      <w:r w:rsidRPr="00761DC0">
        <w:rPr>
          <w:rFonts w:ascii="Arial" w:hAnsi="Arial" w:cs="Arial"/>
          <w:color w:val="000000"/>
          <w:sz w:val="22"/>
          <w:szCs w:val="22"/>
        </w:rPr>
        <w:t xml:space="preserve">2.2 </w:t>
      </w:r>
      <w:r w:rsidRPr="00761DC0">
        <w:rPr>
          <w:rFonts w:ascii="Arial" w:hAnsi="Arial" w:cs="Arial"/>
          <w:color w:val="000000"/>
          <w:sz w:val="22"/>
          <w:szCs w:val="22"/>
        </w:rPr>
        <w:t xml:space="preserve">pipeline, while clonotype sequencing was aligned to the </w:t>
      </w:r>
      <w:r w:rsidRPr="00761DC0">
        <w:rPr>
          <w:rFonts w:ascii="Arial" w:hAnsi="Arial" w:cs="Arial"/>
          <w:color w:val="000000" w:themeColor="text1"/>
          <w:sz w:val="22"/>
          <w:szCs w:val="22"/>
        </w:rPr>
        <w:t>vdj_GRCh38_alts_ensembl genome build provided by the manufacturer</w:t>
      </w:r>
      <w:r w:rsidRPr="00761DC0">
        <w:rPr>
          <w:rFonts w:ascii="Arial" w:hAnsi="Arial" w:cs="Arial"/>
          <w:color w:val="000000" w:themeColor="text1"/>
          <w:sz w:val="22"/>
          <w:szCs w:val="22"/>
        </w:rPr>
        <w:t xml:space="preserve">. </w:t>
      </w:r>
    </w:p>
    <w:p w14:paraId="3F9B9EAB" w14:textId="77777777" w:rsidR="002355A8" w:rsidRPr="00761DC0" w:rsidRDefault="002355A8" w:rsidP="00761DC0">
      <w:pPr>
        <w:spacing w:line="480" w:lineRule="auto"/>
        <w:jc w:val="both"/>
        <w:rPr>
          <w:rFonts w:ascii="Arial" w:hAnsi="Arial" w:cs="Arial"/>
          <w:sz w:val="22"/>
          <w:szCs w:val="22"/>
        </w:rPr>
      </w:pPr>
    </w:p>
    <w:p w14:paraId="5022DB64" w14:textId="0A8547F6" w:rsidR="002355A8" w:rsidRPr="00761DC0" w:rsidRDefault="002355A8" w:rsidP="00276C2F">
      <w:pPr>
        <w:spacing w:line="480" w:lineRule="auto"/>
        <w:jc w:val="both"/>
        <w:rPr>
          <w:rFonts w:ascii="Arial" w:hAnsi="Arial" w:cs="Arial"/>
          <w:i/>
          <w:sz w:val="22"/>
          <w:szCs w:val="22"/>
        </w:rPr>
      </w:pPr>
      <w:r w:rsidRPr="00761DC0">
        <w:rPr>
          <w:rFonts w:ascii="Arial" w:hAnsi="Arial" w:cs="Arial"/>
          <w:i/>
          <w:sz w:val="22"/>
          <w:szCs w:val="22"/>
        </w:rPr>
        <w:t xml:space="preserve">Single-cell </w:t>
      </w:r>
      <w:r w:rsidR="005E7FEE">
        <w:rPr>
          <w:rFonts w:ascii="Arial" w:hAnsi="Arial" w:cs="Arial"/>
          <w:i/>
          <w:sz w:val="22"/>
          <w:szCs w:val="22"/>
        </w:rPr>
        <w:t>Data A</w:t>
      </w:r>
      <w:r w:rsidRPr="00761DC0">
        <w:rPr>
          <w:rFonts w:ascii="Arial" w:hAnsi="Arial" w:cs="Arial"/>
          <w:i/>
          <w:sz w:val="22"/>
          <w:szCs w:val="22"/>
        </w:rPr>
        <w:t>nalysis</w:t>
      </w:r>
    </w:p>
    <w:p w14:paraId="180C97A4" w14:textId="0F306759" w:rsidR="003064F8" w:rsidRPr="00761DC0" w:rsidRDefault="002355A8" w:rsidP="00276C2F">
      <w:pPr>
        <w:spacing w:line="480" w:lineRule="auto"/>
        <w:jc w:val="both"/>
        <w:rPr>
          <w:rFonts w:ascii="Arial" w:hAnsi="Arial" w:cs="Arial"/>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cells isolated form the heart in</w:t>
      </w:r>
      <w:r w:rsidRPr="00761DC0">
        <w:rPr>
          <w:rFonts w:ascii="Arial" w:hAnsi="Arial" w:cs="Arial"/>
          <w:sz w:val="22"/>
          <w:szCs w:val="22"/>
        </w:rPr>
        <w:t xml:space="preserve"> </w:t>
      </w:r>
      <w:r w:rsidR="00C0682E" w:rsidRPr="00761DC0">
        <w:rPr>
          <w:rFonts w:ascii="Arial" w:hAnsi="Arial" w:cs="Arial"/>
          <w:sz w:val="22"/>
          <w:szCs w:val="22"/>
        </w:rPr>
        <w:t xml:space="preserve">myocarditis run 1 </w:t>
      </w:r>
      <w:r w:rsidRPr="00761DC0">
        <w:rPr>
          <w:rFonts w:ascii="Arial" w:hAnsi="Arial" w:cs="Arial"/>
          <w:sz w:val="22"/>
          <w:szCs w:val="22"/>
        </w:rPr>
        <w:t>(n=</w:t>
      </w:r>
      <w:r w:rsidR="00C0682E" w:rsidRPr="00761DC0">
        <w:rPr>
          <w:rFonts w:ascii="Arial" w:hAnsi="Arial" w:cs="Arial"/>
          <w:sz w:val="22"/>
          <w:szCs w:val="22"/>
        </w:rPr>
        <w:t>2,617</w:t>
      </w:r>
      <w:r w:rsidRPr="00761DC0">
        <w:rPr>
          <w:rFonts w:ascii="Arial" w:hAnsi="Arial" w:cs="Arial"/>
          <w:sz w:val="22"/>
          <w:szCs w:val="22"/>
        </w:rPr>
        <w:t xml:space="preserve">), </w:t>
      </w:r>
      <w:r w:rsidR="00C0682E" w:rsidRPr="00761DC0">
        <w:rPr>
          <w:rFonts w:ascii="Arial" w:hAnsi="Arial" w:cs="Arial"/>
          <w:sz w:val="22"/>
          <w:szCs w:val="22"/>
        </w:rPr>
        <w:t xml:space="preserve">myocarditis run 2 </w:t>
      </w:r>
      <w:r w:rsidRPr="00761DC0">
        <w:rPr>
          <w:rFonts w:ascii="Arial" w:hAnsi="Arial" w:cs="Arial"/>
          <w:sz w:val="22"/>
          <w:szCs w:val="22"/>
        </w:rPr>
        <w:t>(n=</w:t>
      </w:r>
      <w:r w:rsidR="00C0682E" w:rsidRPr="00761DC0">
        <w:rPr>
          <w:rFonts w:ascii="Arial" w:hAnsi="Arial" w:cs="Arial"/>
          <w:sz w:val="22"/>
          <w:szCs w:val="22"/>
        </w:rPr>
        <w:t>10,618</w:t>
      </w:r>
      <w:r w:rsidRPr="00761DC0">
        <w:rPr>
          <w:rFonts w:ascii="Arial" w:hAnsi="Arial" w:cs="Arial"/>
          <w:sz w:val="22"/>
          <w:szCs w:val="22"/>
        </w:rPr>
        <w:t xml:space="preserve">), </w:t>
      </w:r>
      <w:r w:rsidR="00C0682E" w:rsidRPr="00761DC0">
        <w:rPr>
          <w:rFonts w:ascii="Arial" w:hAnsi="Arial" w:cs="Arial"/>
          <w:sz w:val="22"/>
          <w:szCs w:val="22"/>
        </w:rPr>
        <w:t>control run1</w:t>
      </w:r>
      <w:r w:rsidRPr="00761DC0">
        <w:rPr>
          <w:rFonts w:ascii="Arial" w:hAnsi="Arial" w:cs="Arial"/>
          <w:sz w:val="22"/>
          <w:szCs w:val="22"/>
        </w:rPr>
        <w:t xml:space="preserve"> (n=</w:t>
      </w:r>
      <w:r w:rsidR="00C0682E" w:rsidRPr="00761DC0">
        <w:rPr>
          <w:rFonts w:ascii="Arial" w:hAnsi="Arial" w:cs="Arial"/>
          <w:sz w:val="22"/>
          <w:szCs w:val="22"/>
        </w:rPr>
        <w:t>1,528</w:t>
      </w:r>
      <w:r w:rsidRPr="00761DC0">
        <w:rPr>
          <w:rFonts w:ascii="Arial" w:hAnsi="Arial" w:cs="Arial"/>
          <w:sz w:val="22"/>
          <w:szCs w:val="22"/>
        </w:rPr>
        <w:t xml:space="preserve">), and </w:t>
      </w:r>
      <w:r w:rsidR="00C0682E" w:rsidRPr="00761DC0">
        <w:rPr>
          <w:rFonts w:ascii="Arial" w:hAnsi="Arial" w:cs="Arial"/>
          <w:sz w:val="22"/>
          <w:szCs w:val="22"/>
        </w:rPr>
        <w:t>control run 2</w:t>
      </w:r>
      <w:r w:rsidRPr="00761DC0">
        <w:rPr>
          <w:rFonts w:ascii="Arial" w:hAnsi="Arial" w:cs="Arial"/>
          <w:sz w:val="22"/>
          <w:szCs w:val="22"/>
        </w:rPr>
        <w:t xml:space="preserve"> (n=</w:t>
      </w:r>
      <w:r w:rsidR="00C0682E" w:rsidRPr="00761DC0">
        <w:rPr>
          <w:rFonts w:ascii="Arial" w:hAnsi="Arial" w:cs="Arial"/>
          <w:sz w:val="22"/>
          <w:szCs w:val="22"/>
        </w:rPr>
        <w:t>8,201</w:t>
      </w:r>
      <w:r w:rsidRPr="00761DC0">
        <w:rPr>
          <w:rFonts w:ascii="Arial" w:hAnsi="Arial" w:cs="Arial"/>
          <w:sz w:val="22"/>
          <w:szCs w:val="22"/>
        </w:rPr>
        <w:t xml:space="preserve">) was performed 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(29,30)","plainTextFormattedCitation":"(29,30)","previouslyFormattedCitation":"(29,30)"},"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(29,30)</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(31)","plainTextFormattedCitation":"(31)","previouslyFormattedCitation":"(31)"},"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(31)</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lastRenderedPageBreak/>
        <w:t>with default settings</w:t>
      </w:r>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3064F8" w:rsidRPr="00761DC0">
        <w:rPr>
          <w:rFonts w:ascii="Arial" w:hAnsi="Arial" w:cs="Arial"/>
          <w:sz w:val="22"/>
          <w:szCs w:val="22"/>
        </w:rPr>
        <w:t xml:space="preserve"> </w:t>
      </w:r>
      <w:r w:rsidR="003E66F1" w:rsidRPr="00761DC0">
        <w:rPr>
          <w:rFonts w:ascii="Arial" w:hAnsi="Arial" w:cs="Arial"/>
          <w:sz w:val="22"/>
          <w:szCs w:val="22"/>
        </w:rPr>
        <w:t xml:space="preserve">The </w:t>
      </w:r>
      <w:proofErr w:type="spellStart"/>
      <w:r w:rsidR="003E66F1" w:rsidRPr="00761DC0">
        <w:rPr>
          <w:rFonts w:ascii="Arial" w:hAnsi="Arial" w:cs="Arial"/>
          <w:sz w:val="22"/>
          <w:szCs w:val="22"/>
        </w:rPr>
        <w:t>schex</w:t>
      </w:r>
      <w:proofErr w:type="spellEnd"/>
      <w:r w:rsidR="003E66F1"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003E66F1" w:rsidRPr="00761DC0">
        <w:rPr>
          <w:rFonts w:ascii="Arial" w:hAnsi="Arial" w:cs="Arial"/>
          <w:sz w:val="22"/>
          <w:szCs w:val="22"/>
        </w:rPr>
        <w:t>hexbin</w:t>
      </w:r>
      <w:proofErr w:type="spellEnd"/>
      <w:r w:rsidR="003E66F1" w:rsidRPr="00761DC0">
        <w:rPr>
          <w:rFonts w:ascii="Arial" w:hAnsi="Arial" w:cs="Arial"/>
          <w:sz w:val="22"/>
          <w:szCs w:val="22"/>
        </w:rPr>
        <w:t xml:space="preserve"> quantifications of the proportion of single-cells with the indicated gene expressed. Default binning was set at 80, unless otherwise indicated in the figure legend.</w:t>
      </w:r>
    </w:p>
    <w:p w14:paraId="325682B8" w14:textId="3BE19500" w:rsidR="003064F8" w:rsidRPr="00761DC0" w:rsidRDefault="003064F8" w:rsidP="00276C2F">
      <w:pPr>
        <w:spacing w:line="480" w:lineRule="auto"/>
        <w:jc w:val="both"/>
        <w:rPr>
          <w:rFonts w:ascii="Arial" w:hAnsi="Arial" w:cs="Arial"/>
          <w:sz w:val="22"/>
          <w:szCs w:val="22"/>
        </w:rPr>
      </w:pPr>
    </w:p>
    <w:p w14:paraId="43E158F4" w14:textId="0C8AA219" w:rsidR="003E66F1" w:rsidRDefault="003064F8" w:rsidP="00276C2F">
      <w:pPr>
        <w:spacing w:line="480" w:lineRule="auto"/>
        <w:jc w:val="both"/>
        <w:rPr>
          <w:rFonts w:ascii="Arial" w:hAnsi="Arial" w:cs="Arial"/>
          <w:sz w:val="22"/>
          <w:szCs w:val="22"/>
        </w:rPr>
      </w:pPr>
      <w:r w:rsidRPr="00761DC0">
        <w:rPr>
          <w:rFonts w:ascii="Arial" w:hAnsi="Arial" w:cs="Arial"/>
          <w:sz w:val="22"/>
          <w:szCs w:val="22"/>
        </w:rPr>
        <w:t>Cell type identification utilized the SingleR (v1.0.1) R package</w:t>
      </w:r>
      <w:r w:rsidR="003E66F1" w:rsidRPr="00761DC0">
        <w:rPr>
          <w:rFonts w:ascii="Arial" w:hAnsi="Arial" w:cs="Arial"/>
          <w:sz w:val="22"/>
          <w:szCs w:val="22"/>
        </w:rPr>
        <w:t xml:space="preserve">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(32)","plainTextFormattedCitation":"(32)","previouslyFormattedCitation":"(32)"},"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(32)</w:t>
      </w:r>
      <w:r w:rsidR="003245D3">
        <w:rPr>
          <w:rFonts w:ascii="Arial" w:hAnsi="Arial" w:cs="Arial"/>
          <w:sz w:val="22"/>
          <w:szCs w:val="22"/>
        </w:rPr>
        <w:fldChar w:fldCharType="end"/>
      </w:r>
      <w:r w:rsidR="003E66F1" w:rsidRPr="00761DC0">
        <w:rPr>
          <w:rFonts w:ascii="Arial" w:hAnsi="Arial" w:cs="Arial"/>
          <w:sz w:val="22"/>
          <w:szCs w:val="22"/>
        </w:rPr>
        <w:t xml:space="preserve">with </w:t>
      </w:r>
      <w:r w:rsidRPr="00761DC0">
        <w:rPr>
          <w:rFonts w:ascii="Arial" w:hAnsi="Arial" w:cs="Arial"/>
          <w:sz w:val="22"/>
          <w:szCs w:val="22"/>
        </w:rPr>
        <w:t>correlations</w:t>
      </w:r>
      <w:r w:rsidR="003E66F1" w:rsidRPr="00761DC0">
        <w:rPr>
          <w:rFonts w:ascii="Arial" w:hAnsi="Arial" w:cs="Arial"/>
          <w:sz w:val="22"/>
          <w:szCs w:val="22"/>
        </w:rPr>
        <w:t xml:space="preserve"> of the single-</w:t>
      </w:r>
      <w:r w:rsidRPr="00761DC0">
        <w:rPr>
          <w:rFonts w:ascii="Arial" w:hAnsi="Arial" w:cs="Arial"/>
          <w:sz w:val="22"/>
          <w:szCs w:val="22"/>
        </w:rPr>
        <w:t xml:space="preserve">cell expression values </w:t>
      </w:r>
      <w:r w:rsidR="003E66F1" w:rsidRPr="00761DC0">
        <w:rPr>
          <w:rFonts w:ascii="Arial" w:hAnsi="Arial" w:cs="Arial"/>
          <w:sz w:val="22"/>
          <w:szCs w:val="22"/>
        </w:rPr>
        <w:t>with</w:t>
      </w:r>
      <w:r w:rsidRPr="00761DC0">
        <w:rPr>
          <w:rFonts w:ascii="Arial" w:hAnsi="Arial" w:cs="Arial"/>
          <w:sz w:val="22"/>
          <w:szCs w:val="22"/>
        </w:rPr>
        <w:t xml:space="preserve"> transcriptional profiles from pure cell populations in </w:t>
      </w:r>
      <w:r w:rsidR="008274D0" w:rsidRPr="00761DC0">
        <w:rPr>
          <w:rFonts w:ascii="Arial" w:hAnsi="Arial" w:cs="Arial"/>
          <w:sz w:val="22"/>
          <w:szCs w:val="22"/>
        </w:rPr>
        <w:t>the ENCODE</w:t>
      </w:r>
      <w:r w:rsidR="003245D3">
        <w:rPr>
          <w:rFonts w:ascii="Arial" w:hAnsi="Arial" w:cs="Arial"/>
          <w:sz w:val="22"/>
          <w:szCs w:val="22"/>
        </w:rPr>
        <w:t xml:space="preserve">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(33)","plainTextFormattedCitation":"(33)","previouslyFormattedCitation":"(33)"},"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(33)</w:t>
      </w:r>
      <w:r w:rsidR="003245D3">
        <w:rPr>
          <w:rFonts w:ascii="Arial" w:hAnsi="Arial" w:cs="Arial"/>
          <w:sz w:val="22"/>
          <w:szCs w:val="22"/>
        </w:rPr>
        <w:fldChar w:fldCharType="end"/>
      </w:r>
      <w:r w:rsidRPr="00761DC0">
        <w:rPr>
          <w:rFonts w:ascii="Arial" w:hAnsi="Arial" w:cs="Arial"/>
          <w:sz w:val="22"/>
          <w:szCs w:val="22"/>
        </w:rPr>
        <w:t>.</w:t>
      </w:r>
      <w:r w:rsidR="003E66F1" w:rsidRPr="00761DC0">
        <w:rPr>
          <w:rFonts w:ascii="Arial" w:hAnsi="Arial" w:cs="Arial"/>
          <w:sz w:val="22"/>
          <w:szCs w:val="22"/>
        </w:rPr>
        <w:t xml:space="preserve"> In addition to correlations, canonical markers for cell lineages </w:t>
      </w:r>
      <w:r w:rsidR="008274D0" w:rsidRPr="00761DC0">
        <w:rPr>
          <w:rFonts w:ascii="Arial" w:hAnsi="Arial" w:cs="Arial"/>
          <w:sz w:val="22"/>
          <w:szCs w:val="22"/>
        </w:rPr>
        <w:t>(</w:t>
      </w:r>
      <w:r w:rsidR="003E66F1" w:rsidRPr="00761DC0">
        <w:rPr>
          <w:rFonts w:ascii="Arial" w:hAnsi="Arial" w:cs="Arial"/>
          <w:sz w:val="22"/>
          <w:szCs w:val="22"/>
          <w:highlight w:val="yellow"/>
        </w:rPr>
        <w:t>Supplemental Table X</w:t>
      </w:r>
      <w:r w:rsidR="008274D0" w:rsidRPr="00761DC0">
        <w:rPr>
          <w:rFonts w:ascii="Arial" w:hAnsi="Arial" w:cs="Arial"/>
          <w:sz w:val="22"/>
          <w:szCs w:val="22"/>
        </w:rPr>
        <w:t xml:space="preserve">) and </w:t>
      </w:r>
      <w:r w:rsidR="00761DC0" w:rsidRPr="00761DC0">
        <w:rPr>
          <w:rFonts w:ascii="Arial" w:hAnsi="Arial" w:cs="Arial"/>
          <w:sz w:val="22"/>
          <w:szCs w:val="22"/>
        </w:rPr>
        <w:t>corresponding TCR sequences were used</w:t>
      </w:r>
      <w:r w:rsidR="003E66F1" w:rsidRPr="00761DC0">
        <w:rPr>
          <w:rFonts w:ascii="Arial" w:hAnsi="Arial" w:cs="Arial"/>
          <w:sz w:val="22"/>
          <w:szCs w:val="22"/>
        </w:rPr>
        <w:t>. Differential gene expression utilized the Wilcoxon rank sum test on count-level mRNA data. For</w:t>
      </w:r>
      <w:r w:rsidR="00C0682E" w:rsidRPr="00761DC0">
        <w:rPr>
          <w:rFonts w:ascii="Arial" w:hAnsi="Arial" w:cs="Arial"/>
          <w:sz w:val="22"/>
          <w:szCs w:val="22"/>
        </w:rPr>
        <w:t xml:space="preserve"> </w:t>
      </w:r>
      <w:r w:rsidR="003E66F1" w:rsidRPr="00761DC0">
        <w:rPr>
          <w:rFonts w:ascii="Arial" w:hAnsi="Arial" w:cs="Arial"/>
          <w:sz w:val="22"/>
          <w:szCs w:val="22"/>
        </w:rPr>
        <w:t xml:space="preserve">differential gene expression across clusters or </w:t>
      </w:r>
      <w:proofErr w:type="spellStart"/>
      <w:r w:rsidR="003E66F1" w:rsidRPr="00761DC0">
        <w:rPr>
          <w:rFonts w:ascii="Arial" w:hAnsi="Arial" w:cs="Arial"/>
          <w:sz w:val="22"/>
          <w:szCs w:val="22"/>
        </w:rPr>
        <w:t>subclusters</w:t>
      </w:r>
      <w:proofErr w:type="spellEnd"/>
      <w:r w:rsidR="003E66F1" w:rsidRPr="00761DC0">
        <w:rPr>
          <w:rFonts w:ascii="Arial" w:hAnsi="Arial" w:cs="Arial"/>
          <w:sz w:val="22"/>
          <w:szCs w:val="22"/>
        </w:rPr>
        <w:t xml:space="preserve">, </w:t>
      </w:r>
      <w:proofErr w:type="spellStart"/>
      <w:r w:rsidR="003E66F1" w:rsidRPr="00761DC0">
        <w:rPr>
          <w:rFonts w:ascii="Arial" w:hAnsi="Arial" w:cs="Arial"/>
          <w:i/>
          <w:iCs/>
          <w:sz w:val="22"/>
          <w:szCs w:val="22"/>
        </w:rPr>
        <w:t>FindAllMarkers</w:t>
      </w:r>
      <w:proofErr w:type="spellEnd"/>
      <w:r w:rsidR="003E66F1"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(34)","plainTextFormattedCitation":"(34)","previouslyFormattedCitation":"(34)"},"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(34)</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analysis utilized our previously described scRepertoire R package (v0.99.3) </w:t>
      </w:r>
      <w:r w:rsidR="003245D3">
        <w:rPr>
          <w:rFonts w:ascii="Arial" w:hAnsi="Arial" w:cs="Arial"/>
          <w:sz w:val="22"/>
          <w:szCs w:val="22"/>
        </w:rPr>
        <w:fldChar w:fldCharType="begin" w:fldLock="1"/>
      </w:r>
      <w:r w:rsidR="00196548">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(35)","plainTextFormattedCitation":"(35)","previouslyFormattedCitation":"(35)"},"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(35)</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8505A9">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w:t>
      </w:r>
      <w:r w:rsidR="00CC3469" w:rsidRPr="00761DC0">
        <w:rPr>
          <w:rFonts w:ascii="Arial" w:hAnsi="Arial" w:cs="Arial"/>
          <w:sz w:val="22"/>
          <w:szCs w:val="22"/>
        </w:rPr>
        <w:lastRenderedPageBreak/>
        <w:t xml:space="preserve">all analysis is available at </w:t>
      </w:r>
      <w:hyperlink r:id="rId8"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0ECEC034" w14:textId="2CB0530C" w:rsidR="00196548" w:rsidRDefault="00196548" w:rsidP="00276C2F">
      <w:pPr>
        <w:spacing w:line="480" w:lineRule="auto"/>
        <w:jc w:val="both"/>
        <w:rPr>
          <w:rFonts w:ascii="Arial" w:hAnsi="Arial" w:cs="Arial"/>
          <w:sz w:val="22"/>
          <w:szCs w:val="22"/>
        </w:rPr>
      </w:pPr>
    </w:p>
    <w:p w14:paraId="4C4D1480" w14:textId="440357A7" w:rsidR="00196548" w:rsidRDefault="00196548" w:rsidP="0019654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036ECA21" w14:textId="7AAF73DF" w:rsidR="00196548" w:rsidRPr="00196548" w:rsidRDefault="00196548" w:rsidP="00276C2F">
      <w:pPr>
        <w:spacing w:line="480" w:lineRule="auto"/>
        <w:jc w:val="both"/>
        <w:rPr>
          <w:rFonts w:ascii="Arial" w:hAnsi="Arial" w:cs="Arial"/>
          <w:color w:val="000000" w:themeColor="text1"/>
          <w:sz w:val="22"/>
          <w:szCs w:val="22"/>
        </w:rPr>
      </w:pPr>
      <w:r>
        <w:rPr>
          <w:rFonts w:ascii="Arial" w:hAnsi="Arial" w:cs="Arial"/>
          <w:color w:val="000000" w:themeColor="text1"/>
          <w:sz w:val="22"/>
          <w:szCs w:val="22"/>
        </w:rPr>
        <w:t>SCRS and TCR sequencing data processed using Cell Ranger v2.2 for healthy donor peripheral blood immune cells were acquired from the 10x Genomics website on 6/20/2020. Filtered gene matrix and contig annotations were used in the incorporation of the UMAP. SCRS of normal immune populations in the kidney were derived from whole kidney homogenates</w:t>
      </w:r>
      <w:r>
        <w:rPr>
          <w:rFonts w:ascii="Arial" w:hAnsi="Arial" w:cs="Arial"/>
          <w:color w:val="000000" w:themeColor="text1"/>
          <w:sz w:val="22"/>
          <w:szCs w:val="22"/>
        </w:rPr>
        <w:t xml:space="preserve"> from 3 patients</w:t>
      </w:r>
      <w:r>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2E4EFB">
        <w:rPr>
          <w:rFonts w:ascii="Arial" w:hAnsi="Arial" w:cs="Arial"/>
          <w:color w:val="000000" w:themeColor="text1"/>
          <w:sz w:val="22"/>
          <w:szCs w:val="22"/>
        </w:rPr>
        <w:instrText>ADDIN CSL_CITATION {"citationItems":[{"id":"ITEM-1","itemData":{"ISSN":"2052-4463","author":[{"dropping-particle":"","family":"Liao","given":"Jinling","non-dropping-particle":"","parse-names":false,"suffix":""},{"dropping-particle":"","family":"Yu","given":"Zhenyuan","non-dropping-particle":"","parse-names":false,"suffix":""},{"dropping-particle":"","family":"Chen","given":"Yang","non-dropping-particle":"","parse-names":false,"suffix":""},{"dropping-particle":"","family":"Bao","given":"Mengying","non-dropping-particle":"","parse-names":false,"suffix":""},{"dropping-particle":"","family":"Zou","given":"Chunlin","non-dropping-particle":"","parse-names":false,"suffix":""},{"dropping-particle":"","family":"Zhang","given":"Haiying","non-dropping-particle":"","parse-names":false,"suffix":""},{"dropping-particle":"","family":"Liu","given":"Deyun","non-dropping-particle":"","parse-names":false,"suffix":""},{"dropping-particle":"","family":"Li","given":"Tianyu","non-dropping-particle":"","parse-names":false,"suffix":""},{"dropping-particle":"","family":"Zhang","given":"Qingyun","non-dropping-particle":"","parse-names":false,"suffix":""},{"dropping-particle":"","family":"Li","given":"Jiaping","non-dropping-particle":"","parse-names":false,"suffix":""}],"container-title":"Scientific data","id":"ITEM-1","issue":"1","issued":{"date-parts":[["2020"]]},"page":"1-9","publisher":"Nature Publishing Group","title":"Single-cell RNA sequencing of human kidney","type":"article-journal","volume":"7"},"uris":["http://www.mendeley.com/documents/?uuid=650386c8-cea4-4e86-8cbb-213165341389"]}],"mendeley":{"formattedCitation":"(36)","plainTextFormattedCitation":"(36)","previouslyFormattedCitation":"(36)"},"properties":{"noteIndex":0},"schema":"https://github.com/citation-style-language/schema/raw/master/csl-citation.json"}</w:instrText>
      </w:r>
      <w:r>
        <w:rPr>
          <w:rFonts w:ascii="Arial" w:hAnsi="Arial" w:cs="Arial"/>
          <w:color w:val="000000" w:themeColor="text1"/>
          <w:sz w:val="22"/>
          <w:szCs w:val="22"/>
        </w:rPr>
        <w:fldChar w:fldCharType="separate"/>
      </w:r>
      <w:r w:rsidRPr="00196548">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Gene expression matrices were downloaded from the Gene Expression Omnibus (</w:t>
      </w:r>
      <w:r w:rsidRPr="00196548">
        <w:rPr>
          <w:rFonts w:ascii="Arial" w:hAnsi="Arial" w:cs="Arial"/>
          <w:color w:val="000000" w:themeColor="text1"/>
          <w:sz w:val="22"/>
          <w:szCs w:val="22"/>
        </w:rPr>
        <w:t>GSE131685</w:t>
      </w:r>
      <w:r>
        <w:rPr>
          <w:rFonts w:ascii="Arial" w:hAnsi="Arial" w:cs="Arial"/>
          <w:color w:val="000000" w:themeColor="text1"/>
          <w:sz w:val="22"/>
          <w:szCs w:val="22"/>
        </w:rPr>
        <w:t>) and processed using the procedure as described above to form the UMAP. Cell types were identified by canonical markers for lineages and immune cells were isolated</w:t>
      </w:r>
      <w:r w:rsidR="00E15DF5">
        <w:rPr>
          <w:rFonts w:ascii="Arial" w:hAnsi="Arial" w:cs="Arial"/>
          <w:color w:val="000000" w:themeColor="text1"/>
          <w:sz w:val="22"/>
          <w:szCs w:val="22"/>
        </w:rPr>
        <w:t xml:space="preserve">. </w:t>
      </w: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58784CF7"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Statistical Analyses were performed in </w:t>
      </w:r>
      <w:r w:rsidRPr="00F518EE">
        <w:rPr>
          <w:rFonts w:ascii="Arial" w:hAnsi="Arial" w:cs="Arial"/>
          <w:color w:val="000000"/>
          <w:sz w:val="22"/>
          <w:szCs w:val="22"/>
        </w:rPr>
        <w:t>R (v</w:t>
      </w:r>
      <w:r w:rsidR="00F518EE" w:rsidRPr="00F518EE">
        <w:rPr>
          <w:rFonts w:ascii="Arial" w:hAnsi="Arial" w:cs="Arial"/>
          <w:color w:val="000000"/>
          <w:sz w:val="22"/>
          <w:szCs w:val="22"/>
        </w:rPr>
        <w:t>4.0.1</w:t>
      </w:r>
      <w:r w:rsidRPr="00F518EE">
        <w:rPr>
          <w:rFonts w:ascii="Arial" w:hAnsi="Arial" w:cs="Arial"/>
          <w:color w:val="000000"/>
          <w:sz w:val="22"/>
          <w:szCs w:val="22"/>
        </w:rPr>
        <w:t>).</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648D9F1A" w:rsidR="003064F8" w:rsidRDefault="003064F8" w:rsidP="00276C2F">
      <w:pPr>
        <w:spacing w:line="480" w:lineRule="auto"/>
        <w:jc w:val="both"/>
        <w:rPr>
          <w:rFonts w:ascii="Arial" w:hAnsi="Arial" w:cs="Arial"/>
          <w:sz w:val="22"/>
          <w:szCs w:val="22"/>
        </w:rPr>
      </w:pPr>
    </w:p>
    <w:p w14:paraId="281D9E9C" w14:textId="135A99B2" w:rsidR="002E4EFB" w:rsidRDefault="002E4EFB" w:rsidP="00276C2F">
      <w:pPr>
        <w:spacing w:line="480" w:lineRule="auto"/>
        <w:jc w:val="both"/>
        <w:rPr>
          <w:rFonts w:ascii="Arial" w:hAnsi="Arial" w:cs="Arial"/>
          <w:sz w:val="22"/>
          <w:szCs w:val="22"/>
        </w:rPr>
      </w:pPr>
    </w:p>
    <w:p w14:paraId="15C6FF09" w14:textId="0E32A6AF" w:rsidR="002E4EFB" w:rsidRDefault="002E4EFB" w:rsidP="00276C2F">
      <w:pPr>
        <w:spacing w:line="480" w:lineRule="auto"/>
        <w:jc w:val="both"/>
        <w:rPr>
          <w:rFonts w:ascii="Arial" w:hAnsi="Arial" w:cs="Arial"/>
          <w:sz w:val="22"/>
          <w:szCs w:val="22"/>
        </w:rPr>
      </w:pPr>
    </w:p>
    <w:p w14:paraId="483133B5" w14:textId="22998012" w:rsidR="002E4EFB" w:rsidRDefault="002E4EFB" w:rsidP="00276C2F">
      <w:pPr>
        <w:spacing w:line="480" w:lineRule="auto"/>
        <w:jc w:val="both"/>
        <w:rPr>
          <w:rFonts w:ascii="Arial" w:hAnsi="Arial" w:cs="Arial"/>
          <w:sz w:val="22"/>
          <w:szCs w:val="22"/>
        </w:rPr>
      </w:pPr>
    </w:p>
    <w:p w14:paraId="75D2F9CB" w14:textId="39C5D6FC" w:rsidR="002E4EFB" w:rsidRDefault="002E4EFB" w:rsidP="00276C2F">
      <w:pPr>
        <w:spacing w:line="480" w:lineRule="auto"/>
        <w:jc w:val="both"/>
        <w:rPr>
          <w:rFonts w:ascii="Arial" w:hAnsi="Arial" w:cs="Arial"/>
          <w:sz w:val="22"/>
          <w:szCs w:val="22"/>
        </w:rPr>
      </w:pPr>
    </w:p>
    <w:p w14:paraId="75D54D4C" w14:textId="13034EF4" w:rsidR="002E4EFB" w:rsidRDefault="002E4EFB" w:rsidP="00276C2F">
      <w:pPr>
        <w:spacing w:line="480" w:lineRule="auto"/>
        <w:jc w:val="both"/>
        <w:rPr>
          <w:rFonts w:ascii="Arial" w:hAnsi="Arial" w:cs="Arial"/>
          <w:sz w:val="22"/>
          <w:szCs w:val="22"/>
        </w:rPr>
      </w:pPr>
    </w:p>
    <w:p w14:paraId="00F8A150" w14:textId="77777777" w:rsidR="002E4EFB" w:rsidRPr="00761DC0" w:rsidRDefault="002E4EFB" w:rsidP="00276C2F">
      <w:pPr>
        <w:spacing w:line="480" w:lineRule="auto"/>
        <w:jc w:val="both"/>
        <w:rPr>
          <w:rFonts w:ascii="Arial" w:hAnsi="Arial" w:cs="Arial"/>
          <w:sz w:val="22"/>
          <w:szCs w:val="22"/>
        </w:rPr>
      </w:pPr>
    </w:p>
    <w:p w14:paraId="3680F3A4"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lastRenderedPageBreak/>
        <w:t>Acknowledgments</w:t>
      </w:r>
    </w:p>
    <w:p w14:paraId="61124083" w14:textId="0DF621F2" w:rsidR="00244E36"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We thank Michael Knudson, Rita Sigmund, Joe Galbraith, Janice Cook-</w:t>
      </w:r>
      <w:proofErr w:type="spellStart"/>
      <w:r w:rsidRPr="002E4EFB">
        <w:rPr>
          <w:rFonts w:ascii="Arial" w:hAnsi="Arial" w:cs="Arial"/>
          <w:bCs/>
          <w:color w:val="000000"/>
          <w:sz w:val="22"/>
          <w:szCs w:val="22"/>
        </w:rPr>
        <w:t>Granroth</w:t>
      </w:r>
      <w:proofErr w:type="spellEnd"/>
      <w:r w:rsidRPr="002E4EFB">
        <w:rPr>
          <w:rFonts w:ascii="Arial" w:hAnsi="Arial" w:cs="Arial"/>
          <w:bCs/>
          <w:color w:val="000000"/>
          <w:sz w:val="22"/>
          <w:szCs w:val="22"/>
        </w:rPr>
        <w:t xml:space="preserve">, Bethany </w:t>
      </w:r>
      <w:proofErr w:type="spellStart"/>
      <w:r w:rsidRPr="002E4EFB">
        <w:rPr>
          <w:rFonts w:ascii="Arial" w:hAnsi="Arial" w:cs="Arial"/>
          <w:bCs/>
          <w:color w:val="000000"/>
          <w:sz w:val="22"/>
          <w:szCs w:val="22"/>
        </w:rPr>
        <w:t>Kilburg</w:t>
      </w:r>
      <w:proofErr w:type="spellEnd"/>
      <w:r w:rsidRPr="002E4EFB">
        <w:rPr>
          <w:rFonts w:ascii="Arial" w:hAnsi="Arial" w:cs="Arial"/>
          <w:bCs/>
          <w:color w:val="000000"/>
          <w:sz w:val="22"/>
          <w:szCs w:val="22"/>
        </w:rPr>
        <w:t xml:space="preserve"> and Celeste </w:t>
      </w:r>
      <w:proofErr w:type="spellStart"/>
      <w:r w:rsidRPr="002E4EFB">
        <w:rPr>
          <w:rFonts w:ascii="Arial" w:hAnsi="Arial" w:cs="Arial"/>
          <w:bCs/>
          <w:color w:val="000000"/>
          <w:sz w:val="22"/>
          <w:szCs w:val="22"/>
        </w:rPr>
        <w:t>Charchalac</w:t>
      </w:r>
      <w:proofErr w:type="spellEnd"/>
      <w:r w:rsidRPr="002E4EFB">
        <w:rPr>
          <w:rFonts w:ascii="Arial" w:hAnsi="Arial" w:cs="Arial"/>
          <w:bCs/>
          <w:color w:val="000000"/>
          <w:sz w:val="22"/>
          <w:szCs w:val="22"/>
        </w:rPr>
        <w:t xml:space="preserve"> from University of Iowa Carver College of Medicine, Tissue Procurement Core (TPC) and Genito-Urologic Tissue Repository (GUMER) for receiving biological samples and clinical data. We thank Justin </w:t>
      </w:r>
      <w:proofErr w:type="spellStart"/>
      <w:r w:rsidRPr="002E4EFB">
        <w:rPr>
          <w:rFonts w:ascii="Arial" w:hAnsi="Arial" w:cs="Arial"/>
          <w:bCs/>
          <w:color w:val="000000"/>
          <w:sz w:val="22"/>
          <w:szCs w:val="22"/>
        </w:rPr>
        <w:t>Fishbaugh</w:t>
      </w:r>
      <w:proofErr w:type="spellEnd"/>
      <w:r w:rsidRPr="002E4EFB">
        <w:rPr>
          <w:rFonts w:ascii="Arial" w:hAnsi="Arial" w:cs="Arial"/>
          <w:bCs/>
          <w:color w:val="000000"/>
          <w:sz w:val="22"/>
          <w:szCs w:val="22"/>
        </w:rPr>
        <w:t xml:space="preserve">, Heath </w:t>
      </w:r>
      <w:proofErr w:type="spellStart"/>
      <w:r w:rsidRPr="002E4EFB">
        <w:rPr>
          <w:rFonts w:ascii="Arial" w:hAnsi="Arial" w:cs="Arial"/>
          <w:bCs/>
          <w:color w:val="000000"/>
          <w:sz w:val="22"/>
          <w:szCs w:val="22"/>
        </w:rPr>
        <w:t>Vignes</w:t>
      </w:r>
      <w:proofErr w:type="spellEnd"/>
      <w:r w:rsidRPr="002E4EFB">
        <w:rPr>
          <w:rFonts w:ascii="Arial" w:hAnsi="Arial" w:cs="Arial"/>
          <w:bCs/>
          <w:color w:val="000000"/>
          <w:sz w:val="22"/>
          <w:szCs w:val="22"/>
        </w:rPr>
        <w:t xml:space="preserve"> and Michael </w:t>
      </w:r>
      <w:proofErr w:type="spellStart"/>
      <w:r w:rsidRPr="002E4EFB">
        <w:rPr>
          <w:rFonts w:ascii="Arial" w:hAnsi="Arial" w:cs="Arial"/>
          <w:bCs/>
          <w:color w:val="000000"/>
          <w:sz w:val="22"/>
          <w:szCs w:val="22"/>
        </w:rPr>
        <w:t>Shey</w:t>
      </w:r>
      <w:proofErr w:type="spellEnd"/>
      <w:r w:rsidRPr="002E4EFB">
        <w:rPr>
          <w:rFonts w:ascii="Arial" w:hAnsi="Arial" w:cs="Arial"/>
          <w:bCs/>
          <w:color w:val="000000"/>
          <w:sz w:val="22"/>
          <w:szCs w:val="22"/>
        </w:rPr>
        <w:t xml:space="preserve"> from the University of Iowa Flow Cytometry Facility. We thank Kevin </w:t>
      </w:r>
      <w:proofErr w:type="spellStart"/>
      <w:r w:rsidRPr="002E4EFB">
        <w:rPr>
          <w:rFonts w:ascii="Arial" w:hAnsi="Arial" w:cs="Arial"/>
          <w:bCs/>
          <w:color w:val="000000"/>
          <w:sz w:val="22"/>
          <w:szCs w:val="22"/>
        </w:rPr>
        <w:t>Knudtson</w:t>
      </w:r>
      <w:proofErr w:type="spellEnd"/>
      <w:r w:rsidRPr="002E4EFB">
        <w:rPr>
          <w:rFonts w:ascii="Arial" w:hAnsi="Arial" w:cs="Arial"/>
          <w:bCs/>
          <w:color w:val="000000"/>
          <w:sz w:val="22"/>
          <w:szCs w:val="22"/>
        </w:rPr>
        <w:t xml:space="preserve">, Mary </w:t>
      </w:r>
      <w:proofErr w:type="spellStart"/>
      <w:r w:rsidRPr="002E4EFB">
        <w:rPr>
          <w:rFonts w:ascii="Arial" w:hAnsi="Arial" w:cs="Arial"/>
          <w:bCs/>
          <w:color w:val="000000"/>
          <w:sz w:val="22"/>
          <w:szCs w:val="22"/>
        </w:rPr>
        <w:t>Boes</w:t>
      </w:r>
      <w:proofErr w:type="spellEnd"/>
      <w:r w:rsidRPr="002E4EFB">
        <w:rPr>
          <w:rFonts w:ascii="Arial" w:hAnsi="Arial" w:cs="Arial"/>
          <w:bCs/>
          <w:color w:val="000000"/>
          <w:sz w:val="22"/>
          <w:szCs w:val="22"/>
        </w:rPr>
        <w:t xml:space="preserve">,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39C8B0BC" w14:textId="77777777" w:rsidR="00244E36" w:rsidRPr="002E4EFB" w:rsidRDefault="00244E36" w:rsidP="002E4EFB">
      <w:pPr>
        <w:spacing w:line="480" w:lineRule="auto"/>
        <w:jc w:val="both"/>
        <w:rPr>
          <w:rFonts w:ascii="Arial" w:hAnsi="Arial" w:cs="Arial"/>
          <w:bCs/>
          <w:color w:val="000000"/>
          <w:sz w:val="22"/>
          <w:szCs w:val="22"/>
        </w:rPr>
      </w:pPr>
    </w:p>
    <w:p w14:paraId="25F8152D"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Funding</w:t>
      </w:r>
    </w:p>
    <w:p w14:paraId="45F9BAE5" w14:textId="450D5474" w:rsidR="00CB2EE0" w:rsidRPr="002E4EFB" w:rsidRDefault="00244E36" w:rsidP="002E4EFB">
      <w:pPr>
        <w:spacing w:line="480" w:lineRule="auto"/>
        <w:rPr>
          <w:rFonts w:ascii="Arial" w:hAnsi="Arial" w:cs="Arial"/>
          <w:bCs/>
          <w:sz w:val="22"/>
          <w:szCs w:val="22"/>
        </w:rPr>
      </w:pPr>
      <w:r w:rsidRPr="002E4EFB">
        <w:rPr>
          <w:rFonts w:ascii="Arial" w:hAnsi="Arial" w:cs="Arial"/>
          <w:bCs/>
          <w:sz w:val="22"/>
          <w:szCs w:val="22"/>
        </w:rPr>
        <w:t>Funding for this project was provided</w:t>
      </w:r>
      <w:r w:rsidR="007C3051">
        <w:rPr>
          <w:rFonts w:ascii="Arial" w:hAnsi="Arial" w:cs="Arial"/>
          <w:bCs/>
          <w:sz w:val="22"/>
          <w:szCs w:val="22"/>
        </w:rPr>
        <w:t xml:space="preserve"> </w:t>
      </w:r>
      <w:r w:rsidR="007C3051">
        <w:rPr>
          <w:rFonts w:ascii="Arial" w:hAnsi="Arial" w:cs="Arial"/>
          <w:bCs/>
          <w:color w:val="000000"/>
          <w:sz w:val="22"/>
          <w:szCs w:val="22"/>
        </w:rPr>
        <w:t>by</w:t>
      </w:r>
      <w:r w:rsidR="007C3051" w:rsidRPr="002E4EFB">
        <w:rPr>
          <w:rFonts w:ascii="Arial" w:hAnsi="Arial" w:cs="Arial"/>
          <w:bCs/>
          <w:color w:val="000000"/>
          <w:sz w:val="22"/>
          <w:szCs w:val="22"/>
        </w:rPr>
        <w:t xml:space="preserve"> Rock ‘N’ Ride Foundation (PI: Y.Z.)</w:t>
      </w:r>
      <w:r w:rsidR="007C3051">
        <w:rPr>
          <w:rFonts w:ascii="Arial" w:hAnsi="Arial" w:cs="Arial"/>
          <w:bCs/>
          <w:color w:val="000000"/>
          <w:sz w:val="22"/>
          <w:szCs w:val="22"/>
        </w:rPr>
        <w:t xml:space="preserve"> and </w:t>
      </w:r>
      <w:r w:rsidRPr="002E4EFB">
        <w:rPr>
          <w:rFonts w:ascii="Arial" w:hAnsi="Arial" w:cs="Arial"/>
          <w:bCs/>
          <w:sz w:val="22"/>
          <w:szCs w:val="22"/>
        </w:rPr>
        <w:t>from the National Institute of Health under the</w:t>
      </w:r>
      <w:r w:rsidRPr="002E4EFB">
        <w:rPr>
          <w:rFonts w:ascii="Arial" w:hAnsi="Arial" w:cs="Arial"/>
          <w:bCs/>
          <w:sz w:val="22"/>
          <w:szCs w:val="22"/>
        </w:rPr>
        <w:t xml:space="preserve"> </w:t>
      </w:r>
      <w:r w:rsidRPr="007C3051">
        <w:rPr>
          <w:rFonts w:ascii="Arial" w:hAnsi="Arial" w:cs="Arial"/>
          <w:bCs/>
          <w:sz w:val="22"/>
          <w:szCs w:val="22"/>
        </w:rPr>
        <w:t>R01</w:t>
      </w:r>
      <w:r w:rsidR="007C3051">
        <w:rPr>
          <w:rFonts w:ascii="Arial" w:hAnsi="Arial" w:cs="Arial"/>
          <w:bCs/>
          <w:sz w:val="22"/>
          <w:szCs w:val="22"/>
        </w:rPr>
        <w:t xml:space="preserve"> CA200673 (PI: W.Z.), R01 CA203834 (PI: W.Z.), </w:t>
      </w:r>
      <w:bookmarkStart w:id="0" w:name="_GoBack"/>
      <w:bookmarkEnd w:id="0"/>
      <w:r w:rsidRPr="002E4EFB">
        <w:rPr>
          <w:rFonts w:ascii="Arial" w:hAnsi="Arial" w:cs="Arial"/>
          <w:bCs/>
          <w:sz w:val="22"/>
          <w:szCs w:val="22"/>
        </w:rPr>
        <w:t xml:space="preserve">K08 </w:t>
      </w:r>
      <w:r w:rsidRPr="002E4EFB">
        <w:rPr>
          <w:rFonts w:ascii="Arial" w:hAnsi="Arial" w:cs="Arial"/>
          <w:bCs/>
          <w:color w:val="000000"/>
          <w:sz w:val="22"/>
          <w:szCs w:val="22"/>
        </w:rPr>
        <w:t>CA226391</w:t>
      </w:r>
      <w:r w:rsidRPr="002E4EFB">
        <w:rPr>
          <w:rFonts w:ascii="Arial" w:hAnsi="Arial" w:cs="Arial"/>
          <w:bCs/>
          <w:sz w:val="22"/>
          <w:szCs w:val="22"/>
        </w:rPr>
        <w:t xml:space="preserve"> (PI: </w:t>
      </w:r>
      <w:r w:rsidRPr="002E4EFB">
        <w:rPr>
          <w:rFonts w:ascii="Arial" w:hAnsi="Arial" w:cs="Arial"/>
          <w:bCs/>
          <w:sz w:val="22"/>
          <w:szCs w:val="22"/>
        </w:rPr>
        <w:t>R.W.J)</w:t>
      </w:r>
      <w:r w:rsidRPr="002E4EFB">
        <w:rPr>
          <w:rFonts w:ascii="Arial" w:hAnsi="Arial" w:cs="Arial"/>
          <w:bCs/>
          <w:sz w:val="22"/>
          <w:szCs w:val="22"/>
        </w:rPr>
        <w:t xml:space="preserve"> and</w:t>
      </w:r>
      <w:r w:rsidRPr="002E4EFB">
        <w:rPr>
          <w:rFonts w:ascii="Arial" w:hAnsi="Arial" w:cs="Arial"/>
          <w:bCs/>
          <w:sz w:val="22"/>
          <w:szCs w:val="22"/>
        </w:rPr>
        <w:t xml:space="preserve"> </w:t>
      </w:r>
      <w:r w:rsidRPr="002E4EFB">
        <w:rPr>
          <w:rFonts w:ascii="Arial" w:hAnsi="Arial" w:cs="Arial"/>
          <w:bCs/>
          <w:sz w:val="22"/>
          <w:szCs w:val="22"/>
        </w:rPr>
        <w:t>F30 CA206255 (PI: N.B.).</w:t>
      </w:r>
      <w:r w:rsidR="007C3051">
        <w:rPr>
          <w:rFonts w:ascii="Arial" w:hAnsi="Arial" w:cs="Arial"/>
          <w:bCs/>
          <w:sz w:val="22"/>
          <w:szCs w:val="22"/>
        </w:rPr>
        <w:t xml:space="preserve"> </w:t>
      </w:r>
      <w:r w:rsidR="00CB2EE0" w:rsidRPr="002E4EFB">
        <w:rPr>
          <w:rFonts w:ascii="Arial" w:hAnsi="Arial" w:cs="Arial"/>
          <w:bCs/>
          <w:color w:val="000000"/>
          <w:sz w:val="22"/>
          <w:szCs w:val="22"/>
        </w:rPr>
        <w:t xml:space="preserve">The flow cytometry </w:t>
      </w:r>
      <w:r w:rsidRPr="002E4EFB">
        <w:rPr>
          <w:rFonts w:ascii="Arial" w:hAnsi="Arial" w:cs="Arial"/>
          <w:bCs/>
          <w:color w:val="000000"/>
          <w:sz w:val="22"/>
          <w:szCs w:val="22"/>
        </w:rPr>
        <w:t xml:space="preserve">and sequencing </w:t>
      </w:r>
      <w:r w:rsidRPr="002E4EFB">
        <w:rPr>
          <w:rStyle w:val="Strong"/>
          <w:rFonts w:ascii="Arial" w:hAnsi="Arial" w:cs="Arial"/>
          <w:b w:val="0"/>
          <w:color w:val="000000"/>
          <w:sz w:val="22"/>
          <w:szCs w:val="22"/>
        </w:rPr>
        <w:t xml:space="preserve">facilities are funded </w:t>
      </w:r>
      <w:r w:rsidR="00CB2EE0" w:rsidRPr="002E4EFB">
        <w:rPr>
          <w:rStyle w:val="Strong"/>
          <w:rFonts w:ascii="Arial" w:hAnsi="Arial" w:cs="Arial"/>
          <w:b w:val="0"/>
          <w:color w:val="000000"/>
          <w:sz w:val="22"/>
          <w:szCs w:val="22"/>
        </w:rPr>
        <w:t xml:space="preserve">in part, by the National Cancer Institute of the National Institutes of Health under Award Number P30CA086862. The </w:t>
      </w:r>
      <w:proofErr w:type="spellStart"/>
      <w:r w:rsidR="00CB2EE0" w:rsidRPr="002E4EFB">
        <w:rPr>
          <w:rFonts w:ascii="Arial" w:hAnsi="Arial" w:cs="Arial"/>
          <w:bCs/>
          <w:color w:val="000000"/>
          <w:sz w:val="22"/>
          <w:szCs w:val="22"/>
        </w:rPr>
        <w:t>FACSAria</w:t>
      </w:r>
      <w:proofErr w:type="spellEnd"/>
      <w:r w:rsidR="00CB2EE0" w:rsidRPr="002E4EFB">
        <w:rPr>
          <w:rFonts w:ascii="Arial" w:hAnsi="Arial" w:cs="Arial"/>
          <w:bCs/>
          <w:color w:val="000000"/>
          <w:sz w:val="22"/>
          <w:szCs w:val="22"/>
        </w:rPr>
        <w:t xml:space="preserve"> Fusion high-speed cell sorter was supported with funds from </w:t>
      </w:r>
      <w:r w:rsidR="00CB2EE0" w:rsidRPr="002E4EFB">
        <w:rPr>
          <w:rStyle w:val="Strong"/>
          <w:rFonts w:ascii="Arial" w:hAnsi="Arial" w:cs="Arial"/>
          <w:b w:val="0"/>
          <w:color w:val="000000"/>
          <w:sz w:val="22"/>
          <w:szCs w:val="22"/>
        </w:rPr>
        <w:t>the National Center for Research Resources of the National Institutes of Health under Award Number 1 S10 OD016199-01A1.</w:t>
      </w:r>
      <w:r w:rsidR="00CB2EE0" w:rsidRPr="002E4EFB">
        <w:rPr>
          <w:rFonts w:ascii="Arial" w:hAnsi="Arial" w:cs="Arial"/>
          <w:bCs/>
          <w:color w:val="000000"/>
          <w:sz w:val="22"/>
          <w:szCs w:val="22"/>
        </w:rPr>
        <w:t xml:space="preserve"> The content is solely the responsibility of the authors and does not necessarily represent the official views of the National Institutes of Health. </w:t>
      </w:r>
    </w:p>
    <w:p w14:paraId="0FA19CF9" w14:textId="77777777" w:rsidR="00CB2EE0" w:rsidRPr="002E4EFB" w:rsidRDefault="00CB2EE0" w:rsidP="002E4EFB">
      <w:pPr>
        <w:spacing w:line="480" w:lineRule="auto"/>
        <w:jc w:val="both"/>
        <w:rPr>
          <w:rFonts w:ascii="Arial" w:hAnsi="Arial" w:cs="Arial"/>
          <w:bCs/>
          <w:color w:val="000000"/>
          <w:sz w:val="22"/>
          <w:szCs w:val="22"/>
        </w:rPr>
      </w:pPr>
    </w:p>
    <w:p w14:paraId="5B8F64C8" w14:textId="488D6C53" w:rsidR="002E4EFB"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Author contributions</w:t>
      </w:r>
    </w:p>
    <w:p w14:paraId="115296DA" w14:textId="66F2C450"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Conception and design:</w:t>
      </w:r>
      <w:r w:rsidRPr="002E4EFB">
        <w:rPr>
          <w:rFonts w:ascii="Arial" w:hAnsi="Arial" w:cs="Arial"/>
          <w:bCs/>
          <w:color w:val="000000"/>
          <w:sz w:val="22"/>
          <w:szCs w:val="22"/>
        </w:rPr>
        <w:t> </w:t>
      </w:r>
      <w:r w:rsidRPr="002E4EFB">
        <w:rPr>
          <w:rFonts w:ascii="Arial" w:hAnsi="Arial" w:cs="Arial"/>
          <w:bCs/>
          <w:color w:val="000000"/>
          <w:sz w:val="22"/>
          <w:szCs w:val="22"/>
        </w:rPr>
        <w:t>AV, YZ, WZ</w:t>
      </w:r>
    </w:p>
    <w:p w14:paraId="2871F40D" w14:textId="494BF884"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Development of methodology:</w:t>
      </w:r>
      <w:r w:rsidRPr="002E4EFB">
        <w:rPr>
          <w:rFonts w:ascii="Arial" w:hAnsi="Arial" w:cs="Arial"/>
          <w:bCs/>
          <w:color w:val="000000"/>
          <w:sz w:val="22"/>
          <w:szCs w:val="22"/>
        </w:rPr>
        <w:t> </w:t>
      </w:r>
      <w:r w:rsidRPr="002E4EFB">
        <w:rPr>
          <w:rFonts w:ascii="Arial" w:hAnsi="Arial" w:cs="Arial"/>
          <w:bCs/>
          <w:color w:val="000000"/>
          <w:sz w:val="22"/>
          <w:szCs w:val="22"/>
        </w:rPr>
        <w:t>AV NB WZ</w:t>
      </w:r>
    </w:p>
    <w:p w14:paraId="36AC5BCF" w14:textId="19F5D332"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Acquisition of data:</w:t>
      </w:r>
      <w:r w:rsidRPr="002E4EFB">
        <w:rPr>
          <w:rFonts w:ascii="Arial" w:hAnsi="Arial" w:cs="Arial"/>
          <w:bCs/>
          <w:color w:val="000000"/>
          <w:sz w:val="22"/>
          <w:szCs w:val="22"/>
        </w:rPr>
        <w:t> </w:t>
      </w:r>
      <w:r w:rsidRPr="002E4EFB">
        <w:rPr>
          <w:rFonts w:ascii="Arial" w:hAnsi="Arial" w:cs="Arial"/>
          <w:bCs/>
          <w:color w:val="000000"/>
          <w:sz w:val="22"/>
          <w:szCs w:val="22"/>
        </w:rPr>
        <w:t>KN, YZ, AV</w:t>
      </w:r>
    </w:p>
    <w:p w14:paraId="0D4AD9D0" w14:textId="699CD9E6"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Analysis and interpretation of data:</w:t>
      </w:r>
      <w:r w:rsidRPr="002E4EFB">
        <w:rPr>
          <w:rFonts w:ascii="Arial" w:hAnsi="Arial" w:cs="Arial"/>
          <w:bCs/>
          <w:color w:val="000000"/>
          <w:sz w:val="22"/>
          <w:szCs w:val="22"/>
        </w:rPr>
        <w:t> </w:t>
      </w:r>
      <w:r w:rsidRPr="002E4EFB">
        <w:rPr>
          <w:rFonts w:ascii="Arial" w:hAnsi="Arial" w:cs="Arial"/>
          <w:bCs/>
          <w:color w:val="000000"/>
          <w:sz w:val="22"/>
          <w:szCs w:val="22"/>
        </w:rPr>
        <w:t>NB</w:t>
      </w:r>
      <w:r>
        <w:rPr>
          <w:rFonts w:ascii="Arial" w:hAnsi="Arial" w:cs="Arial"/>
          <w:bCs/>
          <w:color w:val="000000"/>
          <w:sz w:val="22"/>
          <w:szCs w:val="22"/>
        </w:rPr>
        <w:t xml:space="preserve"> AV</w:t>
      </w:r>
      <w:r w:rsidRPr="002E4EFB">
        <w:rPr>
          <w:rFonts w:ascii="Arial" w:hAnsi="Arial" w:cs="Arial"/>
          <w:bCs/>
          <w:color w:val="000000"/>
          <w:sz w:val="22"/>
          <w:szCs w:val="22"/>
        </w:rPr>
        <w:t xml:space="preserve"> </w:t>
      </w:r>
      <w:r w:rsidRPr="002E4EFB">
        <w:rPr>
          <w:rFonts w:ascii="Arial" w:hAnsi="Arial" w:cs="Arial"/>
          <w:bCs/>
          <w:color w:val="000000"/>
          <w:sz w:val="22"/>
          <w:szCs w:val="22"/>
        </w:rPr>
        <w:t>AS RWJ WZ YZ</w:t>
      </w:r>
    </w:p>
    <w:p w14:paraId="0B92AA3A" w14:textId="75FE7757"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lastRenderedPageBreak/>
        <w:t>Writing, review, and/or revision of the manuscript:</w:t>
      </w:r>
      <w:r w:rsidRPr="002E4EFB">
        <w:rPr>
          <w:rFonts w:ascii="Arial" w:hAnsi="Arial" w:cs="Arial"/>
          <w:bCs/>
          <w:color w:val="000000"/>
          <w:sz w:val="22"/>
          <w:szCs w:val="22"/>
        </w:rPr>
        <w:t> </w:t>
      </w:r>
      <w:r w:rsidRPr="002E4EFB">
        <w:rPr>
          <w:rFonts w:ascii="Arial" w:hAnsi="Arial" w:cs="Arial"/>
          <w:bCs/>
          <w:color w:val="000000"/>
          <w:sz w:val="22"/>
          <w:szCs w:val="22"/>
        </w:rPr>
        <w:t>AV NB AS RWJ WZ YZ</w:t>
      </w:r>
    </w:p>
    <w:p w14:paraId="3E3530E1" w14:textId="7F5A620E"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Fonts w:ascii="Arial" w:hAnsi="Arial" w:cs="Arial"/>
          <w:bCs/>
          <w:color w:val="000000"/>
          <w:sz w:val="22"/>
          <w:szCs w:val="22"/>
        </w:rPr>
        <w:t>Supervision: YZ, WZ, RWJ</w:t>
      </w:r>
    </w:p>
    <w:p w14:paraId="2A0ABB8C" w14:textId="77777777" w:rsidR="00CB2EE0" w:rsidRPr="002E4EFB" w:rsidRDefault="00CB2EE0" w:rsidP="002E4EFB">
      <w:pPr>
        <w:spacing w:line="480" w:lineRule="auto"/>
        <w:jc w:val="both"/>
        <w:rPr>
          <w:rFonts w:ascii="Arial" w:hAnsi="Arial" w:cs="Arial"/>
          <w:bCs/>
          <w:color w:val="000000"/>
          <w:sz w:val="22"/>
          <w:szCs w:val="22"/>
        </w:rPr>
      </w:pPr>
    </w:p>
    <w:p w14:paraId="4BE4ED16"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Declaration of interests</w:t>
      </w:r>
    </w:p>
    <w:p w14:paraId="6BCDA515" w14:textId="1362AF1F" w:rsidR="00CB2EE0"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 xml:space="preserve">Dr. Russell W. Jenkins has a financial interest in </w:t>
      </w:r>
      <w:proofErr w:type="spellStart"/>
      <w:r w:rsidRPr="002E4EFB">
        <w:rPr>
          <w:rFonts w:ascii="Arial" w:hAnsi="Arial" w:cs="Arial"/>
          <w:bCs/>
          <w:color w:val="000000"/>
          <w:sz w:val="22"/>
          <w:szCs w:val="22"/>
        </w:rPr>
        <w:t>XSphera</w:t>
      </w:r>
      <w:proofErr w:type="spellEnd"/>
      <w:r w:rsidRPr="002E4EFB">
        <w:rPr>
          <w:rFonts w:ascii="Arial" w:hAnsi="Arial" w:cs="Arial"/>
          <w:bCs/>
          <w:color w:val="000000"/>
          <w:sz w:val="22"/>
          <w:szCs w:val="22"/>
        </w:rPr>
        <w:t xml:space="preserve">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p>
    <w:p w14:paraId="642C6506" w14:textId="77777777" w:rsidR="00CB2EE0" w:rsidRPr="002E4EFB" w:rsidRDefault="00CB2EE0" w:rsidP="002E4EFB">
      <w:pPr>
        <w:spacing w:line="480" w:lineRule="auto"/>
        <w:jc w:val="both"/>
        <w:rPr>
          <w:rFonts w:ascii="Arial" w:hAnsi="Arial" w:cs="Arial"/>
          <w:bCs/>
          <w:color w:val="000000"/>
          <w:sz w:val="22"/>
          <w:szCs w:val="22"/>
        </w:rPr>
      </w:pPr>
    </w:p>
    <w:p w14:paraId="34DCA781"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 xml:space="preserve">Data and materials availability: </w:t>
      </w:r>
    </w:p>
    <w:p w14:paraId="458140FD" w14:textId="41603B00" w:rsidR="00CB2EE0" w:rsidRDefault="00CB2EE0" w:rsidP="002E4EFB">
      <w:pPr>
        <w:spacing w:line="480" w:lineRule="auto"/>
        <w:jc w:val="both"/>
        <w:rPr>
          <w:rFonts w:ascii="Arial" w:hAnsi="Arial" w:cs="Arial"/>
          <w:bCs/>
          <w:sz w:val="22"/>
          <w:szCs w:val="22"/>
        </w:rPr>
      </w:pPr>
      <w:r w:rsidRPr="002E4EFB">
        <w:rPr>
          <w:rFonts w:ascii="Arial" w:hAnsi="Arial" w:cs="Arial"/>
          <w:bCs/>
          <w:color w:val="000000"/>
          <w:sz w:val="22"/>
          <w:szCs w:val="22"/>
        </w:rPr>
        <w:t>Quantified gene expression counts</w:t>
      </w:r>
      <w:r w:rsidR="00244E36" w:rsidRPr="002E4EFB">
        <w:rPr>
          <w:rFonts w:ascii="Arial" w:hAnsi="Arial" w:cs="Arial"/>
          <w:bCs/>
          <w:color w:val="000000"/>
          <w:sz w:val="22"/>
          <w:szCs w:val="22"/>
        </w:rPr>
        <w:t xml:space="preserve"> </w:t>
      </w:r>
      <w:r w:rsidRPr="002E4EFB">
        <w:rPr>
          <w:rFonts w:ascii="Arial" w:hAnsi="Arial" w:cs="Arial"/>
          <w:bCs/>
          <w:color w:val="000000"/>
          <w:sz w:val="22"/>
          <w:szCs w:val="22"/>
        </w:rPr>
        <w:t xml:space="preserve">and V(D)J T cell receptor sequences for single-cell RNA sequencing are available at the Gene Expression Omnibus (GEO) at </w:t>
      </w:r>
      <w:hyperlink r:id="rId9" w:history="1">
        <w:r w:rsidRPr="002E4EFB">
          <w:rPr>
            <w:rStyle w:val="Hyperlink"/>
            <w:rFonts w:ascii="Arial" w:hAnsi="Arial" w:cs="Arial"/>
            <w:bCs/>
            <w:color w:val="000000"/>
            <w:sz w:val="22"/>
            <w:szCs w:val="22"/>
          </w:rPr>
          <w:t>GSE121638</w:t>
        </w:r>
      </w:hyperlink>
      <w:r w:rsidRPr="002E4EFB">
        <w:rPr>
          <w:rFonts w:ascii="Arial" w:hAnsi="Arial" w:cs="Arial"/>
          <w:bCs/>
          <w:color w:val="000000"/>
          <w:sz w:val="22"/>
          <w:szCs w:val="22"/>
        </w:rPr>
        <w:t xml:space="preserve">. </w:t>
      </w:r>
      <w:r w:rsidR="00244E36" w:rsidRPr="002E4EFB">
        <w:rPr>
          <w:rFonts w:ascii="Arial" w:hAnsi="Arial" w:cs="Arial"/>
          <w:bCs/>
          <w:color w:val="000000"/>
          <w:sz w:val="22"/>
          <w:szCs w:val="22"/>
        </w:rPr>
        <w:t xml:space="preserve">Code for the analysis and visualizations are available at </w:t>
      </w:r>
      <w:hyperlink r:id="rId10" w:history="1">
        <w:r w:rsidR="00244E36" w:rsidRPr="002E4EFB">
          <w:rPr>
            <w:rStyle w:val="Hyperlink"/>
            <w:rFonts w:ascii="Arial" w:hAnsi="Arial" w:cs="Arial"/>
            <w:bCs/>
            <w:sz w:val="22"/>
            <w:szCs w:val="22"/>
          </w:rPr>
          <w:t>https://github.com/ncborcherding/ccRCC</w:t>
        </w:r>
      </w:hyperlink>
    </w:p>
    <w:p w14:paraId="23C43ECD" w14:textId="3AAA031C" w:rsidR="002E4EFB" w:rsidRDefault="002E4EFB" w:rsidP="002E4EFB">
      <w:pPr>
        <w:spacing w:line="480" w:lineRule="auto"/>
        <w:jc w:val="both"/>
        <w:rPr>
          <w:rFonts w:ascii="Arial" w:hAnsi="Arial" w:cs="Arial"/>
          <w:bCs/>
          <w:sz w:val="22"/>
          <w:szCs w:val="22"/>
        </w:rPr>
      </w:pPr>
    </w:p>
    <w:p w14:paraId="27460B56" w14:textId="017FFAF3" w:rsidR="002E4EFB" w:rsidRPr="002E4EFB" w:rsidRDefault="002E4EFB" w:rsidP="002E4EFB">
      <w:pPr>
        <w:spacing w:line="480" w:lineRule="auto"/>
        <w:jc w:val="both"/>
        <w:rPr>
          <w:rFonts w:ascii="Arial" w:hAnsi="Arial" w:cs="Arial"/>
          <w:b/>
          <w:sz w:val="22"/>
          <w:szCs w:val="22"/>
        </w:rPr>
      </w:pPr>
      <w:r w:rsidRPr="002E4EFB">
        <w:rPr>
          <w:rFonts w:ascii="Arial" w:hAnsi="Arial" w:cs="Arial"/>
          <w:b/>
          <w:sz w:val="22"/>
          <w:szCs w:val="22"/>
        </w:rPr>
        <w:t>References</w:t>
      </w:r>
    </w:p>
    <w:p w14:paraId="482D5466" w14:textId="4CC6B84B"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Pr>
          <w:rFonts w:ascii="Arial" w:hAnsi="Arial" w:cs="Arial"/>
          <w:bCs/>
          <w:color w:val="000000"/>
          <w:sz w:val="22"/>
          <w:szCs w:val="22"/>
        </w:rPr>
        <w:fldChar w:fldCharType="begin" w:fldLock="1"/>
      </w:r>
      <w:r>
        <w:rPr>
          <w:rFonts w:ascii="Arial" w:hAnsi="Arial" w:cs="Arial"/>
          <w:bCs/>
          <w:color w:val="000000"/>
          <w:sz w:val="22"/>
          <w:szCs w:val="22"/>
        </w:rPr>
        <w:instrText xml:space="preserve">ADDIN Mendeley Bibliography CSL_BIBLIOGRAPHY </w:instrText>
      </w:r>
      <w:r>
        <w:rPr>
          <w:rFonts w:ascii="Arial" w:hAnsi="Arial" w:cs="Arial"/>
          <w:bCs/>
          <w:color w:val="000000"/>
          <w:sz w:val="22"/>
          <w:szCs w:val="22"/>
        </w:rPr>
        <w:fldChar w:fldCharType="separate"/>
      </w:r>
      <w:r w:rsidRPr="002E4EFB">
        <w:rPr>
          <w:rFonts w:ascii="Arial" w:hAnsi="Arial" w:cs="Arial"/>
          <w:noProof/>
          <w:sz w:val="22"/>
        </w:rPr>
        <w:t xml:space="preserve">1. </w:t>
      </w:r>
      <w:r w:rsidRPr="002E4EFB">
        <w:rPr>
          <w:rFonts w:ascii="Arial" w:hAnsi="Arial" w:cs="Arial"/>
          <w:noProof/>
          <w:sz w:val="22"/>
        </w:rPr>
        <w:tab/>
        <w:t xml:space="preserve">Saad AM, Gad MM, Al-Husseini MJ, Ruhban IA, Sonbol MB, Ho TH. Trends in Renal-Cell Carcinoma Incidence and Mortality in the United States in the Last 2 Decades: A SEER-Based Study. </w:t>
      </w:r>
      <w:r w:rsidRPr="002E4EFB">
        <w:rPr>
          <w:rFonts w:ascii="Arial" w:hAnsi="Arial" w:cs="Arial"/>
          <w:i/>
          <w:iCs/>
          <w:noProof/>
          <w:sz w:val="22"/>
        </w:rPr>
        <w:t>Clin Genitourin Cancer</w:t>
      </w:r>
      <w:r w:rsidRPr="002E4EFB">
        <w:rPr>
          <w:rFonts w:ascii="Arial" w:hAnsi="Arial" w:cs="Arial"/>
          <w:noProof/>
          <w:sz w:val="22"/>
        </w:rPr>
        <w:t xml:space="preserve"> (2019) </w:t>
      </w:r>
      <w:r w:rsidRPr="002E4EFB">
        <w:rPr>
          <w:rFonts w:ascii="Arial" w:hAnsi="Arial" w:cs="Arial"/>
          <w:b/>
          <w:bCs/>
          <w:noProof/>
          <w:sz w:val="22"/>
        </w:rPr>
        <w:t>17</w:t>
      </w:r>
      <w:r w:rsidRPr="002E4EFB">
        <w:rPr>
          <w:rFonts w:ascii="Arial" w:hAnsi="Arial" w:cs="Arial"/>
          <w:noProof/>
          <w:sz w:val="22"/>
        </w:rPr>
        <w:t>:46–75. doi:10.1016/j.clgc.2018.10.002</w:t>
      </w:r>
    </w:p>
    <w:p w14:paraId="0E0BB37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 </w:t>
      </w:r>
      <w:r w:rsidRPr="002E4EFB">
        <w:rPr>
          <w:rFonts w:ascii="Arial" w:hAnsi="Arial" w:cs="Arial"/>
          <w:noProof/>
          <w:sz w:val="22"/>
        </w:rPr>
        <w:tab/>
        <w:t xml:space="preserve">Koneru R, Hotte SJ. Role of cytokine therapy for renal cell carcinoma in the era of targeted agents. </w:t>
      </w:r>
      <w:r w:rsidRPr="002E4EFB">
        <w:rPr>
          <w:rFonts w:ascii="Arial" w:hAnsi="Arial" w:cs="Arial"/>
          <w:i/>
          <w:iCs/>
          <w:noProof/>
          <w:sz w:val="22"/>
        </w:rPr>
        <w:t>Curr Oncol</w:t>
      </w:r>
      <w:r w:rsidRPr="002E4EFB">
        <w:rPr>
          <w:rFonts w:ascii="Arial" w:hAnsi="Arial" w:cs="Arial"/>
          <w:noProof/>
          <w:sz w:val="22"/>
        </w:rPr>
        <w:t xml:space="preserve"> (2009) </w:t>
      </w:r>
      <w:r w:rsidRPr="002E4EFB">
        <w:rPr>
          <w:rFonts w:ascii="Arial" w:hAnsi="Arial" w:cs="Arial"/>
          <w:b/>
          <w:bCs/>
          <w:noProof/>
          <w:sz w:val="22"/>
        </w:rPr>
        <w:t>16</w:t>
      </w:r>
      <w:r w:rsidRPr="002E4EFB">
        <w:rPr>
          <w:rFonts w:ascii="Arial" w:hAnsi="Arial" w:cs="Arial"/>
          <w:noProof/>
          <w:sz w:val="22"/>
        </w:rPr>
        <w:t>:S40.</w:t>
      </w:r>
    </w:p>
    <w:p w14:paraId="71F15B2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 </w:t>
      </w:r>
      <w:r w:rsidRPr="002E4EFB">
        <w:rPr>
          <w:rFonts w:ascii="Arial" w:hAnsi="Arial" w:cs="Arial"/>
          <w:noProof/>
          <w:sz w:val="22"/>
        </w:rPr>
        <w:tab/>
        <w:t xml:space="preserve">Motzer RJ, Penkov K, Haanen J, Rini B, Albiges L, Campbell MT, Venugopal B, Kollmannsberger C, Negrier S, Uemura M, et al. Avelumab plus axitinib versus sunitinib for advanced renal-cell carcinoma. </w:t>
      </w:r>
      <w:r w:rsidRPr="002E4EFB">
        <w:rPr>
          <w:rFonts w:ascii="Arial" w:hAnsi="Arial" w:cs="Arial"/>
          <w:i/>
          <w:iCs/>
          <w:noProof/>
          <w:sz w:val="22"/>
        </w:rPr>
        <w:t>N Engl J Med</w:t>
      </w:r>
      <w:r w:rsidRPr="002E4EFB">
        <w:rPr>
          <w:rFonts w:ascii="Arial" w:hAnsi="Arial" w:cs="Arial"/>
          <w:noProof/>
          <w:sz w:val="22"/>
        </w:rPr>
        <w:t xml:space="preserve"> (2019) </w:t>
      </w:r>
      <w:r w:rsidRPr="002E4EFB">
        <w:rPr>
          <w:rFonts w:ascii="Arial" w:hAnsi="Arial" w:cs="Arial"/>
          <w:b/>
          <w:bCs/>
          <w:noProof/>
          <w:sz w:val="22"/>
        </w:rPr>
        <w:t>380</w:t>
      </w:r>
      <w:r w:rsidRPr="002E4EFB">
        <w:rPr>
          <w:rFonts w:ascii="Arial" w:hAnsi="Arial" w:cs="Arial"/>
          <w:noProof/>
          <w:sz w:val="22"/>
        </w:rPr>
        <w:t>:1103–1115. doi:10.1056/NEJMoa1816047</w:t>
      </w:r>
    </w:p>
    <w:p w14:paraId="5342254E"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4. </w:t>
      </w:r>
      <w:r w:rsidRPr="002E4EFB">
        <w:rPr>
          <w:rFonts w:ascii="Arial" w:hAnsi="Arial" w:cs="Arial"/>
          <w:noProof/>
          <w:sz w:val="22"/>
        </w:rPr>
        <w:tab/>
        <w:t xml:space="preserve">Dudani S, Graham J, Wells C, Pal SK, Dizman N, Donskov F, Bjarnason GA, Hansen </w:t>
      </w:r>
      <w:r w:rsidRPr="002E4EFB">
        <w:rPr>
          <w:rFonts w:ascii="Arial" w:hAnsi="Arial" w:cs="Arial"/>
          <w:noProof/>
          <w:sz w:val="22"/>
        </w:rPr>
        <w:lastRenderedPageBreak/>
        <w:t xml:space="preserve">AR, Iafolla MAJ, Vaishampayan UN. First-line (1L) immuno-oncology (IO) combination therapies in metastatic renal cell carcinoma (mRCC): Preliminary results from the International Metastatic Renal Cell Carcinoma Database Consortium (IMDC). </w:t>
      </w:r>
      <w:r w:rsidRPr="002E4EFB">
        <w:rPr>
          <w:rFonts w:ascii="Arial" w:hAnsi="Arial" w:cs="Arial"/>
          <w:i/>
          <w:iCs/>
          <w:noProof/>
          <w:sz w:val="22"/>
        </w:rPr>
        <w:t>J Clin Oncol</w:t>
      </w:r>
      <w:r w:rsidRPr="002E4EFB">
        <w:rPr>
          <w:rFonts w:ascii="Arial" w:hAnsi="Arial" w:cs="Arial"/>
          <w:noProof/>
          <w:sz w:val="22"/>
        </w:rPr>
        <w:t xml:space="preserve"> (2019) </w:t>
      </w:r>
      <w:r w:rsidRPr="002E4EFB">
        <w:rPr>
          <w:rFonts w:ascii="Arial" w:hAnsi="Arial" w:cs="Arial"/>
          <w:b/>
          <w:bCs/>
          <w:noProof/>
          <w:sz w:val="22"/>
        </w:rPr>
        <w:t>37</w:t>
      </w:r>
      <w:r w:rsidRPr="002E4EFB">
        <w:rPr>
          <w:rFonts w:ascii="Arial" w:hAnsi="Arial" w:cs="Arial"/>
          <w:noProof/>
          <w:sz w:val="22"/>
        </w:rPr>
        <w:t>:584–584.</w:t>
      </w:r>
    </w:p>
    <w:p w14:paraId="2B9E0837"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5. </w:t>
      </w:r>
      <w:r w:rsidRPr="002E4EFB">
        <w:rPr>
          <w:rFonts w:ascii="Arial" w:hAnsi="Arial" w:cs="Arial"/>
          <w:noProof/>
          <w:sz w:val="22"/>
        </w:rPr>
        <w:tab/>
        <w:t xml:space="preserve">Sharma P, Allison JP. Immune checkpoint targeting in cancer therapy: Toward combination strategies with curative potential. </w:t>
      </w:r>
      <w:r w:rsidRPr="002E4EFB">
        <w:rPr>
          <w:rFonts w:ascii="Arial" w:hAnsi="Arial" w:cs="Arial"/>
          <w:i/>
          <w:iCs/>
          <w:noProof/>
          <w:sz w:val="22"/>
        </w:rPr>
        <w:t>Cell</w:t>
      </w:r>
      <w:r w:rsidRPr="002E4EFB">
        <w:rPr>
          <w:rFonts w:ascii="Arial" w:hAnsi="Arial" w:cs="Arial"/>
          <w:noProof/>
          <w:sz w:val="22"/>
        </w:rPr>
        <w:t xml:space="preserve"> (2015) doi:10.1016/j.cell.2015.03.030</w:t>
      </w:r>
    </w:p>
    <w:p w14:paraId="68ADE884"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6. </w:t>
      </w:r>
      <w:r w:rsidRPr="002E4EFB">
        <w:rPr>
          <w:rFonts w:ascii="Arial" w:hAnsi="Arial" w:cs="Arial"/>
          <w:noProof/>
          <w:sz w:val="22"/>
        </w:rPr>
        <w:tab/>
        <w:t xml:space="preserve">Giraldo NA, Becht E, Pagès F, Skliris G, Verkarre V, Vano Y, Mejean A, Saint-Aubert N, Lacroix L, Natario I, et al. Orchestration and prognostic significance of immune checkpoints in the microenvironment of primary and metastatic renal cell cancer. </w:t>
      </w:r>
      <w:r w:rsidRPr="002E4EFB">
        <w:rPr>
          <w:rFonts w:ascii="Arial" w:hAnsi="Arial" w:cs="Arial"/>
          <w:i/>
          <w:iCs/>
          <w:noProof/>
          <w:sz w:val="22"/>
        </w:rPr>
        <w:t>Clin Cancer Res</w:t>
      </w:r>
      <w:r w:rsidRPr="002E4EFB">
        <w:rPr>
          <w:rFonts w:ascii="Arial" w:hAnsi="Arial" w:cs="Arial"/>
          <w:noProof/>
          <w:sz w:val="22"/>
        </w:rPr>
        <w:t xml:space="preserve"> (2015) doi:10.1158/1078-0432.CCR-14-2926</w:t>
      </w:r>
    </w:p>
    <w:p w14:paraId="72BDF52E"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7. </w:t>
      </w:r>
      <w:r w:rsidRPr="002E4EFB">
        <w:rPr>
          <w:rFonts w:ascii="Arial" w:hAnsi="Arial" w:cs="Arial"/>
          <w:noProof/>
          <w:sz w:val="22"/>
        </w:rPr>
        <w:tab/>
        <w:t xml:space="preserve">Tumeh PC, Harview CL, Yearley JH, Shintaku IP, Taylor EJM, Robert L, Chmielowski B, Spasic M, Henry G, Ciobanu V, et al. PD-1 blockade induces responses by inhibiting adaptive immune resistance. </w:t>
      </w:r>
      <w:r w:rsidRPr="002E4EFB">
        <w:rPr>
          <w:rFonts w:ascii="Arial" w:hAnsi="Arial" w:cs="Arial"/>
          <w:i/>
          <w:iCs/>
          <w:noProof/>
          <w:sz w:val="22"/>
        </w:rPr>
        <w:t>Nature</w:t>
      </w:r>
      <w:r w:rsidRPr="002E4EFB">
        <w:rPr>
          <w:rFonts w:ascii="Arial" w:hAnsi="Arial" w:cs="Arial"/>
          <w:noProof/>
          <w:sz w:val="22"/>
        </w:rPr>
        <w:t xml:space="preserve"> (2014) doi:10.1038/nature13954</w:t>
      </w:r>
    </w:p>
    <w:p w14:paraId="7C73CEC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8. </w:t>
      </w:r>
      <w:r w:rsidRPr="002E4EFB">
        <w:rPr>
          <w:rFonts w:ascii="Arial" w:hAnsi="Arial" w:cs="Arial"/>
          <w:noProof/>
          <w:sz w:val="22"/>
        </w:rPr>
        <w:tab/>
        <w:t xml:space="preserve">Galon J, Fox BA, Bifulco CB, Masucci G, Rau T, Botti G, Marincola FM, Ciliberto G, Pages F, Ascierto PA, et al. Immunoscore and Immunoprofiling in cancer: An update from the melanoma and immunotherapy bridge 2015. </w:t>
      </w:r>
      <w:r w:rsidRPr="002E4EFB">
        <w:rPr>
          <w:rFonts w:ascii="Arial" w:hAnsi="Arial" w:cs="Arial"/>
          <w:i/>
          <w:iCs/>
          <w:noProof/>
          <w:sz w:val="22"/>
        </w:rPr>
        <w:t>J Transl Med</w:t>
      </w:r>
      <w:r w:rsidRPr="002E4EFB">
        <w:rPr>
          <w:rFonts w:ascii="Arial" w:hAnsi="Arial" w:cs="Arial"/>
          <w:noProof/>
          <w:sz w:val="22"/>
        </w:rPr>
        <w:t xml:space="preserve"> (2016) doi:10.1186/s12967-016-1029-z</w:t>
      </w:r>
    </w:p>
    <w:p w14:paraId="01CFDBC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9. </w:t>
      </w:r>
      <w:r w:rsidRPr="002E4EFB">
        <w:rPr>
          <w:rFonts w:ascii="Arial" w:hAnsi="Arial" w:cs="Arial"/>
          <w:noProof/>
          <w:sz w:val="22"/>
        </w:rPr>
        <w:tab/>
        <w:t xml:space="preserve">Ziai J, Gilbert HN, Foreman O, Eastham-Anderson J, Chu F, Huseni M, Kim JM. CD8+ T cell infiltration in breast and colon cancer: A histologic and statistical analysis. </w:t>
      </w:r>
      <w:r w:rsidRPr="002E4EFB">
        <w:rPr>
          <w:rFonts w:ascii="Arial" w:hAnsi="Arial" w:cs="Arial"/>
          <w:i/>
          <w:iCs/>
          <w:noProof/>
          <w:sz w:val="22"/>
        </w:rPr>
        <w:t>PLoS One</w:t>
      </w:r>
      <w:r w:rsidRPr="002E4EFB">
        <w:rPr>
          <w:rFonts w:ascii="Arial" w:hAnsi="Arial" w:cs="Arial"/>
          <w:noProof/>
          <w:sz w:val="22"/>
        </w:rPr>
        <w:t xml:space="preserve"> (2018) doi:10.1371/journal.pone.0190158</w:t>
      </w:r>
    </w:p>
    <w:p w14:paraId="1E2FC334"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10. </w:t>
      </w:r>
      <w:r w:rsidRPr="002E4EFB">
        <w:rPr>
          <w:rFonts w:ascii="Arial" w:hAnsi="Arial" w:cs="Arial"/>
          <w:noProof/>
          <w:sz w:val="22"/>
        </w:rPr>
        <w:tab/>
        <w:t xml:space="preserve">Shimizu S, Hiratsuka H, Koike K, Tsuchihashi K, Sonoda T, Ogi K, Miyakawa A, Kobayashi J, Kaneko T, Igarashi T, et al. Tumor-infiltrating CD8+ T-cell density is an independent prognostic marker for oral squamous cell carcinoma. </w:t>
      </w:r>
      <w:r w:rsidRPr="002E4EFB">
        <w:rPr>
          <w:rFonts w:ascii="Arial" w:hAnsi="Arial" w:cs="Arial"/>
          <w:i/>
          <w:iCs/>
          <w:noProof/>
          <w:sz w:val="22"/>
        </w:rPr>
        <w:t>Cancer Med</w:t>
      </w:r>
      <w:r w:rsidRPr="002E4EFB">
        <w:rPr>
          <w:rFonts w:ascii="Arial" w:hAnsi="Arial" w:cs="Arial"/>
          <w:noProof/>
          <w:sz w:val="22"/>
        </w:rPr>
        <w:t xml:space="preserve"> (2019) doi:10.1002/cam4.1889</w:t>
      </w:r>
    </w:p>
    <w:p w14:paraId="29606E2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11. </w:t>
      </w:r>
      <w:r w:rsidRPr="002E4EFB">
        <w:rPr>
          <w:rFonts w:ascii="Arial" w:hAnsi="Arial" w:cs="Arial"/>
          <w:noProof/>
          <w:sz w:val="22"/>
        </w:rPr>
        <w:tab/>
        <w:t xml:space="preserve">Patel HD, Puligandla M, Shuch BM, Leibovich BC, Kapoor A, Master VA, Drake CG, Heng DYC, Lara PN, Choueiri TK, et al. The future of perioperative therapy in advanced </w:t>
      </w:r>
      <w:r w:rsidRPr="002E4EFB">
        <w:rPr>
          <w:rFonts w:ascii="Arial" w:hAnsi="Arial" w:cs="Arial"/>
          <w:noProof/>
          <w:sz w:val="22"/>
        </w:rPr>
        <w:lastRenderedPageBreak/>
        <w:t xml:space="preserve">renal cell carcinoma: How can we PROSPER? </w:t>
      </w:r>
      <w:r w:rsidRPr="002E4EFB">
        <w:rPr>
          <w:rFonts w:ascii="Arial" w:hAnsi="Arial" w:cs="Arial"/>
          <w:i/>
          <w:iCs/>
          <w:noProof/>
          <w:sz w:val="22"/>
        </w:rPr>
        <w:t>Futur Oncol</w:t>
      </w:r>
      <w:r w:rsidRPr="002E4EFB">
        <w:rPr>
          <w:rFonts w:ascii="Arial" w:hAnsi="Arial" w:cs="Arial"/>
          <w:noProof/>
          <w:sz w:val="22"/>
        </w:rPr>
        <w:t xml:space="preserve"> (2019) doi:10.2217/fon-2018-0951</w:t>
      </w:r>
    </w:p>
    <w:p w14:paraId="736F550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12. </w:t>
      </w:r>
      <w:r w:rsidRPr="002E4EFB">
        <w:rPr>
          <w:rFonts w:ascii="Arial" w:hAnsi="Arial" w:cs="Arial"/>
          <w:noProof/>
          <w:sz w:val="22"/>
        </w:rPr>
        <w:tab/>
        <w:t xml:space="preserve">Nakano O, Naito Y, Nagura H, Ohtani H, Nakano O, Sato M, Suzuki K, Orikasa S, Aizawa M, Suzuki Y, et al. Proliferative activity of intratumoral CD8+ T-lymphocytes as a prognostic factor in human renal cell carcinoma: Clinicopathologic demonstration of antitumor immunity. </w:t>
      </w:r>
      <w:r w:rsidRPr="002E4EFB">
        <w:rPr>
          <w:rFonts w:ascii="Arial" w:hAnsi="Arial" w:cs="Arial"/>
          <w:i/>
          <w:iCs/>
          <w:noProof/>
          <w:sz w:val="22"/>
        </w:rPr>
        <w:t>Cancer Res</w:t>
      </w:r>
      <w:r w:rsidRPr="002E4EFB">
        <w:rPr>
          <w:rFonts w:ascii="Arial" w:hAnsi="Arial" w:cs="Arial"/>
          <w:noProof/>
          <w:sz w:val="22"/>
        </w:rPr>
        <w:t xml:space="preserve"> (2001)</w:t>
      </w:r>
    </w:p>
    <w:p w14:paraId="111D5BCA"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13. </w:t>
      </w:r>
      <w:r w:rsidRPr="002E4EFB">
        <w:rPr>
          <w:rFonts w:ascii="Arial" w:hAnsi="Arial" w:cs="Arial"/>
          <w:noProof/>
          <w:sz w:val="22"/>
        </w:rPr>
        <w:tab/>
        <w:t xml:space="preserve">Baine MK, Turcu G, Zito CR, Adeniran AJ, Camp RL, Chen L, Kluger HM, Jilaveanu LB. Characterization of tumor infiltrating lymphocytes in paired primary and metastatic renal cell carcinoma specimens. </w:t>
      </w:r>
      <w:r w:rsidRPr="002E4EFB">
        <w:rPr>
          <w:rFonts w:ascii="Arial" w:hAnsi="Arial" w:cs="Arial"/>
          <w:i/>
          <w:iCs/>
          <w:noProof/>
          <w:sz w:val="22"/>
        </w:rPr>
        <w:t>Oncotarget</w:t>
      </w:r>
      <w:r w:rsidRPr="002E4EFB">
        <w:rPr>
          <w:rFonts w:ascii="Arial" w:hAnsi="Arial" w:cs="Arial"/>
          <w:noProof/>
          <w:sz w:val="22"/>
        </w:rPr>
        <w:t xml:space="preserve"> (2015) doi:10.18632/oncotarget.4572</w:t>
      </w:r>
    </w:p>
    <w:p w14:paraId="2E57061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14. </w:t>
      </w:r>
      <w:r w:rsidRPr="002E4EFB">
        <w:rPr>
          <w:rFonts w:ascii="Arial" w:hAnsi="Arial" w:cs="Arial"/>
          <w:noProof/>
          <w:sz w:val="22"/>
        </w:rPr>
        <w:tab/>
        <w:t xml:space="preserve">Choueiri TK, Albiges L, Haanen JBAG, Larkin JMG, Uemura M, Pal SK, Gravis G, Campbell MT, Penkov K, Lee J-L, et al. Biomarker analyses from JAVELIN Renal 101: Avelumab + axitinib (A+Ax) versus sunitinib (S) in advanced renal cell carcinoma (aRCC). </w:t>
      </w:r>
      <w:r w:rsidRPr="002E4EFB">
        <w:rPr>
          <w:rFonts w:ascii="Arial" w:hAnsi="Arial" w:cs="Arial"/>
          <w:i/>
          <w:iCs/>
          <w:noProof/>
          <w:sz w:val="22"/>
        </w:rPr>
        <w:t>J Clin Oncol</w:t>
      </w:r>
      <w:r w:rsidRPr="002E4EFB">
        <w:rPr>
          <w:rFonts w:ascii="Arial" w:hAnsi="Arial" w:cs="Arial"/>
          <w:noProof/>
          <w:sz w:val="22"/>
        </w:rPr>
        <w:t xml:space="preserve"> (2019) doi:10.1200/jco.2019.37.15_suppl.101</w:t>
      </w:r>
    </w:p>
    <w:p w14:paraId="5B9057B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15. </w:t>
      </w:r>
      <w:r w:rsidRPr="002E4EFB">
        <w:rPr>
          <w:rFonts w:ascii="Arial" w:hAnsi="Arial" w:cs="Arial"/>
          <w:noProof/>
          <w:sz w:val="22"/>
        </w:rPr>
        <w:tab/>
        <w:t xml:space="preserve">Choueiri TK, Larkin J, Oya M, Thistlethwaite F, Martignoni M, Nathan P, Powles T, McDermott D, Robbins PB, Chism DD, et al. Preliminary results for avelumab plus axitinib as first-line therapy in patients with advanced clear-cell renal-cell carcinoma (JAVELIN Renal 100): an open-label, dose-finding and dose-expansion, phase 1b trial. </w:t>
      </w:r>
      <w:r w:rsidRPr="002E4EFB">
        <w:rPr>
          <w:rFonts w:ascii="Arial" w:hAnsi="Arial" w:cs="Arial"/>
          <w:i/>
          <w:iCs/>
          <w:noProof/>
          <w:sz w:val="22"/>
        </w:rPr>
        <w:t>Lancet Oncol</w:t>
      </w:r>
      <w:r w:rsidRPr="002E4EFB">
        <w:rPr>
          <w:rFonts w:ascii="Arial" w:hAnsi="Arial" w:cs="Arial"/>
          <w:noProof/>
          <w:sz w:val="22"/>
        </w:rPr>
        <w:t xml:space="preserve"> (2018) doi:10.1016/S1470-2045(18)30107-4</w:t>
      </w:r>
    </w:p>
    <w:p w14:paraId="4B81373B"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16. </w:t>
      </w:r>
      <w:r w:rsidRPr="002E4EFB">
        <w:rPr>
          <w:rFonts w:ascii="Arial" w:hAnsi="Arial" w:cs="Arial"/>
          <w:noProof/>
          <w:sz w:val="22"/>
        </w:rPr>
        <w:tab/>
        <w:t xml:space="preserve">Chevrier S, Levine JH, Zanotelli VRT, Silina K, Schulz D, Bacac M, Ries CH, Ailles L, Jewett MAS, Moch H, et al. An Immune Atlas of Clear Cell Renal Cell Carcinoma. </w:t>
      </w:r>
      <w:r w:rsidRPr="002E4EFB">
        <w:rPr>
          <w:rFonts w:ascii="Arial" w:hAnsi="Arial" w:cs="Arial"/>
          <w:i/>
          <w:iCs/>
          <w:noProof/>
          <w:sz w:val="22"/>
        </w:rPr>
        <w:t>Cell</w:t>
      </w:r>
      <w:r w:rsidRPr="002E4EFB">
        <w:rPr>
          <w:rFonts w:ascii="Arial" w:hAnsi="Arial" w:cs="Arial"/>
          <w:noProof/>
          <w:sz w:val="22"/>
        </w:rPr>
        <w:t xml:space="preserve"> (2017) doi:10.1016/j.cell.2017.04.016</w:t>
      </w:r>
    </w:p>
    <w:p w14:paraId="3730BE08"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17. </w:t>
      </w:r>
      <w:r w:rsidRPr="002E4EFB">
        <w:rPr>
          <w:rFonts w:ascii="Arial" w:hAnsi="Arial" w:cs="Arial"/>
          <w:noProof/>
          <w:sz w:val="22"/>
        </w:rPr>
        <w:tab/>
        <w:t xml:space="preserve">Creighton CJ, Morgan M, Gunaratne PH, Wheeler DA, Gibbs RA, Robertson G, Chu A, Beroukhim R, Cibulskis K, Signoretti S, et al. Comprehensivemolecular characterization of clear cell renal cell carcinoma. </w:t>
      </w:r>
      <w:r w:rsidRPr="002E4EFB">
        <w:rPr>
          <w:rFonts w:ascii="Arial" w:hAnsi="Arial" w:cs="Arial"/>
          <w:i/>
          <w:iCs/>
          <w:noProof/>
          <w:sz w:val="22"/>
        </w:rPr>
        <w:t>Nature</w:t>
      </w:r>
      <w:r w:rsidRPr="002E4EFB">
        <w:rPr>
          <w:rFonts w:ascii="Arial" w:hAnsi="Arial" w:cs="Arial"/>
          <w:noProof/>
          <w:sz w:val="22"/>
        </w:rPr>
        <w:t xml:space="preserve"> (2013) doi:10.1038/nature12222</w:t>
      </w:r>
    </w:p>
    <w:p w14:paraId="63F70C7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18. </w:t>
      </w:r>
      <w:r w:rsidRPr="002E4EFB">
        <w:rPr>
          <w:rFonts w:ascii="Arial" w:hAnsi="Arial" w:cs="Arial"/>
          <w:noProof/>
          <w:sz w:val="22"/>
        </w:rPr>
        <w:tab/>
        <w:t xml:space="preserve">Van Den Heuvel CNAM, Van Ewijk A, Zeelen C, De Bitter T, Huynen M, Mulders P, Oosterwijk E, Leenders WPJ. Molecular profiling of druggable targets in clear cell renal </w:t>
      </w:r>
      <w:r w:rsidRPr="002E4EFB">
        <w:rPr>
          <w:rFonts w:ascii="Arial" w:hAnsi="Arial" w:cs="Arial"/>
          <w:noProof/>
          <w:sz w:val="22"/>
        </w:rPr>
        <w:lastRenderedPageBreak/>
        <w:t xml:space="preserve">cell carcinoma through targeted RNA sequencing. </w:t>
      </w:r>
      <w:r w:rsidRPr="002E4EFB">
        <w:rPr>
          <w:rFonts w:ascii="Arial" w:hAnsi="Arial" w:cs="Arial"/>
          <w:i/>
          <w:iCs/>
          <w:noProof/>
          <w:sz w:val="22"/>
        </w:rPr>
        <w:t>Front Oncol</w:t>
      </w:r>
      <w:r w:rsidRPr="002E4EFB">
        <w:rPr>
          <w:rFonts w:ascii="Arial" w:hAnsi="Arial" w:cs="Arial"/>
          <w:noProof/>
          <w:sz w:val="22"/>
        </w:rPr>
        <w:t xml:space="preserve"> (2019) doi:10.3389/fonc.2019.00117</w:t>
      </w:r>
    </w:p>
    <w:p w14:paraId="17A585E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19. </w:t>
      </w:r>
      <w:r w:rsidRPr="002E4EFB">
        <w:rPr>
          <w:rFonts w:ascii="Arial" w:hAnsi="Arial" w:cs="Arial"/>
          <w:noProof/>
          <w:sz w:val="22"/>
        </w:rPr>
        <w:tab/>
        <w:t xml:space="preserve">Savas P, Virassamy B, Ye C, Salim A, Mintoff CP, Caramia F, Salgado R, Byrne DJ, Teo ZL, Dushyanthen S, et al. Single-cell profiling of breast cancer T cells reveals a tissue-resident memory subset associated with improved prognosis. </w:t>
      </w:r>
      <w:r w:rsidRPr="002E4EFB">
        <w:rPr>
          <w:rFonts w:ascii="Arial" w:hAnsi="Arial" w:cs="Arial"/>
          <w:i/>
          <w:iCs/>
          <w:noProof/>
          <w:sz w:val="22"/>
        </w:rPr>
        <w:t>Nat Med</w:t>
      </w:r>
      <w:r w:rsidRPr="002E4EFB">
        <w:rPr>
          <w:rFonts w:ascii="Arial" w:hAnsi="Arial" w:cs="Arial"/>
          <w:noProof/>
          <w:sz w:val="22"/>
        </w:rPr>
        <w:t xml:space="preserve"> (2018) doi:10.1038/s41591-018-0078-7</w:t>
      </w:r>
    </w:p>
    <w:p w14:paraId="440F8906"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20. </w:t>
      </w:r>
      <w:r w:rsidRPr="002E4EFB">
        <w:rPr>
          <w:rFonts w:ascii="Arial" w:hAnsi="Arial" w:cs="Arial"/>
          <w:noProof/>
          <w:sz w:val="22"/>
        </w:rPr>
        <w:tab/>
        <w:t xml:space="preserve">Sade-Feldman M, Yizhak K, Bjorgaard SL, Ray JP, de Boer CG, Jenkins RW, Lieb DJ, Chen JH, Frederick DT, Barzily-Rokni M, et al. Defining T Cell States Associated with Response to Checkpoint Immunotherapy in Melanoma. </w:t>
      </w:r>
      <w:r w:rsidRPr="002E4EFB">
        <w:rPr>
          <w:rFonts w:ascii="Arial" w:hAnsi="Arial" w:cs="Arial"/>
          <w:i/>
          <w:iCs/>
          <w:noProof/>
          <w:sz w:val="22"/>
        </w:rPr>
        <w:t>Cell</w:t>
      </w:r>
      <w:r w:rsidRPr="002E4EFB">
        <w:rPr>
          <w:rFonts w:ascii="Arial" w:hAnsi="Arial" w:cs="Arial"/>
          <w:noProof/>
          <w:sz w:val="22"/>
        </w:rPr>
        <w:t xml:space="preserve"> (2018) doi:10.1016/j.cell.2018.10.038</w:t>
      </w:r>
    </w:p>
    <w:p w14:paraId="2308804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21. </w:t>
      </w:r>
      <w:r w:rsidRPr="002E4EFB">
        <w:rPr>
          <w:rFonts w:ascii="Arial" w:hAnsi="Arial" w:cs="Arial"/>
          <w:noProof/>
          <w:sz w:val="22"/>
        </w:rPr>
        <w:tab/>
        <w:t xml:space="preserve">Geissler K, Fornara P, Lautenschläger C, Holzhausen HJ, Seliger B, Riemann D. Immune signature of tumor infiltrating immune cells in renal cancer. </w:t>
      </w:r>
      <w:r w:rsidRPr="002E4EFB">
        <w:rPr>
          <w:rFonts w:ascii="Arial" w:hAnsi="Arial" w:cs="Arial"/>
          <w:i/>
          <w:iCs/>
          <w:noProof/>
          <w:sz w:val="22"/>
        </w:rPr>
        <w:t>Oncoimmunology</w:t>
      </w:r>
      <w:r w:rsidRPr="002E4EFB">
        <w:rPr>
          <w:rFonts w:ascii="Arial" w:hAnsi="Arial" w:cs="Arial"/>
          <w:noProof/>
          <w:sz w:val="22"/>
        </w:rPr>
        <w:t xml:space="preserve"> (2015) doi:10.4161/2162402X.2014.985082</w:t>
      </w:r>
    </w:p>
    <w:p w14:paraId="182ECAA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22. </w:t>
      </w:r>
      <w:r w:rsidRPr="002E4EFB">
        <w:rPr>
          <w:rFonts w:ascii="Arial" w:hAnsi="Arial" w:cs="Arial"/>
          <w:noProof/>
          <w:sz w:val="22"/>
        </w:rPr>
        <w:tab/>
        <w:t xml:space="preserve">Chung W, Eum HH, Lee HO, Lee KM, Lee HB, Kim KT, Ryu HS, Kim S, Lee JE, Park YH, et al. Single-cell RNA-seq enables comprehensive tumour and immune cell profiling in primary breast cancer. </w:t>
      </w:r>
      <w:r w:rsidRPr="002E4EFB">
        <w:rPr>
          <w:rFonts w:ascii="Arial" w:hAnsi="Arial" w:cs="Arial"/>
          <w:i/>
          <w:iCs/>
          <w:noProof/>
          <w:sz w:val="22"/>
        </w:rPr>
        <w:t>Nat Commun</w:t>
      </w:r>
      <w:r w:rsidRPr="002E4EFB">
        <w:rPr>
          <w:rFonts w:ascii="Arial" w:hAnsi="Arial" w:cs="Arial"/>
          <w:noProof/>
          <w:sz w:val="22"/>
        </w:rPr>
        <w:t xml:space="preserve"> (2017) doi:10.1038/ncomms15081</w:t>
      </w:r>
    </w:p>
    <w:p w14:paraId="56209FB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23. </w:t>
      </w:r>
      <w:r w:rsidRPr="002E4EFB">
        <w:rPr>
          <w:rFonts w:ascii="Arial" w:hAnsi="Arial" w:cs="Arial"/>
          <w:noProof/>
          <w:sz w:val="22"/>
        </w:rPr>
        <w:tab/>
        <w:t xml:space="preserve">Azizi E, Carr AJ, Plitas G, Cornish AE, Konopacki C, Prabhakaran S, Nainys J, Wu K, Kiseliovas V, Setty M, et al. Single-Cell Map of Diverse Immune Phenotypes in the Breast Tumor Microenvironment. </w:t>
      </w:r>
      <w:r w:rsidRPr="002E4EFB">
        <w:rPr>
          <w:rFonts w:ascii="Arial" w:hAnsi="Arial" w:cs="Arial"/>
          <w:i/>
          <w:iCs/>
          <w:noProof/>
          <w:sz w:val="22"/>
        </w:rPr>
        <w:t>Cell</w:t>
      </w:r>
      <w:r w:rsidRPr="002E4EFB">
        <w:rPr>
          <w:rFonts w:ascii="Arial" w:hAnsi="Arial" w:cs="Arial"/>
          <w:noProof/>
          <w:sz w:val="22"/>
        </w:rPr>
        <w:t xml:space="preserve"> (2018) doi:10.1016/j.cell.2018.05.060</w:t>
      </w:r>
    </w:p>
    <w:p w14:paraId="3C9AFFE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24. </w:t>
      </w:r>
      <w:r w:rsidRPr="002E4EFB">
        <w:rPr>
          <w:rFonts w:ascii="Arial" w:hAnsi="Arial" w:cs="Arial"/>
          <w:noProof/>
          <w:sz w:val="22"/>
        </w:rPr>
        <w:tab/>
        <w:t xml:space="preserve">Guo X, Zhang Y, Zheng L, Zheng C, Song J, Zhang Q, Kang B, Liu Z, Jin L, Xing R, et al. Global characterization of T cells in non-small-cell lung cancer by single-cell sequencing. </w:t>
      </w:r>
      <w:r w:rsidRPr="002E4EFB">
        <w:rPr>
          <w:rFonts w:ascii="Arial" w:hAnsi="Arial" w:cs="Arial"/>
          <w:i/>
          <w:iCs/>
          <w:noProof/>
          <w:sz w:val="22"/>
        </w:rPr>
        <w:t>Nat Med</w:t>
      </w:r>
      <w:r w:rsidRPr="002E4EFB">
        <w:rPr>
          <w:rFonts w:ascii="Arial" w:hAnsi="Arial" w:cs="Arial"/>
          <w:noProof/>
          <w:sz w:val="22"/>
        </w:rPr>
        <w:t xml:space="preserve"> (2018) doi:10.1038/s41591-018-0045-3</w:t>
      </w:r>
    </w:p>
    <w:p w14:paraId="2158EA89"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25. </w:t>
      </w:r>
      <w:r w:rsidRPr="002E4EFB">
        <w:rPr>
          <w:rFonts w:ascii="Arial" w:hAnsi="Arial" w:cs="Arial"/>
          <w:noProof/>
          <w:sz w:val="22"/>
        </w:rPr>
        <w:tab/>
        <w:t xml:space="preserve">Tirosh I, Izar B, Prakadan SM, Wadsworth MH, Treacy D, Trombetta JJ, Rotem A, Rodman C, Lian C, Murphy G, et al. Dissecting the multicellular ecosystem of metastatic melanoma by single-cell RNA-seq. </w:t>
      </w:r>
      <w:r w:rsidRPr="002E4EFB">
        <w:rPr>
          <w:rFonts w:ascii="Arial" w:hAnsi="Arial" w:cs="Arial"/>
          <w:i/>
          <w:iCs/>
          <w:noProof/>
          <w:sz w:val="22"/>
        </w:rPr>
        <w:t>Science (80- )</w:t>
      </w:r>
      <w:r w:rsidRPr="002E4EFB">
        <w:rPr>
          <w:rFonts w:ascii="Arial" w:hAnsi="Arial" w:cs="Arial"/>
          <w:noProof/>
          <w:sz w:val="22"/>
        </w:rPr>
        <w:t xml:space="preserve"> (2016) doi:10.1126/science.aad0501</w:t>
      </w:r>
    </w:p>
    <w:p w14:paraId="6B2A4F87"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26. </w:t>
      </w:r>
      <w:r w:rsidRPr="002E4EFB">
        <w:rPr>
          <w:rFonts w:ascii="Arial" w:hAnsi="Arial" w:cs="Arial"/>
          <w:noProof/>
          <w:sz w:val="22"/>
        </w:rPr>
        <w:tab/>
        <w:t xml:space="preserve">Beausang JF, Wheeler AJ, Chan NH, Hanft VR, Dirbas FM, Jeffrey SS, Quake SR. T cell </w:t>
      </w:r>
      <w:r w:rsidRPr="002E4EFB">
        <w:rPr>
          <w:rFonts w:ascii="Arial" w:hAnsi="Arial" w:cs="Arial"/>
          <w:noProof/>
          <w:sz w:val="22"/>
        </w:rPr>
        <w:lastRenderedPageBreak/>
        <w:t xml:space="preserve">receptor sequencing of early-stage breast cancer tumors identifies altered clonal structure of the T cell repertoire. </w:t>
      </w:r>
      <w:r w:rsidRPr="002E4EFB">
        <w:rPr>
          <w:rFonts w:ascii="Arial" w:hAnsi="Arial" w:cs="Arial"/>
          <w:i/>
          <w:iCs/>
          <w:noProof/>
          <w:sz w:val="22"/>
        </w:rPr>
        <w:t>Proc Natl Acad Sci U S A</w:t>
      </w:r>
      <w:r w:rsidRPr="002E4EFB">
        <w:rPr>
          <w:rFonts w:ascii="Arial" w:hAnsi="Arial" w:cs="Arial"/>
          <w:noProof/>
          <w:sz w:val="22"/>
        </w:rPr>
        <w:t xml:space="preserve"> (2017) doi:10.1073/pnas.1713863114</w:t>
      </w:r>
    </w:p>
    <w:p w14:paraId="5139CC01"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27. </w:t>
      </w:r>
      <w:r w:rsidRPr="002E4EFB">
        <w:rPr>
          <w:rFonts w:ascii="Arial" w:hAnsi="Arial" w:cs="Arial"/>
          <w:noProof/>
          <w:sz w:val="22"/>
        </w:rPr>
        <w:tab/>
        <w:t xml:space="preserve">Zheng C, Zheng L, Yoo JK, Guo H, Zhang Y, Guo X, Kang B, Hu R, Huang JY, Zhang Q, et al. Landscape of Infiltrating T Cells in Liver Cancer Revealed by Single-Cell Sequencing. </w:t>
      </w:r>
      <w:r w:rsidRPr="002E4EFB">
        <w:rPr>
          <w:rFonts w:ascii="Arial" w:hAnsi="Arial" w:cs="Arial"/>
          <w:i/>
          <w:iCs/>
          <w:noProof/>
          <w:sz w:val="22"/>
        </w:rPr>
        <w:t>Cell</w:t>
      </w:r>
      <w:r w:rsidRPr="002E4EFB">
        <w:rPr>
          <w:rFonts w:ascii="Arial" w:hAnsi="Arial" w:cs="Arial"/>
          <w:noProof/>
          <w:sz w:val="22"/>
        </w:rPr>
        <w:t xml:space="preserve"> (2017) doi:10.1016/j.cell.2017.05.035</w:t>
      </w:r>
    </w:p>
    <w:p w14:paraId="315413D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28. </w:t>
      </w:r>
      <w:r w:rsidRPr="002E4EFB">
        <w:rPr>
          <w:rFonts w:ascii="Arial" w:hAnsi="Arial" w:cs="Arial"/>
          <w:noProof/>
          <w:sz w:val="22"/>
        </w:rPr>
        <w:tab/>
        <w:t xml:space="preserve">Baldan V, Griffiths R, Hawkins RE, Gilham DE. Efficient and reproducible generation of tumour-infiltrating lymphocytes for renal cell carcinoma. </w:t>
      </w:r>
      <w:r w:rsidRPr="002E4EFB">
        <w:rPr>
          <w:rFonts w:ascii="Arial" w:hAnsi="Arial" w:cs="Arial"/>
          <w:i/>
          <w:iCs/>
          <w:noProof/>
          <w:sz w:val="22"/>
        </w:rPr>
        <w:t>Br J Cancer</w:t>
      </w:r>
      <w:r w:rsidRPr="002E4EFB">
        <w:rPr>
          <w:rFonts w:ascii="Arial" w:hAnsi="Arial" w:cs="Arial"/>
          <w:noProof/>
          <w:sz w:val="22"/>
        </w:rPr>
        <w:t xml:space="preserve"> (2015) doi:10.1038/bjc.2015.96</w:t>
      </w:r>
    </w:p>
    <w:p w14:paraId="0188D70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29. </w:t>
      </w:r>
      <w:r w:rsidRPr="002E4EFB">
        <w:rPr>
          <w:rFonts w:ascii="Arial" w:hAnsi="Arial" w:cs="Arial"/>
          <w:noProof/>
          <w:sz w:val="22"/>
        </w:rPr>
        <w:tab/>
        <w:t xml:space="preserve">Stuart T, Butler A, Hoffman P, Hafemeister C, Papalexi E, Mauck WM, Hao Y, Stoeckius M, Smibert P, Satija R. Comprehensive Integration of Single-Cell Data. </w:t>
      </w:r>
      <w:r w:rsidRPr="002E4EFB">
        <w:rPr>
          <w:rFonts w:ascii="Arial" w:hAnsi="Arial" w:cs="Arial"/>
          <w:i/>
          <w:iCs/>
          <w:noProof/>
          <w:sz w:val="22"/>
        </w:rPr>
        <w:t>Cell</w:t>
      </w:r>
      <w:r w:rsidRPr="002E4EFB">
        <w:rPr>
          <w:rFonts w:ascii="Arial" w:hAnsi="Arial" w:cs="Arial"/>
          <w:noProof/>
          <w:sz w:val="22"/>
        </w:rPr>
        <w:t xml:space="preserve"> (2019) doi:10.1016/j.cell.2019.05.031</w:t>
      </w:r>
    </w:p>
    <w:p w14:paraId="79AEC1F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30. </w:t>
      </w:r>
      <w:r w:rsidRPr="002E4EFB">
        <w:rPr>
          <w:rFonts w:ascii="Arial" w:hAnsi="Arial" w:cs="Arial"/>
          <w:noProof/>
          <w:sz w:val="22"/>
        </w:rPr>
        <w:tab/>
        <w:t xml:space="preserve">Butler A, Hoffman P, Smibert P, Papalexi E, Satija R. Integrating single-cell transcriptomic data across different conditions, technologies, and species. </w:t>
      </w:r>
      <w:r w:rsidRPr="002E4EFB">
        <w:rPr>
          <w:rFonts w:ascii="Arial" w:hAnsi="Arial" w:cs="Arial"/>
          <w:i/>
          <w:iCs/>
          <w:noProof/>
          <w:sz w:val="22"/>
        </w:rPr>
        <w:t>Nat Biotechnol</w:t>
      </w:r>
      <w:r w:rsidRPr="002E4EFB">
        <w:rPr>
          <w:rFonts w:ascii="Arial" w:hAnsi="Arial" w:cs="Arial"/>
          <w:noProof/>
          <w:sz w:val="22"/>
        </w:rPr>
        <w:t xml:space="preserve"> (2018) doi:10.1038/nbt.4096</w:t>
      </w:r>
    </w:p>
    <w:p w14:paraId="405351E8"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31. </w:t>
      </w:r>
      <w:r w:rsidRPr="002E4EFB">
        <w:rPr>
          <w:rFonts w:ascii="Arial" w:hAnsi="Arial" w:cs="Arial"/>
          <w:noProof/>
          <w:sz w:val="22"/>
        </w:rPr>
        <w:tab/>
        <w:t xml:space="preserve">Hafemeister C, Satija R. Normalization and variance stabilization of single-cell RNA-seq data using regularized negative binomial regression. </w:t>
      </w:r>
      <w:r w:rsidRPr="002E4EFB">
        <w:rPr>
          <w:rFonts w:ascii="Arial" w:hAnsi="Arial" w:cs="Arial"/>
          <w:i/>
          <w:iCs/>
          <w:noProof/>
          <w:sz w:val="22"/>
        </w:rPr>
        <w:t>Genome Biol</w:t>
      </w:r>
      <w:r w:rsidRPr="002E4EFB">
        <w:rPr>
          <w:rFonts w:ascii="Arial" w:hAnsi="Arial" w:cs="Arial"/>
          <w:noProof/>
          <w:sz w:val="22"/>
        </w:rPr>
        <w:t xml:space="preserve"> (2019) doi:10.1186/s13059-019-1874-1</w:t>
      </w:r>
    </w:p>
    <w:p w14:paraId="577A135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32. </w:t>
      </w:r>
      <w:r w:rsidRPr="002E4EFB">
        <w:rPr>
          <w:rFonts w:ascii="Arial" w:hAnsi="Arial" w:cs="Arial"/>
          <w:noProof/>
          <w:sz w:val="22"/>
        </w:rPr>
        <w:tab/>
        <w:t xml:space="preserve">Aran D, Looney AP, Liu L, Wu E, Fong V, Hsu A, Chak S, Naikawadi RP, Wolters PJ, Abate AR, et al. Reference-based analysis of lung single-cell sequencing reveals a transitional profibrotic macrophage. </w:t>
      </w:r>
      <w:r w:rsidRPr="002E4EFB">
        <w:rPr>
          <w:rFonts w:ascii="Arial" w:hAnsi="Arial" w:cs="Arial"/>
          <w:i/>
          <w:iCs/>
          <w:noProof/>
          <w:sz w:val="22"/>
        </w:rPr>
        <w:t>Nat Immunol</w:t>
      </w:r>
      <w:r w:rsidRPr="002E4EFB">
        <w:rPr>
          <w:rFonts w:ascii="Arial" w:hAnsi="Arial" w:cs="Arial"/>
          <w:noProof/>
          <w:sz w:val="22"/>
        </w:rPr>
        <w:t xml:space="preserve"> (2019) doi:10.1038/s41590-018-0276-y</w:t>
      </w:r>
    </w:p>
    <w:p w14:paraId="0145A7B6"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33. </w:t>
      </w:r>
      <w:r w:rsidRPr="002E4EFB">
        <w:rPr>
          <w:rFonts w:ascii="Arial" w:hAnsi="Arial" w:cs="Arial"/>
          <w:noProof/>
          <w:sz w:val="22"/>
        </w:rPr>
        <w:tab/>
        <w:t xml:space="preserve">Dunham I, Kundaje A, Aldred SF, Collins PJ, Davis CA, Doyle F, Epstein CB, Frietze S, Harrow J, Kaul R, et al. An integrated encyclopedia of DNA elements in the human genome. </w:t>
      </w:r>
      <w:r w:rsidRPr="002E4EFB">
        <w:rPr>
          <w:rFonts w:ascii="Arial" w:hAnsi="Arial" w:cs="Arial"/>
          <w:i/>
          <w:iCs/>
          <w:noProof/>
          <w:sz w:val="22"/>
        </w:rPr>
        <w:t>Nature</w:t>
      </w:r>
      <w:r w:rsidRPr="002E4EFB">
        <w:rPr>
          <w:rFonts w:ascii="Arial" w:hAnsi="Arial" w:cs="Arial"/>
          <w:noProof/>
          <w:sz w:val="22"/>
        </w:rPr>
        <w:t xml:space="preserve"> (2012) doi:10.1038/nature11247</w:t>
      </w:r>
    </w:p>
    <w:p w14:paraId="683FAB2F"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34. </w:t>
      </w:r>
      <w:r w:rsidRPr="002E4EFB">
        <w:rPr>
          <w:rFonts w:ascii="Arial" w:hAnsi="Arial" w:cs="Arial"/>
          <w:noProof/>
          <w:sz w:val="22"/>
        </w:rPr>
        <w:tab/>
        <w:t xml:space="preserve">Nestorowa S, Hamey FK, Pijuan Sala B, Diamanti E, Shepherd M, Laurenti E, Wilson NK, Kent DG, Göttgens B. A single-cell resolution map of mouse hematopoietic stem and </w:t>
      </w:r>
      <w:r w:rsidRPr="002E4EFB">
        <w:rPr>
          <w:rFonts w:ascii="Arial" w:hAnsi="Arial" w:cs="Arial"/>
          <w:noProof/>
          <w:sz w:val="22"/>
        </w:rPr>
        <w:lastRenderedPageBreak/>
        <w:t xml:space="preserve">progenitor cell differentiation. </w:t>
      </w:r>
      <w:r w:rsidRPr="002E4EFB">
        <w:rPr>
          <w:rFonts w:ascii="Arial" w:hAnsi="Arial" w:cs="Arial"/>
          <w:i/>
          <w:iCs/>
          <w:noProof/>
          <w:sz w:val="22"/>
        </w:rPr>
        <w:t>Blood</w:t>
      </w:r>
      <w:r w:rsidRPr="002E4EFB">
        <w:rPr>
          <w:rFonts w:ascii="Arial" w:hAnsi="Arial" w:cs="Arial"/>
          <w:noProof/>
          <w:sz w:val="22"/>
        </w:rPr>
        <w:t xml:space="preserve"> (2016) doi:10.1182/blood-2016-05-716480</w:t>
      </w:r>
    </w:p>
    <w:p w14:paraId="6D97218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35. </w:t>
      </w:r>
      <w:r w:rsidRPr="002E4EFB">
        <w:rPr>
          <w:rFonts w:ascii="Arial" w:hAnsi="Arial" w:cs="Arial"/>
          <w:noProof/>
          <w:sz w:val="22"/>
        </w:rPr>
        <w:tab/>
        <w:t xml:space="preserve">Borcherding N, Bormann NL. scRepertoire: An R-based toolkit for single-cell immune receptor analysis. </w:t>
      </w:r>
      <w:r w:rsidRPr="002E4EFB">
        <w:rPr>
          <w:rFonts w:ascii="Arial" w:hAnsi="Arial" w:cs="Arial"/>
          <w:i/>
          <w:iCs/>
          <w:noProof/>
          <w:sz w:val="22"/>
        </w:rPr>
        <w:t>F1000Research</w:t>
      </w:r>
      <w:r w:rsidRPr="002E4EFB">
        <w:rPr>
          <w:rFonts w:ascii="Arial" w:hAnsi="Arial" w:cs="Arial"/>
          <w:noProof/>
          <w:sz w:val="22"/>
        </w:rPr>
        <w:t xml:space="preserve"> (2020) doi:10.12688/f1000research.22139.1</w:t>
      </w:r>
    </w:p>
    <w:p w14:paraId="59ED720F"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36. </w:t>
      </w:r>
      <w:r w:rsidRPr="002E4EFB">
        <w:rPr>
          <w:rFonts w:ascii="Arial" w:hAnsi="Arial" w:cs="Arial"/>
          <w:noProof/>
          <w:sz w:val="22"/>
        </w:rPr>
        <w:tab/>
        <w:t xml:space="preserve">Liao J, Yu Z, Chen Y, Bao M, Zou C, Zhang H, Liu D, Li T, Zhang Q, Li J. Single-cell RNA sequencing of human kidney. </w:t>
      </w:r>
      <w:r w:rsidRPr="002E4EFB">
        <w:rPr>
          <w:rFonts w:ascii="Arial" w:hAnsi="Arial" w:cs="Arial"/>
          <w:i/>
          <w:iCs/>
          <w:noProof/>
          <w:sz w:val="22"/>
        </w:rPr>
        <w:t>Sci data</w:t>
      </w:r>
      <w:r w:rsidRPr="002E4EFB">
        <w:rPr>
          <w:rFonts w:ascii="Arial" w:hAnsi="Arial" w:cs="Arial"/>
          <w:noProof/>
          <w:sz w:val="22"/>
        </w:rPr>
        <w:t xml:space="preserve"> (2020) </w:t>
      </w:r>
      <w:r w:rsidRPr="002E4EFB">
        <w:rPr>
          <w:rFonts w:ascii="Arial" w:hAnsi="Arial" w:cs="Arial"/>
          <w:b/>
          <w:bCs/>
          <w:noProof/>
          <w:sz w:val="22"/>
        </w:rPr>
        <w:t>7</w:t>
      </w:r>
      <w:r w:rsidRPr="002E4EFB">
        <w:rPr>
          <w:rFonts w:ascii="Arial" w:hAnsi="Arial" w:cs="Arial"/>
          <w:noProof/>
          <w:sz w:val="22"/>
        </w:rPr>
        <w:t>:1–9.</w:t>
      </w:r>
    </w:p>
    <w:p w14:paraId="25CAF47A" w14:textId="053D90C7" w:rsidR="002E4EFB" w:rsidRPr="002E4EFB" w:rsidRDefault="002E4EFB" w:rsidP="002E4EFB">
      <w:pPr>
        <w:spacing w:line="480" w:lineRule="auto"/>
        <w:jc w:val="both"/>
        <w:rPr>
          <w:rFonts w:ascii="Arial" w:hAnsi="Arial" w:cs="Arial"/>
          <w:bCs/>
          <w:color w:val="000000"/>
          <w:sz w:val="22"/>
          <w:szCs w:val="22"/>
        </w:rPr>
      </w:pPr>
      <w:r>
        <w:rPr>
          <w:rFonts w:ascii="Arial" w:hAnsi="Arial" w:cs="Arial"/>
          <w:bCs/>
          <w:color w:val="000000"/>
          <w:sz w:val="22"/>
          <w:szCs w:val="22"/>
        </w:rPr>
        <w:fldChar w:fldCharType="end"/>
      </w:r>
    </w:p>
    <w:p w14:paraId="3FB81D2C" w14:textId="77777777" w:rsidR="003064F8" w:rsidRPr="00761DC0" w:rsidRDefault="003064F8" w:rsidP="00276C2F">
      <w:pPr>
        <w:spacing w:line="480" w:lineRule="auto"/>
        <w:jc w:val="both"/>
        <w:rPr>
          <w:rFonts w:ascii="Arial" w:hAnsi="Arial" w:cs="Arial"/>
          <w:sz w:val="22"/>
          <w:szCs w:val="22"/>
        </w:rPr>
      </w:pPr>
    </w:p>
    <w:p w14:paraId="4A61FBEF" w14:textId="77777777" w:rsidR="00707C08" w:rsidRPr="00761DC0" w:rsidRDefault="00707C08" w:rsidP="00276C2F">
      <w:pPr>
        <w:spacing w:line="480" w:lineRule="auto"/>
        <w:rPr>
          <w:rFonts w:ascii="Arial" w:hAnsi="Arial" w:cs="Arial"/>
          <w:sz w:val="22"/>
          <w:szCs w:val="22"/>
        </w:rPr>
      </w:pPr>
    </w:p>
    <w:sectPr w:rsidR="00707C08"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15D7C"/>
    <w:rsid w:val="00024358"/>
    <w:rsid w:val="00034385"/>
    <w:rsid w:val="000352EF"/>
    <w:rsid w:val="00040449"/>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548"/>
    <w:rsid w:val="00196F01"/>
    <w:rsid w:val="001A6DCD"/>
    <w:rsid w:val="001C7A5D"/>
    <w:rsid w:val="001C7E66"/>
    <w:rsid w:val="00206317"/>
    <w:rsid w:val="0021505D"/>
    <w:rsid w:val="0022606C"/>
    <w:rsid w:val="002355A8"/>
    <w:rsid w:val="0024418D"/>
    <w:rsid w:val="00244E36"/>
    <w:rsid w:val="00247762"/>
    <w:rsid w:val="00276C2F"/>
    <w:rsid w:val="002A683B"/>
    <w:rsid w:val="002B3EDD"/>
    <w:rsid w:val="002D7320"/>
    <w:rsid w:val="002D7B10"/>
    <w:rsid w:val="002E3B9B"/>
    <w:rsid w:val="002E4EFB"/>
    <w:rsid w:val="002E735E"/>
    <w:rsid w:val="002F2B04"/>
    <w:rsid w:val="002F32A0"/>
    <w:rsid w:val="002F4160"/>
    <w:rsid w:val="003064F8"/>
    <w:rsid w:val="003245D3"/>
    <w:rsid w:val="003C4A05"/>
    <w:rsid w:val="003D1299"/>
    <w:rsid w:val="003E5B65"/>
    <w:rsid w:val="003E66F1"/>
    <w:rsid w:val="003F20A7"/>
    <w:rsid w:val="00402629"/>
    <w:rsid w:val="00436041"/>
    <w:rsid w:val="00436D1A"/>
    <w:rsid w:val="00441217"/>
    <w:rsid w:val="00477581"/>
    <w:rsid w:val="004838F1"/>
    <w:rsid w:val="00516F48"/>
    <w:rsid w:val="0052740A"/>
    <w:rsid w:val="00530253"/>
    <w:rsid w:val="00564DB7"/>
    <w:rsid w:val="005833F0"/>
    <w:rsid w:val="0059724A"/>
    <w:rsid w:val="005A169F"/>
    <w:rsid w:val="005B69AC"/>
    <w:rsid w:val="005C418C"/>
    <w:rsid w:val="005D0B49"/>
    <w:rsid w:val="005D2880"/>
    <w:rsid w:val="005E7FEE"/>
    <w:rsid w:val="00617F53"/>
    <w:rsid w:val="006A1B3C"/>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C3051"/>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2E0E"/>
    <w:rsid w:val="00987A75"/>
    <w:rsid w:val="009F2D06"/>
    <w:rsid w:val="00A03655"/>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2EE0"/>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780B"/>
    <w:rsid w:val="00E15DF5"/>
    <w:rsid w:val="00E21D97"/>
    <w:rsid w:val="00E26A39"/>
    <w:rsid w:val="00E318BA"/>
    <w:rsid w:val="00E34118"/>
    <w:rsid w:val="00E732EF"/>
    <w:rsid w:val="00EB618C"/>
    <w:rsid w:val="00EB7944"/>
    <w:rsid w:val="00EC70F5"/>
    <w:rsid w:val="00EE3E5B"/>
    <w:rsid w:val="00EF26C0"/>
    <w:rsid w:val="00F518EE"/>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3" Type="http://schemas.openxmlformats.org/officeDocument/2006/relationships/settings" Target="settings.xml"/><Relationship Id="rId7" Type="http://schemas.openxmlformats.org/officeDocument/2006/relationships/hyperlink" Target="mailto:yousef-zakharia@uiow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11" Type="http://schemas.openxmlformats.org/officeDocument/2006/relationships/fontTable" Target="fontTable.xml"/><Relationship Id="rId5" Type="http://schemas.openxmlformats.org/officeDocument/2006/relationships/hyperlink" Target="mailto:rwjenkins@partners.org" TargetMode="External"/><Relationship Id="rId10" Type="http://schemas.openxmlformats.org/officeDocument/2006/relationships/hyperlink" Target="https://github.com/ncborcherding/ccRCC" TargetMode="External"/><Relationship Id="rId4" Type="http://schemas.openxmlformats.org/officeDocument/2006/relationships/webSettings" Target="webSettings.xml"/><Relationship Id="rId9" Type="http://schemas.openxmlformats.org/officeDocument/2006/relationships/hyperlink" Target="https://www.ncbi.nlm.nih.gov/geo/query/acc.cgi?acc=GSE121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A6161-D45F-DE40-AB06-1E3DD663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36306</Words>
  <Characters>206946</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9</cp:revision>
  <dcterms:created xsi:type="dcterms:W3CDTF">2020-06-24T12:58:00Z</dcterms:created>
  <dcterms:modified xsi:type="dcterms:W3CDTF">2020-06-24T15:24:00Z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