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2A79C95B" w:rsidR="00952E0E" w:rsidRDefault="00952E0E" w:rsidP="00952E0E">
      <w:pPr>
        <w:pStyle w:val="Head"/>
        <w:jc w:val="left"/>
        <w:rPr>
          <w:rFonts w:ascii="Arial" w:hAnsi="Arial" w:cs="Arial"/>
          <w:b w:val="0"/>
          <w:sz w:val="22"/>
          <w:szCs w:val="22"/>
        </w:rPr>
      </w:pPr>
      <w:r w:rsidRPr="00952E0E">
        <w:rPr>
          <w:rFonts w:ascii="Arial" w:hAnsi="Arial" w:cs="Arial"/>
          <w:sz w:val="22"/>
          <w:szCs w:val="22"/>
        </w:rPr>
        <w:t xml:space="preserve">Title:  </w:t>
      </w:r>
      <w:r w:rsidRPr="00952E0E">
        <w:rPr>
          <w:rFonts w:ascii="Arial" w:hAnsi="Arial" w:cs="Arial"/>
          <w:b w:val="0"/>
          <w:sz w:val="22"/>
          <w:szCs w:val="22"/>
        </w:rPr>
        <w:t>Mapping Immune Landscape in Clear Cell Renal Carcinoma by Single-Cell Genomics</w:t>
      </w:r>
    </w:p>
    <w:p w14:paraId="1D2E6B6C" w14:textId="77777777" w:rsidR="00952E0E" w:rsidRPr="00952E0E" w:rsidRDefault="00952E0E" w:rsidP="00952E0E">
      <w:pPr>
        <w:pStyle w:val="Head"/>
        <w:jc w:val="left"/>
        <w:rPr>
          <w:rFonts w:ascii="Arial" w:hAnsi="Arial" w:cs="Arial"/>
          <w:b w:val="0"/>
          <w:sz w:val="22"/>
          <w:szCs w:val="22"/>
        </w:rPr>
      </w:pPr>
    </w:p>
    <w:p w14:paraId="0138DAF1" w14:textId="2E7D19B2" w:rsidR="00952E0E" w:rsidRPr="00952E0E" w:rsidRDefault="00952E0E" w:rsidP="00952E0E">
      <w:pPr>
        <w:pStyle w:val="Teaser"/>
        <w:jc w:val="both"/>
        <w:rPr>
          <w:rFonts w:ascii="Arial" w:hAnsi="Arial" w:cs="Arial"/>
          <w:sz w:val="22"/>
          <w:szCs w:val="22"/>
        </w:rPr>
      </w:pPr>
      <w:r w:rsidRPr="00952E0E">
        <w:rPr>
          <w:rFonts w:ascii="Arial" w:hAnsi="Arial" w:cs="Arial"/>
          <w:b/>
          <w:sz w:val="22"/>
          <w:szCs w:val="22"/>
        </w:rPr>
        <w:t>Authors:</w:t>
      </w:r>
      <w:r w:rsidRPr="00952E0E">
        <w:rPr>
          <w:rFonts w:ascii="Arial" w:hAnsi="Arial" w:cs="Arial"/>
          <w:sz w:val="22"/>
          <w:szCs w:val="22"/>
        </w:rPr>
        <w:t xml:space="preserve"> </w:t>
      </w:r>
      <w:proofErr w:type="spellStart"/>
      <w:r w:rsidRPr="00952E0E">
        <w:rPr>
          <w:rFonts w:ascii="Arial" w:hAnsi="Arial" w:cs="Arial"/>
          <w:sz w:val="22"/>
          <w:szCs w:val="22"/>
        </w:rPr>
        <w:t>Ajaykumar</w:t>
      </w:r>
      <w:proofErr w:type="spellEnd"/>
      <w:r w:rsidRPr="00952E0E">
        <w:rPr>
          <w:rFonts w:ascii="Arial" w:hAnsi="Arial" w:cs="Arial"/>
          <w:sz w:val="22"/>
          <w:szCs w:val="22"/>
        </w:rPr>
        <w:t xml:space="preserve"> Vishwakarma</w:t>
      </w:r>
      <w:r>
        <w:rPr>
          <w:rFonts w:ascii="Arial" w:hAnsi="Arial" w:cs="Arial"/>
          <w:sz w:val="22"/>
          <w:szCs w:val="22"/>
        </w:rPr>
        <w:t>?</w:t>
      </w:r>
      <w:r w:rsidRPr="00952E0E">
        <w:rPr>
          <w:rFonts w:ascii="Arial" w:hAnsi="Arial" w:cs="Arial"/>
          <w:sz w:val="22"/>
          <w:szCs w:val="22"/>
        </w:rPr>
        <w:t>, Nick Bocherding</w:t>
      </w:r>
      <w:r>
        <w:rPr>
          <w:rFonts w:ascii="Arial" w:hAnsi="Arial" w:cs="Arial"/>
          <w:sz w:val="22"/>
          <w:szCs w:val="22"/>
          <w:vertAlign w:val="superscript"/>
        </w:rPr>
        <w:t>7</w:t>
      </w:r>
      <w:r w:rsidRPr="00952E0E">
        <w:rPr>
          <w:rFonts w:ascii="Arial" w:hAnsi="Arial" w:cs="Arial"/>
          <w:sz w:val="22"/>
          <w:szCs w:val="22"/>
        </w:rPr>
        <w:t>, Kenneth Nepple</w:t>
      </w:r>
      <w:r w:rsidRPr="00952E0E">
        <w:rPr>
          <w:rFonts w:ascii="Arial" w:hAnsi="Arial" w:cs="Arial"/>
          <w:sz w:val="22"/>
          <w:szCs w:val="22"/>
          <w:vertAlign w:val="superscript"/>
        </w:rPr>
        <w:t>10</w:t>
      </w:r>
      <w:r w:rsidRPr="00952E0E">
        <w:rPr>
          <w:rFonts w:ascii="Arial" w:hAnsi="Arial" w:cs="Arial"/>
          <w:sz w:val="22"/>
          <w:szCs w:val="22"/>
        </w:rPr>
        <w:t xml:space="preserve">, </w:t>
      </w:r>
      <w:proofErr w:type="spellStart"/>
      <w:r w:rsidRPr="00952E0E">
        <w:rPr>
          <w:rFonts w:ascii="Arial" w:hAnsi="Arial" w:cs="Arial"/>
          <w:sz w:val="22"/>
          <w:szCs w:val="22"/>
        </w:rPr>
        <w:t>Aliasger</w:t>
      </w:r>
      <w:proofErr w:type="spellEnd"/>
      <w:r w:rsidRPr="00952E0E">
        <w:rPr>
          <w:rFonts w:ascii="Arial" w:hAnsi="Arial" w:cs="Arial"/>
          <w:sz w:val="22"/>
          <w:szCs w:val="22"/>
        </w:rPr>
        <w:t xml:space="preserve"> Salem</w:t>
      </w:r>
      <w:r w:rsidRPr="00952E0E">
        <w:rPr>
          <w:rFonts w:ascii="Arial" w:hAnsi="Arial" w:cs="Arial"/>
          <w:sz w:val="22"/>
          <w:szCs w:val="22"/>
          <w:vertAlign w:val="superscript"/>
        </w:rPr>
        <w:t>5, 6</w:t>
      </w:r>
      <w:r w:rsidRPr="00952E0E">
        <w:rPr>
          <w:rFonts w:ascii="Arial" w:hAnsi="Arial" w:cs="Arial"/>
          <w:sz w:val="22"/>
          <w:szCs w:val="22"/>
        </w:rPr>
        <w:t>, Russell W. Jenkins</w:t>
      </w:r>
      <w:r w:rsidRPr="00952E0E">
        <w:rPr>
          <w:rFonts w:ascii="Arial" w:hAnsi="Arial" w:cs="Arial"/>
          <w:sz w:val="22"/>
          <w:szCs w:val="22"/>
          <w:vertAlign w:val="superscript"/>
        </w:rPr>
        <w:t>1, 2, 3 *</w:t>
      </w:r>
      <w:r w:rsidRPr="00952E0E">
        <w:rPr>
          <w:rFonts w:ascii="Arial" w:hAnsi="Arial" w:cs="Arial"/>
          <w:sz w:val="22"/>
          <w:szCs w:val="22"/>
        </w:rPr>
        <w:t>, Weizhou Zhang</w:t>
      </w:r>
      <w:r w:rsidRPr="00952E0E">
        <w:rPr>
          <w:rFonts w:ascii="Arial" w:hAnsi="Arial" w:cs="Arial"/>
          <w:sz w:val="22"/>
          <w:szCs w:val="22"/>
          <w:vertAlign w:val="superscript"/>
        </w:rPr>
        <w:t xml:space="preserve"> 5, 11 *</w:t>
      </w:r>
      <w:r w:rsidRPr="00952E0E">
        <w:rPr>
          <w:rFonts w:ascii="Arial" w:hAnsi="Arial" w:cs="Arial"/>
          <w:sz w:val="22"/>
          <w:szCs w:val="22"/>
        </w:rPr>
        <w:t>, Yousef Zakharia</w:t>
      </w:r>
      <w:r w:rsidRPr="00952E0E">
        <w:rPr>
          <w:rFonts w:ascii="Arial" w:hAnsi="Arial" w:cs="Arial"/>
          <w:sz w:val="22"/>
          <w:szCs w:val="22"/>
          <w:vertAlign w:val="superscript"/>
        </w:rPr>
        <w:t>5, 10, 12 *</w:t>
      </w:r>
    </w:p>
    <w:p w14:paraId="7D33FEAD" w14:textId="104F9CDB" w:rsidR="00952E0E" w:rsidRDefault="00952E0E" w:rsidP="00952E0E">
      <w:pPr>
        <w:jc w:val="both"/>
        <w:outlineLvl w:val="0"/>
        <w:rPr>
          <w:rFonts w:ascii="Arial" w:hAnsi="Arial" w:cs="Arial"/>
          <w:color w:val="000000"/>
          <w:sz w:val="22"/>
          <w:szCs w:val="22"/>
        </w:rPr>
      </w:pPr>
    </w:p>
    <w:p w14:paraId="59413335" w14:textId="5CA770BF" w:rsidR="00952E0E" w:rsidRPr="00952E0E" w:rsidRDefault="00952E0E" w:rsidP="00952E0E">
      <w:pPr>
        <w:jc w:val="both"/>
        <w:outlineLvl w:val="0"/>
        <w:rPr>
          <w:rFonts w:ascii="Arial" w:hAnsi="Arial" w:cs="Arial"/>
          <w:color w:val="000000"/>
          <w:sz w:val="22"/>
          <w:szCs w:val="22"/>
        </w:rPr>
      </w:pPr>
      <w:r w:rsidRPr="007C0FFB">
        <w:rPr>
          <w:rFonts w:ascii="Arial" w:hAnsi="Arial" w:cs="Arial"/>
          <w:color w:val="000000"/>
          <w:sz w:val="22"/>
          <w:szCs w:val="22"/>
          <w:highlight w:val="yellow"/>
        </w:rPr>
        <w:t xml:space="preserve">Also need to add Andrew </w:t>
      </w:r>
      <w:proofErr w:type="spellStart"/>
      <w:r w:rsidRPr="007C0FFB">
        <w:rPr>
          <w:rFonts w:ascii="Arial" w:hAnsi="Arial" w:cs="Arial"/>
          <w:color w:val="000000"/>
          <w:sz w:val="22"/>
          <w:szCs w:val="22"/>
          <w:highlight w:val="yellow"/>
        </w:rPr>
        <w:t>Belizzi</w:t>
      </w:r>
      <w:proofErr w:type="spellEnd"/>
    </w:p>
    <w:p w14:paraId="4EBE3CB7" w14:textId="77777777" w:rsidR="00952E0E" w:rsidRPr="00952E0E" w:rsidRDefault="00952E0E" w:rsidP="00952E0E">
      <w:pPr>
        <w:pStyle w:val="Paragraph"/>
        <w:ind w:firstLine="0"/>
        <w:rPr>
          <w:rFonts w:ascii="Arial" w:hAnsi="Arial" w:cs="Arial"/>
          <w:b/>
          <w:sz w:val="22"/>
          <w:szCs w:val="22"/>
        </w:rPr>
      </w:pPr>
      <w:r w:rsidRPr="00952E0E">
        <w:rPr>
          <w:rFonts w:ascii="Arial" w:hAnsi="Arial" w:cs="Arial"/>
          <w:b/>
          <w:sz w:val="22"/>
          <w:szCs w:val="22"/>
        </w:rPr>
        <w:t>Affiliations:</w:t>
      </w:r>
    </w:p>
    <w:p w14:paraId="732C263F" w14:textId="4C663433"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1</w:t>
      </w:r>
      <w:r w:rsidRPr="00952E0E">
        <w:rPr>
          <w:rFonts w:ascii="Arial" w:hAnsi="Arial" w:cs="Arial"/>
          <w:color w:val="000000"/>
          <w:sz w:val="22"/>
          <w:szCs w:val="22"/>
          <w:highlight w:val="yellow"/>
        </w:rPr>
        <w:t xml:space="preserve"> Department of Medicine, Massachusetts General Hospital Cancer Center, Harvard Medical School, Boston, MA</w:t>
      </w:r>
    </w:p>
    <w:p w14:paraId="7FC4430F" w14:textId="2908A9C8"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2</w:t>
      </w:r>
      <w:r w:rsidRPr="00952E0E">
        <w:rPr>
          <w:rFonts w:ascii="Arial" w:hAnsi="Arial" w:cs="Arial"/>
          <w:color w:val="000000"/>
          <w:sz w:val="22"/>
          <w:szCs w:val="22"/>
          <w:highlight w:val="yellow"/>
        </w:rPr>
        <w:t xml:space="preserve"> Laboratory of Systems Pharmacology, Harvard Program in Therapeutic Science, Harvard Medical School, Boston, MA</w:t>
      </w:r>
    </w:p>
    <w:p w14:paraId="274D802D" w14:textId="74CE4A63" w:rsidR="00952E0E" w:rsidRPr="00952E0E" w:rsidRDefault="00952E0E" w:rsidP="00952E0E">
      <w:pPr>
        <w:jc w:val="both"/>
        <w:rPr>
          <w:rFonts w:ascii="Arial" w:hAnsi="Arial" w:cs="Arial"/>
          <w:spacing w:val="3"/>
          <w:sz w:val="22"/>
          <w:szCs w:val="22"/>
          <w:highlight w:val="yellow"/>
        </w:rPr>
      </w:pPr>
      <w:r w:rsidRPr="00952E0E">
        <w:rPr>
          <w:rFonts w:ascii="Arial" w:hAnsi="Arial" w:cs="Arial"/>
          <w:sz w:val="22"/>
          <w:szCs w:val="22"/>
          <w:highlight w:val="yellow"/>
          <w:vertAlign w:val="superscript"/>
        </w:rPr>
        <w:t>3</w:t>
      </w:r>
      <w:r w:rsidRPr="00952E0E">
        <w:rPr>
          <w:rFonts w:ascii="Arial" w:hAnsi="Arial" w:cs="Arial"/>
          <w:sz w:val="22"/>
          <w:szCs w:val="22"/>
          <w:highlight w:val="yellow"/>
        </w:rPr>
        <w:t xml:space="preserve"> </w:t>
      </w:r>
      <w:r w:rsidRPr="00952E0E">
        <w:rPr>
          <w:rFonts w:ascii="Arial" w:hAnsi="Arial" w:cs="Arial"/>
          <w:spacing w:val="3"/>
          <w:sz w:val="22"/>
          <w:szCs w:val="22"/>
          <w:highlight w:val="yellow"/>
        </w:rPr>
        <w:t>Broad Institute of Harvard and Massachusetts Institute of Technology, Cambridge, MA</w:t>
      </w:r>
    </w:p>
    <w:p w14:paraId="633AFD36" w14:textId="7D746186"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4</w:t>
      </w:r>
      <w:r w:rsidRPr="00952E0E">
        <w:rPr>
          <w:rFonts w:ascii="Arial" w:hAnsi="Arial" w:cs="Arial"/>
          <w:color w:val="000000"/>
          <w:sz w:val="22"/>
          <w:szCs w:val="22"/>
          <w:highlight w:val="yellow"/>
        </w:rPr>
        <w:t xml:space="preserve"> Cancer Biology Graduate Program, Carver College of Medicine, University of Iowa, Iowa City IA</w:t>
      </w:r>
    </w:p>
    <w:p w14:paraId="6910E9AA" w14:textId="1B6143D7"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5</w:t>
      </w:r>
      <w:r w:rsidRPr="00952E0E">
        <w:rPr>
          <w:rFonts w:ascii="Arial" w:hAnsi="Arial" w:cs="Arial"/>
          <w:color w:val="000000"/>
          <w:sz w:val="22"/>
          <w:szCs w:val="22"/>
          <w:highlight w:val="yellow"/>
        </w:rPr>
        <w:t xml:space="preserve"> Holden Comprehensive Cancer Center, University of Iowa, Iowa City, IA</w:t>
      </w:r>
    </w:p>
    <w:p w14:paraId="48E111EC" w14:textId="39EEDB5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highlight w:val="yellow"/>
          <w:vertAlign w:val="superscript"/>
        </w:rPr>
        <w:t>6</w:t>
      </w:r>
      <w:r w:rsidRPr="00952E0E">
        <w:rPr>
          <w:rFonts w:ascii="Arial" w:hAnsi="Arial" w:cs="Arial"/>
          <w:color w:val="000000"/>
          <w:sz w:val="22"/>
          <w:szCs w:val="22"/>
          <w:highlight w:val="yellow"/>
        </w:rPr>
        <w:t xml:space="preserve"> Department of Pharmaceutics and Translational Therapeutics, College of Pharmacy, University of Iowa, Iowa City, IA</w:t>
      </w:r>
    </w:p>
    <w:p w14:paraId="7D796B8A" w14:textId="07ED5A81"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7</w:t>
      </w:r>
      <w:r w:rsidRPr="00952E0E">
        <w:rPr>
          <w:rFonts w:ascii="Arial" w:hAnsi="Arial" w:cs="Arial"/>
          <w:color w:val="000000"/>
          <w:sz w:val="22"/>
          <w:szCs w:val="22"/>
        </w:rPr>
        <w:t xml:space="preserve"> </w:t>
      </w:r>
      <w:r>
        <w:rPr>
          <w:rFonts w:ascii="Arial" w:hAnsi="Arial" w:cs="Arial"/>
          <w:color w:val="000000"/>
          <w:sz w:val="22"/>
          <w:szCs w:val="22"/>
        </w:rPr>
        <w:t xml:space="preserve">Department of Pathology and Immunology, Washington University School of Medicine, St Louis, MO </w:t>
      </w:r>
    </w:p>
    <w:p w14:paraId="1C040D34" w14:textId="37B5AF6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10</w:t>
      </w:r>
      <w:r w:rsidRPr="00952E0E">
        <w:rPr>
          <w:rFonts w:ascii="Arial" w:hAnsi="Arial" w:cs="Arial"/>
          <w:color w:val="000000"/>
          <w:sz w:val="22"/>
          <w:szCs w:val="22"/>
        </w:rPr>
        <w:t xml:space="preserve"> Department of Urology, University of Iowa Hospitals and Clinics, Iowa City, IA</w:t>
      </w:r>
    </w:p>
    <w:p w14:paraId="627B3711" w14:textId="0C3FBB8F"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11</w:t>
      </w:r>
      <w:r w:rsidRPr="00952E0E">
        <w:rPr>
          <w:rFonts w:ascii="Arial" w:hAnsi="Arial" w:cs="Arial"/>
          <w:sz w:val="22"/>
          <w:szCs w:val="22"/>
        </w:rPr>
        <w:t xml:space="preserve"> Department of Pathology, Immunology, and Laboratory Medicine, University of Florida,</w:t>
      </w:r>
      <w:r w:rsidRPr="00952E0E">
        <w:rPr>
          <w:rFonts w:ascii="Arial" w:eastAsia="MS Mincho" w:hAnsi="Arial" w:cs="Arial"/>
          <w:sz w:val="22"/>
          <w:szCs w:val="22"/>
        </w:rPr>
        <w:t xml:space="preserve"> </w:t>
      </w:r>
      <w:r w:rsidRPr="00952E0E">
        <w:rPr>
          <w:rFonts w:ascii="Arial" w:hAnsi="Arial" w:cs="Arial"/>
          <w:sz w:val="22"/>
          <w:szCs w:val="22"/>
        </w:rPr>
        <w:t>Gainesville, FL</w:t>
      </w:r>
    </w:p>
    <w:p w14:paraId="2BFC6357" w14:textId="5016C029"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12</w:t>
      </w:r>
      <w:r w:rsidRPr="00952E0E">
        <w:rPr>
          <w:rFonts w:ascii="Arial" w:hAnsi="Arial" w:cs="Arial"/>
          <w:sz w:val="22"/>
          <w:szCs w:val="22"/>
        </w:rPr>
        <w:t xml:space="preserve"> Department of Internal Medicine, University of Iowa Hospitals and Clinics, Iowa City, IA</w:t>
      </w:r>
    </w:p>
    <w:p w14:paraId="0C7BC41F" w14:textId="77777777" w:rsidR="00952E0E" w:rsidRPr="00952E0E" w:rsidRDefault="00952E0E" w:rsidP="00952E0E">
      <w:pPr>
        <w:widowControl w:val="0"/>
        <w:autoSpaceDE w:val="0"/>
        <w:autoSpaceDN w:val="0"/>
        <w:adjustRightInd w:val="0"/>
        <w:spacing w:after="240"/>
        <w:rPr>
          <w:rFonts w:ascii="Arial" w:hAnsi="Arial" w:cs="Arial"/>
          <w:b/>
          <w:sz w:val="22"/>
          <w:szCs w:val="22"/>
        </w:rPr>
      </w:pPr>
      <w:r w:rsidRPr="00952E0E">
        <w:rPr>
          <w:rFonts w:ascii="Arial" w:hAnsi="Arial" w:cs="Arial"/>
          <w:sz w:val="22"/>
          <w:szCs w:val="22"/>
        </w:rPr>
        <w:t>* Correspondence</w:t>
      </w:r>
      <w:r w:rsidRPr="00952E0E">
        <w:rPr>
          <w:rFonts w:ascii="Arial" w:hAnsi="Arial" w:cs="Arial"/>
          <w:color w:val="000000"/>
          <w:sz w:val="22"/>
          <w:szCs w:val="22"/>
        </w:rPr>
        <w:t xml:space="preserve">: </w:t>
      </w:r>
      <w:hyperlink r:id="rId5" w:history="1">
        <w:r w:rsidRPr="00952E0E">
          <w:rPr>
            <w:rStyle w:val="Hyperlink"/>
            <w:rFonts w:ascii="Arial" w:hAnsi="Arial" w:cs="Arial"/>
            <w:sz w:val="22"/>
            <w:szCs w:val="22"/>
          </w:rPr>
          <w:t>rwjenkins@partners.org</w:t>
        </w:r>
      </w:hyperlink>
      <w:r w:rsidRPr="00952E0E">
        <w:rPr>
          <w:rFonts w:ascii="Arial" w:hAnsi="Arial" w:cs="Arial"/>
          <w:color w:val="000000"/>
          <w:sz w:val="22"/>
          <w:szCs w:val="22"/>
        </w:rPr>
        <w:t xml:space="preserve"> (R.W.J),</w:t>
      </w:r>
      <w:r w:rsidRPr="00952E0E">
        <w:rPr>
          <w:rFonts w:ascii="Arial" w:hAnsi="Arial" w:cs="Arial"/>
          <w:sz w:val="22"/>
          <w:szCs w:val="22"/>
        </w:rPr>
        <w:t xml:space="preserve"> </w:t>
      </w:r>
      <w:hyperlink r:id="rId6" w:history="1">
        <w:r w:rsidRPr="00952E0E">
          <w:rPr>
            <w:rStyle w:val="Hyperlink"/>
            <w:rFonts w:ascii="Arial" w:hAnsi="Arial" w:cs="Arial"/>
            <w:sz w:val="22"/>
            <w:szCs w:val="22"/>
          </w:rPr>
          <w:t>zhangw@ufl.edu</w:t>
        </w:r>
      </w:hyperlink>
      <w:r w:rsidRPr="00952E0E">
        <w:rPr>
          <w:rFonts w:ascii="Arial" w:hAnsi="Arial" w:cs="Arial"/>
          <w:color w:val="000000"/>
          <w:sz w:val="22"/>
          <w:szCs w:val="22"/>
        </w:rPr>
        <w:t xml:space="preserve"> (W.Z) and </w:t>
      </w:r>
      <w:hyperlink r:id="rId7" w:history="1">
        <w:r w:rsidRPr="00952E0E">
          <w:rPr>
            <w:rStyle w:val="Hyperlink"/>
            <w:rFonts w:ascii="Arial" w:hAnsi="Arial" w:cs="Arial"/>
            <w:sz w:val="22"/>
            <w:szCs w:val="22"/>
          </w:rPr>
          <w:t>yousef-zakharia@uiowa.edu</w:t>
        </w:r>
      </w:hyperlink>
      <w:r w:rsidRPr="00952E0E">
        <w:rPr>
          <w:rFonts w:ascii="Arial" w:hAnsi="Arial" w:cs="Arial"/>
          <w:color w:val="000000"/>
          <w:sz w:val="22"/>
          <w:szCs w:val="22"/>
        </w:rPr>
        <w:t xml:space="preserve"> (Y.Z)</w:t>
      </w:r>
    </w:p>
    <w:p w14:paraId="6A6FF6F6" w14:textId="77777777" w:rsidR="00952E0E" w:rsidRDefault="00952E0E" w:rsidP="008274D0">
      <w:pPr>
        <w:pStyle w:val="Paragraph"/>
        <w:snapToGrid w:val="0"/>
        <w:ind w:firstLine="0"/>
        <w:rPr>
          <w:rFonts w:ascii="Arial" w:hAnsi="Arial" w:cs="Arial"/>
          <w:b/>
          <w:bCs/>
          <w:color w:val="000000"/>
          <w:sz w:val="22"/>
          <w:szCs w:val="22"/>
        </w:rPr>
      </w:pPr>
    </w:p>
    <w:p w14:paraId="265AE6D0" w14:textId="77777777" w:rsidR="00952E0E" w:rsidRDefault="00952E0E" w:rsidP="008274D0">
      <w:pPr>
        <w:pStyle w:val="Paragraph"/>
        <w:snapToGrid w:val="0"/>
        <w:ind w:firstLine="0"/>
        <w:rPr>
          <w:rFonts w:ascii="Arial" w:hAnsi="Arial" w:cs="Arial"/>
          <w:b/>
          <w:bCs/>
          <w:color w:val="000000"/>
          <w:sz w:val="22"/>
          <w:szCs w:val="22"/>
        </w:rPr>
      </w:pPr>
    </w:p>
    <w:p w14:paraId="52EB4BC8" w14:textId="77777777" w:rsidR="00952E0E" w:rsidRDefault="00952E0E" w:rsidP="008274D0">
      <w:pPr>
        <w:pStyle w:val="Paragraph"/>
        <w:snapToGrid w:val="0"/>
        <w:ind w:firstLine="0"/>
        <w:rPr>
          <w:rFonts w:ascii="Arial" w:hAnsi="Arial" w:cs="Arial"/>
          <w:b/>
          <w:bCs/>
          <w:color w:val="000000"/>
          <w:sz w:val="22"/>
          <w:szCs w:val="22"/>
        </w:rPr>
      </w:pPr>
    </w:p>
    <w:p w14:paraId="1EA01CA7" w14:textId="77777777" w:rsidR="00952E0E" w:rsidRDefault="00952E0E" w:rsidP="008274D0">
      <w:pPr>
        <w:pStyle w:val="Paragraph"/>
        <w:snapToGrid w:val="0"/>
        <w:ind w:firstLine="0"/>
        <w:rPr>
          <w:rFonts w:ascii="Arial" w:hAnsi="Arial" w:cs="Arial"/>
          <w:b/>
          <w:bCs/>
          <w:color w:val="000000"/>
          <w:sz w:val="22"/>
          <w:szCs w:val="22"/>
        </w:rPr>
      </w:pPr>
    </w:p>
    <w:p w14:paraId="3596ED2F" w14:textId="77777777" w:rsidR="00952E0E" w:rsidRDefault="00952E0E" w:rsidP="008274D0">
      <w:pPr>
        <w:pStyle w:val="Paragraph"/>
        <w:snapToGrid w:val="0"/>
        <w:ind w:firstLine="0"/>
        <w:rPr>
          <w:rFonts w:ascii="Arial" w:hAnsi="Arial" w:cs="Arial"/>
          <w:b/>
          <w:bCs/>
          <w:color w:val="000000"/>
          <w:sz w:val="22"/>
          <w:szCs w:val="22"/>
        </w:rPr>
      </w:pPr>
    </w:p>
    <w:p w14:paraId="37115ED2" w14:textId="77777777" w:rsidR="00952E0E" w:rsidRDefault="00952E0E" w:rsidP="008274D0">
      <w:pPr>
        <w:pStyle w:val="Paragraph"/>
        <w:snapToGrid w:val="0"/>
        <w:ind w:firstLine="0"/>
        <w:rPr>
          <w:rFonts w:ascii="Arial" w:hAnsi="Arial" w:cs="Arial"/>
          <w:b/>
          <w:bCs/>
          <w:color w:val="000000"/>
          <w:sz w:val="22"/>
          <w:szCs w:val="22"/>
        </w:rPr>
      </w:pPr>
    </w:p>
    <w:p w14:paraId="3EBF62E7" w14:textId="77777777" w:rsidR="00952E0E" w:rsidRDefault="00952E0E" w:rsidP="008274D0">
      <w:pPr>
        <w:pStyle w:val="Paragraph"/>
        <w:snapToGrid w:val="0"/>
        <w:ind w:firstLine="0"/>
        <w:rPr>
          <w:rFonts w:ascii="Arial" w:hAnsi="Arial" w:cs="Arial"/>
          <w:b/>
          <w:bCs/>
          <w:color w:val="000000"/>
          <w:sz w:val="22"/>
          <w:szCs w:val="22"/>
        </w:rPr>
      </w:pPr>
    </w:p>
    <w:p w14:paraId="34B5D0E4" w14:textId="77777777" w:rsidR="00952E0E" w:rsidRDefault="00952E0E" w:rsidP="008274D0">
      <w:pPr>
        <w:pStyle w:val="Paragraph"/>
        <w:snapToGrid w:val="0"/>
        <w:ind w:firstLine="0"/>
        <w:rPr>
          <w:rFonts w:ascii="Arial" w:hAnsi="Arial" w:cs="Arial"/>
          <w:b/>
          <w:bCs/>
          <w:color w:val="000000"/>
          <w:sz w:val="22"/>
          <w:szCs w:val="22"/>
        </w:rPr>
      </w:pPr>
    </w:p>
    <w:p w14:paraId="41D5C4CC" w14:textId="77777777" w:rsidR="00952E0E" w:rsidRDefault="00952E0E" w:rsidP="008274D0">
      <w:pPr>
        <w:pStyle w:val="Paragraph"/>
        <w:snapToGrid w:val="0"/>
        <w:ind w:firstLine="0"/>
        <w:rPr>
          <w:rFonts w:ascii="Arial" w:hAnsi="Arial" w:cs="Arial"/>
          <w:b/>
          <w:bCs/>
          <w:color w:val="000000"/>
          <w:sz w:val="22"/>
          <w:szCs w:val="22"/>
        </w:rPr>
      </w:pPr>
    </w:p>
    <w:p w14:paraId="2739636C" w14:textId="1E9D3092" w:rsidR="00952E0E" w:rsidRDefault="00952E0E" w:rsidP="008274D0">
      <w:pPr>
        <w:pStyle w:val="Paragraph"/>
        <w:snapToGrid w:val="0"/>
        <w:ind w:firstLine="0"/>
        <w:rPr>
          <w:rFonts w:ascii="Arial" w:hAnsi="Arial" w:cs="Arial"/>
          <w:b/>
          <w:bCs/>
          <w:color w:val="000000"/>
          <w:sz w:val="22"/>
          <w:szCs w:val="22"/>
        </w:rPr>
      </w:pPr>
    </w:p>
    <w:p w14:paraId="0F5D1B12" w14:textId="01E446B4" w:rsidR="00952E0E" w:rsidRDefault="00952E0E" w:rsidP="008274D0">
      <w:pPr>
        <w:pStyle w:val="Paragraph"/>
        <w:snapToGrid w:val="0"/>
        <w:ind w:firstLine="0"/>
        <w:rPr>
          <w:rFonts w:ascii="Arial" w:hAnsi="Arial" w:cs="Arial"/>
          <w:b/>
          <w:bCs/>
          <w:color w:val="000000"/>
          <w:sz w:val="22"/>
          <w:szCs w:val="22"/>
        </w:rPr>
      </w:pPr>
    </w:p>
    <w:p w14:paraId="2D790D9B" w14:textId="180BBF37" w:rsidR="00952E0E" w:rsidRDefault="00952E0E" w:rsidP="008274D0">
      <w:pPr>
        <w:pStyle w:val="Paragraph"/>
        <w:snapToGrid w:val="0"/>
        <w:ind w:firstLine="0"/>
        <w:rPr>
          <w:rFonts w:ascii="Arial" w:hAnsi="Arial" w:cs="Arial"/>
          <w:b/>
          <w:bCs/>
          <w:color w:val="000000"/>
          <w:sz w:val="22"/>
          <w:szCs w:val="22"/>
        </w:rPr>
      </w:pPr>
    </w:p>
    <w:p w14:paraId="15B36B89" w14:textId="1F313659" w:rsidR="00952E0E" w:rsidRDefault="00952E0E" w:rsidP="008274D0">
      <w:pPr>
        <w:pStyle w:val="Paragraph"/>
        <w:snapToGrid w:val="0"/>
        <w:ind w:firstLine="0"/>
        <w:rPr>
          <w:rFonts w:ascii="Arial" w:hAnsi="Arial" w:cs="Arial"/>
          <w:b/>
          <w:bCs/>
          <w:color w:val="000000"/>
          <w:sz w:val="22"/>
          <w:szCs w:val="22"/>
        </w:rPr>
      </w:pPr>
    </w:p>
    <w:p w14:paraId="3DFEA410" w14:textId="6CE8C856" w:rsidR="00952E0E" w:rsidRDefault="00952E0E" w:rsidP="008274D0">
      <w:pPr>
        <w:pStyle w:val="Paragraph"/>
        <w:snapToGrid w:val="0"/>
        <w:ind w:firstLine="0"/>
        <w:rPr>
          <w:rFonts w:ascii="Arial" w:hAnsi="Arial" w:cs="Arial"/>
          <w:b/>
          <w:bCs/>
          <w:color w:val="000000"/>
          <w:sz w:val="22"/>
          <w:szCs w:val="22"/>
        </w:rPr>
      </w:pPr>
    </w:p>
    <w:p w14:paraId="395A72DE" w14:textId="77777777" w:rsidR="00952E0E" w:rsidRDefault="00952E0E" w:rsidP="008274D0">
      <w:pPr>
        <w:pStyle w:val="Paragraph"/>
        <w:snapToGrid w:val="0"/>
        <w:ind w:firstLine="0"/>
        <w:rPr>
          <w:rFonts w:ascii="Arial" w:hAnsi="Arial" w:cs="Arial"/>
          <w:b/>
          <w:bCs/>
          <w:color w:val="000000"/>
          <w:sz w:val="22"/>
          <w:szCs w:val="22"/>
        </w:rPr>
      </w:pPr>
    </w:p>
    <w:p w14:paraId="46F5DA2A" w14:textId="77777777" w:rsidR="00952E0E" w:rsidRDefault="00952E0E" w:rsidP="008274D0">
      <w:pPr>
        <w:pStyle w:val="Paragraph"/>
        <w:snapToGrid w:val="0"/>
        <w:ind w:firstLine="0"/>
        <w:rPr>
          <w:rFonts w:ascii="Arial" w:hAnsi="Arial" w:cs="Arial"/>
          <w:b/>
          <w:bCs/>
          <w:color w:val="000000"/>
          <w:sz w:val="22"/>
          <w:szCs w:val="22"/>
        </w:rPr>
      </w:pPr>
    </w:p>
    <w:p w14:paraId="22A5AF38" w14:textId="77777777" w:rsidR="00952E0E" w:rsidRDefault="00952E0E" w:rsidP="00952E0E">
      <w:pPr>
        <w:pStyle w:val="AbstractSummary"/>
        <w:jc w:val="both"/>
      </w:pPr>
      <w:r w:rsidRPr="00987EE5">
        <w:rPr>
          <w:b/>
        </w:rPr>
        <w:lastRenderedPageBreak/>
        <w:t>Abstract</w:t>
      </w:r>
      <w:r>
        <w:t xml:space="preserve">: </w:t>
      </w:r>
    </w:p>
    <w:p w14:paraId="67C0D87E" w14:textId="2D519A32" w:rsidR="00952E0E" w:rsidRPr="00436BC2" w:rsidRDefault="00952E0E" w:rsidP="00952E0E">
      <w:pPr>
        <w:pStyle w:val="AbstractSummary"/>
        <w:spacing w:line="480" w:lineRule="auto"/>
        <w:jc w:val="both"/>
      </w:pPr>
      <w:r w:rsidRPr="00436BC2">
        <w:rPr>
          <w:color w:val="000000"/>
        </w:rPr>
        <w:t xml:space="preserve">Human </w:t>
      </w:r>
      <w:r w:rsidRPr="00436BC2">
        <w:t>clear cell renal cell carcinoma</w:t>
      </w:r>
      <w:r w:rsidRPr="00436BC2">
        <w:rPr>
          <w:color w:val="000000"/>
        </w:rPr>
        <w:t xml:space="preserve"> (ccRCC) is one of the most immunologically distinct tumor types due to high levels of tumor-infiltrating immune cells including T cells, yet not every patient responds to immunotherapy. Interestingly, in contrast to other cancers</w:t>
      </w:r>
      <w:r>
        <w:rPr>
          <w:color w:val="000000"/>
        </w:rPr>
        <w:t>,</w:t>
      </w:r>
      <w:r w:rsidRPr="00436BC2">
        <w:rPr>
          <w:color w:val="000000"/>
        </w:rPr>
        <w:t xml:space="preserve"> infiltration with cytotoxic CD8+ T cells is associated with poorer overall survival in ccRCC, suggesting that sub-populations of CD8+ and other immune cells may underlie this observation. To characterize the tumor immune microenvironment of ccRCC</w:t>
      </w:r>
      <w:r w:rsidRPr="00436BC2">
        <w:t>, we applied single-cell</w:t>
      </w:r>
      <w:r>
        <w:t>-</w:t>
      </w:r>
      <w:r w:rsidRPr="00436BC2">
        <w:t>RNA sequencing</w:t>
      </w:r>
      <w:r>
        <w:t xml:space="preserve"> (SCRS)</w:t>
      </w:r>
      <w:r w:rsidRPr="00436BC2">
        <w:t xml:space="preserve"> along with T</w:t>
      </w:r>
      <w:r>
        <w:t>-</w:t>
      </w:r>
      <w:r w:rsidRPr="00436BC2">
        <w:t>cell</w:t>
      </w:r>
      <w:r>
        <w:t>-</w:t>
      </w:r>
      <w:r w:rsidRPr="00436BC2">
        <w:t>receptor</w:t>
      </w:r>
      <w:r>
        <w:t xml:space="preserve"> (TCR)</w:t>
      </w:r>
      <w:r w:rsidRPr="00436BC2">
        <w:t xml:space="preserve"> sequencing to</w:t>
      </w:r>
      <w:r w:rsidRPr="00436BC2">
        <w:rPr>
          <w:color w:val="000000"/>
        </w:rPr>
        <w:t xml:space="preserve"> map the transcriptomic heterogeneity of </w:t>
      </w:r>
      <w:r w:rsidRPr="00436BC2">
        <w:t>25,688 individual CD45</w:t>
      </w:r>
      <w:r w:rsidRPr="00952E0E">
        <w:rPr>
          <w:vertAlign w:val="superscript"/>
        </w:rPr>
        <w:t>+</w:t>
      </w:r>
      <w:r w:rsidRPr="00436BC2">
        <w:t xml:space="preserve"> lymphoid and myeloid cells in matched tumor and blood from patients with ccRCC. </w:t>
      </w:r>
      <w:r w:rsidRPr="00952E0E">
        <w:rPr>
          <w:highlight w:val="yellow"/>
        </w:rPr>
        <w:t>Will need to update based on new findings.</w:t>
      </w:r>
      <w:r>
        <w:t xml:space="preserve"> </w:t>
      </w:r>
      <w:r w:rsidRPr="00436BC2">
        <w:rPr>
          <w:color w:val="000000"/>
        </w:rPr>
        <w:t xml:space="preserve">This report represents the first such characterization of the ccRCC immune landscape using </w:t>
      </w:r>
      <w:proofErr w:type="spellStart"/>
      <w:r w:rsidRPr="00436BC2">
        <w:rPr>
          <w:color w:val="000000"/>
        </w:rPr>
        <w:t>scRNA</w:t>
      </w:r>
      <w:proofErr w:type="spellEnd"/>
      <w:r w:rsidRPr="00436BC2">
        <w:rPr>
          <w:color w:val="000000"/>
        </w:rPr>
        <w:t>-seq. With further characterization and functional validation, these findings may identify novel sub-populations of immune cells amenable to therapeutic intervention.</w:t>
      </w:r>
    </w:p>
    <w:p w14:paraId="71ADE399" w14:textId="77777777" w:rsidR="00952E0E" w:rsidRDefault="00952E0E" w:rsidP="008274D0">
      <w:pPr>
        <w:pStyle w:val="Paragraph"/>
        <w:snapToGrid w:val="0"/>
        <w:ind w:firstLine="0"/>
        <w:rPr>
          <w:rFonts w:ascii="Arial" w:hAnsi="Arial" w:cs="Arial"/>
          <w:b/>
          <w:bCs/>
          <w:color w:val="000000"/>
          <w:sz w:val="22"/>
          <w:szCs w:val="22"/>
        </w:rPr>
      </w:pPr>
    </w:p>
    <w:p w14:paraId="4964FD49" w14:textId="2E952CC8" w:rsidR="00952E0E" w:rsidRDefault="00952E0E" w:rsidP="008274D0">
      <w:pPr>
        <w:pStyle w:val="Paragraph"/>
        <w:snapToGrid w:val="0"/>
        <w:ind w:firstLine="0"/>
        <w:rPr>
          <w:rFonts w:ascii="Arial" w:hAnsi="Arial" w:cs="Arial"/>
          <w:b/>
          <w:bCs/>
          <w:color w:val="000000"/>
          <w:sz w:val="22"/>
          <w:szCs w:val="22"/>
        </w:rPr>
      </w:pPr>
    </w:p>
    <w:p w14:paraId="2BE3CC79" w14:textId="5D28134D" w:rsidR="00952E0E" w:rsidRDefault="00952E0E" w:rsidP="008274D0">
      <w:pPr>
        <w:pStyle w:val="Paragraph"/>
        <w:snapToGrid w:val="0"/>
        <w:ind w:firstLine="0"/>
        <w:rPr>
          <w:rFonts w:ascii="Arial" w:hAnsi="Arial" w:cs="Arial"/>
          <w:b/>
          <w:bCs/>
          <w:color w:val="000000"/>
          <w:sz w:val="22"/>
          <w:szCs w:val="22"/>
        </w:rPr>
      </w:pPr>
    </w:p>
    <w:p w14:paraId="6579468A" w14:textId="7894069A" w:rsidR="00952E0E" w:rsidRDefault="00952E0E" w:rsidP="008274D0">
      <w:pPr>
        <w:pStyle w:val="Paragraph"/>
        <w:snapToGrid w:val="0"/>
        <w:ind w:firstLine="0"/>
        <w:rPr>
          <w:rFonts w:ascii="Arial" w:hAnsi="Arial" w:cs="Arial"/>
          <w:b/>
          <w:bCs/>
          <w:color w:val="000000"/>
          <w:sz w:val="22"/>
          <w:szCs w:val="22"/>
        </w:rPr>
      </w:pPr>
    </w:p>
    <w:p w14:paraId="61CE466B" w14:textId="4170561B" w:rsidR="00952E0E" w:rsidRDefault="00952E0E" w:rsidP="008274D0">
      <w:pPr>
        <w:pStyle w:val="Paragraph"/>
        <w:snapToGrid w:val="0"/>
        <w:ind w:firstLine="0"/>
        <w:rPr>
          <w:rFonts w:ascii="Arial" w:hAnsi="Arial" w:cs="Arial"/>
          <w:b/>
          <w:bCs/>
          <w:color w:val="000000"/>
          <w:sz w:val="22"/>
          <w:szCs w:val="22"/>
        </w:rPr>
      </w:pPr>
    </w:p>
    <w:p w14:paraId="0DA41E7B" w14:textId="6C3211E6" w:rsidR="00952E0E" w:rsidRDefault="00952E0E" w:rsidP="008274D0">
      <w:pPr>
        <w:pStyle w:val="Paragraph"/>
        <w:snapToGrid w:val="0"/>
        <w:ind w:firstLine="0"/>
        <w:rPr>
          <w:rFonts w:ascii="Arial" w:hAnsi="Arial" w:cs="Arial"/>
          <w:b/>
          <w:bCs/>
          <w:color w:val="000000"/>
          <w:sz w:val="22"/>
          <w:szCs w:val="22"/>
        </w:rPr>
      </w:pPr>
    </w:p>
    <w:p w14:paraId="57E58DC1" w14:textId="1C7BFFDB" w:rsidR="00952E0E" w:rsidRDefault="00952E0E" w:rsidP="008274D0">
      <w:pPr>
        <w:pStyle w:val="Paragraph"/>
        <w:snapToGrid w:val="0"/>
        <w:ind w:firstLine="0"/>
        <w:rPr>
          <w:rFonts w:ascii="Arial" w:hAnsi="Arial" w:cs="Arial"/>
          <w:b/>
          <w:bCs/>
          <w:color w:val="000000"/>
          <w:sz w:val="22"/>
          <w:szCs w:val="22"/>
        </w:rPr>
      </w:pPr>
    </w:p>
    <w:p w14:paraId="5C1326C2" w14:textId="65C2D523" w:rsidR="00952E0E" w:rsidRDefault="00952E0E" w:rsidP="008274D0">
      <w:pPr>
        <w:pStyle w:val="Paragraph"/>
        <w:snapToGrid w:val="0"/>
        <w:ind w:firstLine="0"/>
        <w:rPr>
          <w:rFonts w:ascii="Arial" w:hAnsi="Arial" w:cs="Arial"/>
          <w:b/>
          <w:bCs/>
          <w:color w:val="000000"/>
          <w:sz w:val="22"/>
          <w:szCs w:val="22"/>
        </w:rPr>
      </w:pPr>
    </w:p>
    <w:p w14:paraId="7E7798CC" w14:textId="4D2DB854" w:rsidR="00952E0E" w:rsidRDefault="00952E0E" w:rsidP="008274D0">
      <w:pPr>
        <w:pStyle w:val="Paragraph"/>
        <w:snapToGrid w:val="0"/>
        <w:ind w:firstLine="0"/>
        <w:rPr>
          <w:rFonts w:ascii="Arial" w:hAnsi="Arial" w:cs="Arial"/>
          <w:b/>
          <w:bCs/>
          <w:color w:val="000000"/>
          <w:sz w:val="22"/>
          <w:szCs w:val="22"/>
        </w:rPr>
      </w:pPr>
    </w:p>
    <w:p w14:paraId="6E054FD8" w14:textId="5CD50FCC" w:rsidR="00952E0E" w:rsidRDefault="00952E0E" w:rsidP="008274D0">
      <w:pPr>
        <w:pStyle w:val="Paragraph"/>
        <w:snapToGrid w:val="0"/>
        <w:ind w:firstLine="0"/>
        <w:rPr>
          <w:rFonts w:ascii="Arial" w:hAnsi="Arial" w:cs="Arial"/>
          <w:b/>
          <w:bCs/>
          <w:color w:val="000000"/>
          <w:sz w:val="22"/>
          <w:szCs w:val="22"/>
        </w:rPr>
      </w:pPr>
    </w:p>
    <w:p w14:paraId="74CBE889" w14:textId="4DA4D165" w:rsidR="00952E0E" w:rsidRDefault="00952E0E" w:rsidP="008274D0">
      <w:pPr>
        <w:pStyle w:val="Paragraph"/>
        <w:snapToGrid w:val="0"/>
        <w:ind w:firstLine="0"/>
        <w:rPr>
          <w:rFonts w:ascii="Arial" w:hAnsi="Arial" w:cs="Arial"/>
          <w:b/>
          <w:bCs/>
          <w:color w:val="000000"/>
          <w:sz w:val="22"/>
          <w:szCs w:val="22"/>
        </w:rPr>
      </w:pPr>
    </w:p>
    <w:p w14:paraId="4701F2D2" w14:textId="30CD480B" w:rsidR="00952E0E" w:rsidRDefault="00952E0E" w:rsidP="008274D0">
      <w:pPr>
        <w:pStyle w:val="Paragraph"/>
        <w:snapToGrid w:val="0"/>
        <w:ind w:firstLine="0"/>
        <w:rPr>
          <w:rFonts w:ascii="Arial" w:hAnsi="Arial" w:cs="Arial"/>
          <w:b/>
          <w:bCs/>
          <w:color w:val="000000"/>
          <w:sz w:val="22"/>
          <w:szCs w:val="22"/>
        </w:rPr>
      </w:pPr>
    </w:p>
    <w:p w14:paraId="4E519B19" w14:textId="77777777" w:rsidR="00952E0E" w:rsidRDefault="00952E0E" w:rsidP="008274D0">
      <w:pPr>
        <w:pStyle w:val="Paragraph"/>
        <w:snapToGrid w:val="0"/>
        <w:ind w:firstLine="0"/>
        <w:rPr>
          <w:rFonts w:ascii="Arial" w:hAnsi="Arial" w:cs="Arial"/>
          <w:b/>
          <w:bCs/>
          <w:color w:val="000000"/>
          <w:sz w:val="22"/>
          <w:szCs w:val="22"/>
        </w:rPr>
      </w:pPr>
    </w:p>
    <w:p w14:paraId="6AD1D8FB" w14:textId="77777777" w:rsidR="00952E0E" w:rsidRDefault="00952E0E" w:rsidP="008274D0">
      <w:pPr>
        <w:pStyle w:val="Paragraph"/>
        <w:snapToGrid w:val="0"/>
        <w:ind w:firstLine="0"/>
        <w:rPr>
          <w:rFonts w:ascii="Arial" w:hAnsi="Arial" w:cs="Arial"/>
          <w:b/>
          <w:bCs/>
          <w:color w:val="000000"/>
          <w:sz w:val="22"/>
          <w:szCs w:val="22"/>
        </w:rPr>
      </w:pPr>
    </w:p>
    <w:p w14:paraId="730A2881" w14:textId="77777777" w:rsidR="00952E0E" w:rsidRDefault="00952E0E" w:rsidP="008274D0">
      <w:pPr>
        <w:pStyle w:val="Paragraph"/>
        <w:snapToGrid w:val="0"/>
        <w:ind w:firstLine="0"/>
        <w:rPr>
          <w:rFonts w:ascii="Arial" w:hAnsi="Arial" w:cs="Arial"/>
          <w:b/>
          <w:bCs/>
          <w:color w:val="000000"/>
          <w:sz w:val="22"/>
          <w:szCs w:val="22"/>
        </w:rPr>
      </w:pPr>
    </w:p>
    <w:p w14:paraId="24D58D48" w14:textId="77777777" w:rsidR="006A1B3C" w:rsidRPr="006A1B3C" w:rsidRDefault="006A1B3C" w:rsidP="006A1B3C">
      <w:pPr>
        <w:pStyle w:val="Paragraph"/>
        <w:spacing w:line="480" w:lineRule="auto"/>
        <w:ind w:firstLine="0"/>
        <w:rPr>
          <w:rFonts w:ascii="Arial" w:hAnsi="Arial" w:cs="Arial"/>
          <w:b/>
          <w:sz w:val="22"/>
          <w:szCs w:val="22"/>
        </w:rPr>
      </w:pPr>
      <w:r w:rsidRPr="006A1B3C">
        <w:rPr>
          <w:rFonts w:ascii="Arial" w:hAnsi="Arial" w:cs="Arial"/>
          <w:b/>
          <w:sz w:val="22"/>
          <w:szCs w:val="22"/>
        </w:rPr>
        <w:lastRenderedPageBreak/>
        <w:t>Introduction</w:t>
      </w:r>
    </w:p>
    <w:p w14:paraId="2F99D49B" w14:textId="4463A5EB"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sz w:val="22"/>
          <w:szCs w:val="22"/>
        </w:rPr>
        <w:t>Clear cell renal cell carcinoma (ccRCC) is the most common type of renal cell carcinoma arising from epithelial cells of the proximal tubule of the kidney, comprising more than 70% of all renal cancers</w:t>
      </w:r>
      <w:r w:rsidR="00EC70F5">
        <w:rPr>
          <w:rFonts w:ascii="Arial" w:hAnsi="Arial" w:cs="Arial"/>
          <w:sz w:val="22"/>
          <w:szCs w:val="22"/>
        </w:rPr>
        <w:t xml:space="preserve"> </w:t>
      </w:r>
      <w:r w:rsidR="00EC70F5">
        <w:rPr>
          <w:rFonts w:ascii="Arial" w:hAnsi="Arial" w:cs="Arial"/>
          <w:sz w:val="22"/>
          <w:szCs w:val="22"/>
        </w:rPr>
        <w:fldChar w:fldCharType="begin" w:fldLock="1"/>
      </w:r>
      <w:r w:rsidR="00564DB7">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(1)","plainTextFormattedCitation":"(1)","previouslyFormattedCitation":"(1)"},"properties":{"noteIndex":0},"schema":"https://github.com/citation-style-language/schema/raw/master/csl-citation.json"}</w:instrText>
      </w:r>
      <w:r w:rsidR="00EC70F5">
        <w:rPr>
          <w:rFonts w:ascii="Arial" w:hAnsi="Arial" w:cs="Arial"/>
          <w:sz w:val="22"/>
          <w:szCs w:val="22"/>
        </w:rPr>
        <w:fldChar w:fldCharType="separate"/>
      </w:r>
      <w:r w:rsidR="00EC70F5" w:rsidRPr="00EC70F5">
        <w:rPr>
          <w:rFonts w:ascii="Arial" w:hAnsi="Arial" w:cs="Arial"/>
          <w:noProof/>
          <w:sz w:val="22"/>
          <w:szCs w:val="22"/>
        </w:rPr>
        <w:t>(1)</w:t>
      </w:r>
      <w:r w:rsidR="00EC70F5">
        <w:rPr>
          <w:rFonts w:ascii="Arial" w:hAnsi="Arial" w:cs="Arial"/>
          <w:sz w:val="22"/>
          <w:szCs w:val="22"/>
        </w:rPr>
        <w:fldChar w:fldCharType="end"/>
      </w:r>
      <w:r w:rsidRPr="006A1B3C">
        <w:rPr>
          <w:rFonts w:ascii="Arial" w:hAnsi="Arial" w:cs="Arial"/>
          <w:sz w:val="22"/>
          <w:szCs w:val="22"/>
        </w:rPr>
        <w:t xml:space="preserve">. </w:t>
      </w:r>
      <w:r w:rsidRPr="006A1B3C">
        <w:rPr>
          <w:rFonts w:ascii="Arial" w:hAnsi="Arial" w:cs="Arial"/>
          <w:color w:val="000000"/>
          <w:sz w:val="22"/>
          <w:szCs w:val="22"/>
        </w:rPr>
        <w:t>ccRCC represents an immune sensitive tumor type well known for early advances in systemic immunotherapy using T cell proliferation cytokine IL-2 and interferon</w:t>
      </w:r>
      <w:r w:rsidR="00564DB7">
        <w:rPr>
          <w:rFonts w:ascii="Arial" w:hAnsi="Arial" w:cs="Arial"/>
          <w:color w:val="000000"/>
          <w:sz w:val="22"/>
          <w:szCs w:val="22"/>
        </w:rPr>
        <w:t xml:space="preserve"> </w:t>
      </w:r>
      <w:r w:rsidR="00EC70F5">
        <w:rPr>
          <w:rFonts w:ascii="Arial" w:hAnsi="Arial" w:cs="Arial"/>
          <w:color w:val="000000"/>
          <w:sz w:val="22"/>
          <w:szCs w:val="22"/>
        </w:rPr>
        <w:t xml:space="preserve">(IFN) </w:t>
      </w:r>
      <w:r w:rsidR="00564DB7">
        <w:rPr>
          <w:rFonts w:ascii="Arial" w:hAnsi="Arial" w:cs="Arial"/>
          <w:color w:val="000000"/>
          <w:sz w:val="22"/>
          <w:szCs w:val="22"/>
        </w:rPr>
        <w:t>-ɑ</w:t>
      </w:r>
      <w:r w:rsidRPr="006A1B3C">
        <w:rPr>
          <w:rFonts w:ascii="Arial" w:hAnsi="Arial" w:cs="Arial"/>
          <w:color w:val="000000"/>
          <w:sz w:val="22"/>
          <w:szCs w:val="22"/>
        </w:rPr>
        <w:t>2b therapy</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564DB7">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(2)","plainTextFormattedCitation":"(2)","previouslyFormattedCitation":"(2)"},"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(2)</w:t>
      </w:r>
      <w:r w:rsidR="00564DB7">
        <w:rPr>
          <w:rFonts w:ascii="Arial" w:hAnsi="Arial" w:cs="Arial"/>
          <w:color w:val="000000"/>
          <w:sz w:val="22"/>
          <w:szCs w:val="22"/>
        </w:rPr>
        <w:fldChar w:fldCharType="end"/>
      </w:r>
      <w:r w:rsidRPr="006A1B3C">
        <w:rPr>
          <w:rFonts w:ascii="Arial" w:hAnsi="Arial" w:cs="Arial"/>
          <w:color w:val="000000"/>
          <w:sz w:val="22"/>
          <w:szCs w:val="22"/>
        </w:rPr>
        <w:t>. Recent novel immunotherapies targeting T cell checkpoints as standard of care has transformed the treatment paradigm of ccRCC</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(3,4)","plainTextFormattedCitation":"(3,4)","previouslyFormattedCitation":"(3,4)"},"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(3,4)</w:t>
      </w:r>
      <w:r w:rsidR="00564DB7">
        <w:rPr>
          <w:rFonts w:ascii="Arial" w:hAnsi="Arial" w:cs="Arial"/>
          <w:color w:val="000000"/>
          <w:sz w:val="22"/>
          <w:szCs w:val="22"/>
        </w:rPr>
        <w:fldChar w:fldCharType="end"/>
      </w:r>
      <w:r w:rsidRPr="006A1B3C">
        <w:rPr>
          <w:rFonts w:ascii="Arial" w:hAnsi="Arial" w:cs="Arial"/>
          <w:color w:val="000000"/>
          <w:sz w:val="22"/>
          <w:szCs w:val="22"/>
        </w:rPr>
        <w:t>. However, a substantial subset of renal cancer patients still do not respond to these therapies and patients who initially do can eventually progress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P.","non-dropping-particle":"","parse-names":false,"suffix":""}],"container-title":"Cell","id":"ITEM-1","issued":{"date-parts":[["2015"]]},"title":"Immune checkpoint targeting in cancer therapy: Toward combination strategies with curative potential","type":"article"},"uris":["http://www.mendeley.com/documents/?uuid=4c21d846-a5c0-4325-bc7c-e2b363a38e61"]},{"id":"ITEM-2","itemData":{"DOI":"10.1158/1078-0432.CCR-14-2926","ISSN":"15573265","PMID":"25688160","abstract":"Purpose: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CD8&lt;sup&gt;+&lt;/sup&gt;Tcells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CD8&lt;sup&gt;+&lt;/sup&gt;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CD8&lt;sup&gt;+&lt;/sup&gt;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Research","id":"ITEM-2","issued":{"date-parts":[["2015"]]},"title":"Orchestration and prognostic significance of immune checkpoints in the microenvironment of primary and metastatic renal cell cancer","type":"article-journal"},"uris":["http://www.mendeley.com/documents/?uuid=ec3302ef-5ce4-4969-9eec-dd95284e1655"]}],"mendeley":{"formattedCitation":"(5,6)","plainTextFormattedCitation":"(5,6)","previouslyFormattedCitation":"(5,6)"},"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(5,6)</w:t>
      </w:r>
      <w:r w:rsidR="00A95847">
        <w:rPr>
          <w:rFonts w:ascii="Arial" w:hAnsi="Arial" w:cs="Arial"/>
          <w:color w:val="000000"/>
          <w:sz w:val="22"/>
          <w:szCs w:val="22"/>
        </w:rPr>
        <w:fldChar w:fldCharType="end"/>
      </w:r>
      <w:r w:rsidRPr="006A1B3C">
        <w:rPr>
          <w:rFonts w:ascii="Arial" w:hAnsi="Arial" w:cs="Arial"/>
          <w:color w:val="000000"/>
          <w:sz w:val="22"/>
          <w:szCs w:val="22"/>
        </w:rPr>
        <w:t>. Cytotoxic tumor-infiltrating lymphocytes (TILs), in particular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are key effectors of the adaptive anti-tumor immune response</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d":{"date-parts":[["2014"]]},"title":"PD-1 blockade induces responses by inhibiting adaptive immune resistance","type":"article-journal"},"uris":["http://www.mendeley.com/documents/?uuid=42e1fa45-bb91-4f37-8ccb-5304ad1c9c2f"]}],"mendeley":{"formattedCitation":"(7)","plainTextFormattedCitation":"(7)","previouslyFormattedCitation":"(7)"},"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(7)</w:t>
      </w:r>
      <w:r w:rsidR="00A95847">
        <w:rPr>
          <w:rFonts w:ascii="Arial" w:hAnsi="Arial" w:cs="Arial"/>
          <w:color w:val="000000"/>
          <w:sz w:val="22"/>
          <w:szCs w:val="22"/>
        </w:rPr>
        <w:fldChar w:fldCharType="end"/>
      </w:r>
      <w:r w:rsidRPr="006A1B3C">
        <w:rPr>
          <w:rFonts w:ascii="Arial" w:hAnsi="Arial" w:cs="Arial"/>
          <w:color w:val="000000"/>
          <w:sz w:val="22"/>
          <w:szCs w:val="22"/>
        </w:rPr>
        <w:t xml:space="preserve"> and abundance of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in solid cancers is generally associated with better survival in cancer patients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Medicine","id":"ITEM-1","issued":{"date-parts":[["2016"]]},"title":"Immunoscore and Immunoprofiling in cancer: An update from the melanoma and immunotherapy bridge 2015","type":"article-journal"},"uris":["http://www.mendeley.com/documents/?uuid=256453fd-5618-4863-affe-ff400516cd23"]},{"id":"ITEM-2","itemData":{"DOI":"10.1371/journal.pone.0190158","ISSN":"19326203","abstract":"The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ONE","id":"ITEM-2","issued":{"date-parts":[["2018"]]},"title":"CD8+ T cell infiltration in breast and colon cancer: A histologic and statistical analysis","type":"article"},"uris":["http://www.mendeley.com/documents/?uuid=1f63b4fb-c74d-4bf0-aebd-6c57915b7126"]},{"id":"ITEM-3","itemData":{"DOI":"10.1002/cam4.1889","ISSN":"20457634","abstract":"Background: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Medicine","id":"ITEM-3","issued":{"date-parts":[["2019"]]},"title":"Tumor-infiltrating CD8+ T-cell density is an independent prognostic marker for oral squamous cell carcinoma","type":"article-journal"},"uris":["http://www.mendeley.com/documents/?uuid=7412592c-fc34-4a85-a909-b5f52b9942b5"]}],"mendeley":{"formattedCitation":"(8–10)","plainTextFormattedCitation":"(8–10)","previouslyFormattedCitation":"(8–10)"},"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(8–10)</w:t>
      </w:r>
      <w:r w:rsidR="00A95847">
        <w:rPr>
          <w:rFonts w:ascii="Arial" w:hAnsi="Arial" w:cs="Arial"/>
          <w:color w:val="000000"/>
          <w:sz w:val="22"/>
          <w:szCs w:val="22"/>
        </w:rPr>
        <w:fldChar w:fldCharType="end"/>
      </w:r>
      <w:r>
        <w:rPr>
          <w:rFonts w:ascii="Arial" w:hAnsi="Arial" w:cs="Arial"/>
          <w:color w:val="000000"/>
          <w:sz w:val="22"/>
          <w:szCs w:val="22"/>
        </w:rPr>
        <w:t>.</w:t>
      </w:r>
      <w:r w:rsidRPr="006A1B3C">
        <w:rPr>
          <w:rFonts w:ascii="Arial" w:hAnsi="Arial" w:cs="Arial"/>
          <w:color w:val="000000"/>
          <w:sz w:val="22"/>
          <w:szCs w:val="22"/>
        </w:rPr>
        <w:t xml:space="preserve"> However, in RCC, immune cell abundance is inversely correlated with survival, specifically TILs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Oncology","id":"ITEM-1","issued":{"date-parts":[["2019"]]},"title":"The future of perioperative therapy in advanced renal cell carcinoma: How can we PROSPER?","type":"article-journal"},"uris":["http://www.mendeley.com/documents/?uuid=b5666e1f-6377-4972-abc5-5a90640ecc04"]},{"id":"ITEM-2","itemData":{"ISSN":"00085472","abstract":"Tumor-infiltrating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Research","id":"ITEM-2","issued":{"date-parts":[["2001"]]},"title":"Proliferative activity of intratumoral CD8+ T-lymphocytes as a prognostic factor in human renal cell carcinoma: Clinicopathologic demonstration of antitumor immunity","type":"article-journal"},"uris":["http://www.mendeley.com/documents/?uuid=bfd43a63-9c57-4731-8476-c9271b9b9144"]},{"id":"ITEM-3","itemData":{"DOI":"10.18632/oncotarget.4572","ISSN":"19492553","PMID":"26317902","abstract":"Renal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B.","non-dropping-particle":"","parse-names":false,"suffix":""}],"container-title":"Oncotarget","id":"ITEM-3","issued":{"date-parts":[["2015"]]},"title":"Characterization of tumor infiltrating lymphocytes in paired primary and metastatic renal cell carcinoma specimens","type":"article-journal"},"uris":["http://www.mendeley.com/documents/?uuid=09185eb4-de1a-40f8-bf7f-e73ceb6b174f"]}],"mendeley":{"formattedCitation":"(11–13)","plainTextFormattedCitation":"(11–13)","previouslyFormattedCitation":"(11–13)"},"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(11–13)</w:t>
      </w:r>
      <w:r w:rsidR="007C0FFB">
        <w:rPr>
          <w:rFonts w:ascii="Arial" w:hAnsi="Arial" w:cs="Arial"/>
          <w:color w:val="000000"/>
          <w:sz w:val="22"/>
          <w:szCs w:val="22"/>
        </w:rPr>
        <w:fldChar w:fldCharType="end"/>
      </w:r>
      <w:r w:rsidRPr="006A1B3C">
        <w:rPr>
          <w:rFonts w:ascii="Arial" w:hAnsi="Arial" w:cs="Arial"/>
          <w:color w:val="000000"/>
          <w:sz w:val="22"/>
          <w:szCs w:val="22"/>
        </w:rPr>
        <w:t>. Biomarker analysis results from recent clinical trials comparing PD-1 blockade versus anti-angiogenic inhibitors and combination therapies in treatment-naïve ccRCC patients also supported the negative prognostic significance of T cell infiltrate in the absence of immunotherap</w:t>
      </w:r>
      <w:r>
        <w:rPr>
          <w:rFonts w:ascii="Arial" w:hAnsi="Arial" w:cs="Arial"/>
          <w:color w:val="000000"/>
          <w:sz w:val="22"/>
          <w:szCs w:val="22"/>
        </w:rPr>
        <w:t>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 ","author":[{"dropping-particle":"","family":"Choueiri","given":"Toni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Oncology","id":"ITEM-1","issued":{"date-parts":[["2019"]]},"title":"Biomarker analyses from JAVELIN Renal 101: Avelumab + axitinib (A+Ax) versus sunitinib (S) in advanced renal cell carcinoma (aRCC).","type":"article-journal"},"uris":["http://www.mendeley.com/documents/?uuid=7fe8f273-6edf-4319-a0fa-64681fe8396f"]},{"id":"ITEM-2","itemData":{"DOI":"10.1016/S1470-2045(18)30107-4","ISSN":"14745488","PMID":"29530667","abstract":"Background: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Oncology","id":"ITEM-2","issued":{"date-parts":[["2018"]]},"title":"Preliminary results for avelumab plus axitinib as first-line therapy in patients with advanced clear-cell renal-cell carcinoma (JAVELIN Renal 100): an open-label, dose-finding and dose-expansion, phase 1b trial","type":"article-journal"},"uris":["http://www.mendeley.com/documents/?uuid=74fd5f47-4484-464d-98bc-8304f4d4ab5d"]}],"mendeley":{"formattedCitation":"(14,15)","plainTextFormattedCitation":"(14,15)","previouslyFormattedCitation":"(14,15)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(14,15)</w:t>
      </w:r>
      <w:r w:rsidR="007C0FFB">
        <w:rPr>
          <w:rFonts w:ascii="Arial" w:hAnsi="Arial" w:cs="Arial"/>
          <w:color w:val="000000"/>
          <w:sz w:val="22"/>
          <w:szCs w:val="22"/>
        </w:rPr>
        <w:fldChar w:fldCharType="end"/>
      </w:r>
      <w:r w:rsidRPr="006A1B3C">
        <w:rPr>
          <w:rFonts w:ascii="Arial" w:hAnsi="Arial" w:cs="Arial"/>
          <w:color w:val="000000"/>
          <w:sz w:val="22"/>
          <w:szCs w:val="22"/>
        </w:rPr>
        <w:t>. Other abundant immune players in the ccRCC tumor microenvironment include monocytes, dendritic cells and tumor-associated macrophages</w:t>
      </w:r>
      <w:r w:rsidR="007C0FFB">
        <w:rPr>
          <w:rFonts w:ascii="Arial" w:hAnsi="Arial" w:cs="Arial"/>
          <w:color w:val="000000"/>
          <w:sz w:val="22"/>
          <w:szCs w:val="22"/>
        </w:rPr>
        <w:t xml:space="preserve"> (TAMs)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d":{"date-parts":[["2017"]]},"title":"An Immune Atlas of Clear Cell Renal Cell Carcinoma","type":"article-journal"},"uris":["http://www.mendeley.com/documents/?uuid=5d516839-531f-4c22-a230-5e3bf717eb9f"]}],"mendeley":{"formattedCitation":"(16)","plainTextFormattedCitation":"(16)","previouslyFormattedCitation":"(16)"},"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(16)</w:t>
      </w:r>
      <w:r w:rsidR="007C0FFB">
        <w:rPr>
          <w:rFonts w:ascii="Arial" w:hAnsi="Arial" w:cs="Arial"/>
          <w:color w:val="000000"/>
          <w:sz w:val="22"/>
          <w:szCs w:val="22"/>
        </w:rPr>
        <w:fldChar w:fldCharType="end"/>
      </w:r>
      <w:r w:rsidRPr="006A1B3C">
        <w:rPr>
          <w:rFonts w:ascii="Arial" w:hAnsi="Arial" w:cs="Arial"/>
          <w:color w:val="000000"/>
          <w:sz w:val="22"/>
          <w:szCs w:val="22"/>
        </w:rPr>
        <w:t xml:space="preserve"> which are now being harnessed for discovery of novel gene programs but remain far less studied than T cells.</w:t>
      </w:r>
    </w:p>
    <w:p w14:paraId="3B7E02CB" w14:textId="77777777" w:rsidR="006A1B3C" w:rsidRPr="006A1B3C" w:rsidRDefault="006A1B3C" w:rsidP="006A1B3C">
      <w:pPr>
        <w:spacing w:line="480" w:lineRule="auto"/>
        <w:jc w:val="both"/>
        <w:rPr>
          <w:rFonts w:ascii="Arial" w:hAnsi="Arial" w:cs="Arial"/>
          <w:color w:val="000000"/>
          <w:sz w:val="22"/>
          <w:szCs w:val="22"/>
        </w:rPr>
      </w:pPr>
    </w:p>
    <w:p w14:paraId="6C3E0055" w14:textId="39269F63"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color w:val="000000"/>
          <w:sz w:val="22"/>
          <w:szCs w:val="22"/>
        </w:rPr>
        <w:t>Quantifying and inferring immune cell abundance from transcriptional analysis of primary or metastasized bulk tumor samples is inadequate to provide a clear picture of the immune cell types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J.","non-dropping-particle":"","parse-names":false,"suffix":""}],"container-title":"Nature","id":"ITEM-1","issued":{"date-parts":[["2013"]]},"title":"Comprehensivemolecular characterization of clear cell renal cell carcinoma","type":"article-journal"},"uris":["http://www.mendeley.com/documents/?uuid=d6020cd7-f897-4ff4-b600-c843bbbf7719"]},{"id":"ITEM-2","itemData":{"DOI":"10.3389/fonc.2019.00117","ISSN":"2234943X","abstract":"Clear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Oncology","id":"ITEM-2","issued":{"date-parts":[["2019"]]},"title":"Molecular profiling of druggable targets in clear cell renal cell carcinoma through targeted RNA sequencing","type":"article-journal"},"uris":["http://www.mendeley.com/documents/?uuid=6a9a4bcc-def1-4b7f-852d-74daccaa3c64"]}],"mendeley":{"formattedCitation":"(17,18)","plainTextFormattedCitation":"(17,18)","previouslyFormattedCitation":"(17,18)"},"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(17,18)</w:t>
      </w:r>
      <w:r w:rsidR="007C0FFB">
        <w:rPr>
          <w:rFonts w:ascii="Arial" w:hAnsi="Arial" w:cs="Arial"/>
          <w:color w:val="000000"/>
          <w:sz w:val="22"/>
          <w:szCs w:val="22"/>
        </w:rPr>
        <w:fldChar w:fldCharType="end"/>
      </w:r>
      <w:r w:rsidRPr="006A1B3C">
        <w:rPr>
          <w:rFonts w:ascii="Arial" w:hAnsi="Arial" w:cs="Arial"/>
          <w:color w:val="000000"/>
          <w:sz w:val="22"/>
          <w:szCs w:val="22"/>
        </w:rPr>
        <w:t>. While these studies are suggestive, they lack single cell resolution for characterizing heterogeneous cell subpopulations that ultimately shape anti-tumor response, as has been demonstrated in breast cancer and melanoma</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Medicine","id":"ITEM-1","issued":{"date-parts":[["2018"]]},"title":"Single-cell profiling of breast cancer T cells reveals a tissue-resident memory subset associated with improved prognosis","type":"article-journal"},"uris":["http://www.mendeley.com/documents/?uuid=8df2d8cd-b4f5-4319-a682-34c4ed943e6e"]},{"id":"ITEM-2","itemData":{"DOI":"10.1016/j.cell.2018.10.038","ISSN":"10974172","PMID":"30388456","abstract":"Treatment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d":{"date-parts":[["2018"]]},"title":"Defining T Cell States Associated with Response to Checkpoint Immunotherapy in Melanoma","type":"article-journal"},"uris":["http://www.mendeley.com/documents/?uuid=a97c59a3-ef47-4172-bbdb-962df07fd5f0"]}],"mendeley":{"formattedCitation":"(19,20)","plainTextFormattedCitation":"(19,20)","previouslyFormattedCitation":"(19,20)"},"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(19,20)</w:t>
      </w:r>
      <w:r w:rsidR="007C0FFB">
        <w:rPr>
          <w:rFonts w:ascii="Arial" w:hAnsi="Arial" w:cs="Arial"/>
          <w:color w:val="000000"/>
          <w:sz w:val="22"/>
          <w:szCs w:val="22"/>
        </w:rPr>
        <w:fldChar w:fldCharType="end"/>
      </w:r>
      <w:r w:rsidRPr="006A1B3C">
        <w:rPr>
          <w:rFonts w:ascii="Arial" w:hAnsi="Arial" w:cs="Arial"/>
          <w:color w:val="000000"/>
          <w:sz w:val="22"/>
          <w:szCs w:val="22"/>
        </w:rPr>
        <w:t>. Single</w:t>
      </w:r>
      <w:r w:rsidR="007C0FFB">
        <w:rPr>
          <w:rFonts w:ascii="Arial" w:hAnsi="Arial" w:cs="Arial"/>
          <w:color w:val="000000"/>
          <w:sz w:val="22"/>
          <w:szCs w:val="22"/>
        </w:rPr>
        <w:t>-</w:t>
      </w:r>
      <w:r w:rsidRPr="006A1B3C">
        <w:rPr>
          <w:rFonts w:ascii="Arial" w:hAnsi="Arial" w:cs="Arial"/>
          <w:color w:val="000000"/>
          <w:sz w:val="22"/>
          <w:szCs w:val="22"/>
        </w:rPr>
        <w:t>cell methodologies including flow cytometry, immunohistochemistry</w:t>
      </w:r>
      <w:r w:rsidR="007C0FFB">
        <w:rPr>
          <w:rFonts w:ascii="Arial" w:hAnsi="Arial" w:cs="Arial"/>
          <w:color w:val="000000"/>
          <w:sz w:val="22"/>
          <w:szCs w:val="22"/>
        </w:rPr>
        <w:t>,</w:t>
      </w:r>
      <w:r w:rsidRPr="006A1B3C">
        <w:rPr>
          <w:rFonts w:ascii="Arial" w:hAnsi="Arial" w:cs="Arial"/>
          <w:color w:val="000000"/>
          <w:sz w:val="22"/>
          <w:szCs w:val="22"/>
        </w:rPr>
        <w:t xml:space="preserve"> and mass cytometry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B.","non-dropping-particle":"","parse-names":false,"suffix":""}],"container-title":"Oncotarget","id":"ITEM-1","issued":{"date-parts":[["2015"]]},"title":"Characterization of tumor infiltrating lymphocytes in paired primary and metastatic renal cell carcinoma specimens","type":"article-journal"},"uris":["http://www.mendeley.com/documents/?uuid=09185eb4-de1a-40f8-bf7f-e73ceb6b174f"]},{"id":"ITEM-2","itemData":{"DOI":"10.1016/j.cell.2017.04.016","ISSN":"10974172","abstract":"Immune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d":{"date-parts":[["2017"]]},"title":"An Immune Atlas of Clear Cell Renal Cell Carcinoma","type":"article-journal"},"uris":["http://www.mendeley.com/documents/?uuid=5d516839-531f-4c22-a230-5e3bf717eb9f"]},{"id":"ITEM-3","itemData":{"DOI":"10.4161/2162402X.2014.985082","ISSN":"2162402X","abstract":"Tumor-associated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d":{"date-parts":[["2015"]]},"title":"Immune signature of tumor infiltrating immune cells in renal cancer","type":"article-journal"},"uris":["http://www.mendeley.com/documents/?uuid=78ab30de-3499-4c01-85e8-d0cc478a4777"]}],"mendeley":{"formattedCitation":"(13,16,21)","plainTextFormattedCitation":"(13,16,21)","previouslyFormattedCitation":"(13,16,21)"},"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(13,16,21)</w:t>
      </w:r>
      <w:r w:rsidR="007C0FFB">
        <w:rPr>
          <w:rFonts w:ascii="Arial" w:hAnsi="Arial" w:cs="Arial"/>
          <w:color w:val="000000"/>
          <w:sz w:val="22"/>
          <w:szCs w:val="22"/>
        </w:rPr>
        <w:fldChar w:fldCharType="end"/>
      </w:r>
      <w:r w:rsidRPr="006A1B3C">
        <w:rPr>
          <w:rFonts w:ascii="Arial" w:hAnsi="Arial" w:cs="Arial"/>
          <w:color w:val="000000"/>
          <w:sz w:val="22"/>
          <w:szCs w:val="22"/>
        </w:rPr>
        <w:t xml:space="preserve"> have revealed immune cell states in ccRCC but only as discrete phenotypes when in vivo they typically display diverse </w:t>
      </w:r>
      <w:r w:rsidRPr="006A1B3C">
        <w:rPr>
          <w:rFonts w:ascii="Arial" w:hAnsi="Arial" w:cs="Arial"/>
          <w:color w:val="000000"/>
          <w:sz w:val="22"/>
          <w:szCs w:val="22"/>
        </w:rPr>
        <w:lastRenderedPageBreak/>
        <w:t xml:space="preserve">spectrum of differentiation or activation states. Also, these methods require use of antibody panels targeting known immune cell components, and by design are not capable of identifying novel sub-populations of cells. </w:t>
      </w:r>
      <w:r w:rsidR="007C0FFB">
        <w:rPr>
          <w:rFonts w:ascii="Arial" w:hAnsi="Arial" w:cs="Arial"/>
          <w:color w:val="000000"/>
          <w:sz w:val="22"/>
          <w:szCs w:val="22"/>
        </w:rPr>
        <w:t>SCRS</w:t>
      </w:r>
      <w:r w:rsidRPr="006A1B3C">
        <w:rPr>
          <w:rFonts w:ascii="Arial" w:hAnsi="Arial" w:cs="Arial"/>
          <w:color w:val="000000"/>
          <w:sz w:val="22"/>
          <w:szCs w:val="22"/>
        </w:rPr>
        <w:t xml:space="preserve"> has enabled comprehensive characterization of heterogeneous lymphoid and myeloid immune cells in several cancers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Communications","id":"ITEM-1","issued":{"date-parts":[["2017"]]},"title":"Single-cell RNA-seq enables comprehensive tumour and immune cell profiling in primary breast cancer","type":"article-journal"},"uris":["http://www.mendeley.com/documents/?uuid=37ce52bc-7991-4671-bd21-566484752aa1"]},{"id":"ITEM-2","itemData":{"DOI":"10.1016/j.cell.2018.05.060","ISSN":"10974172","PMID":"29961579","abstract":"Knowledge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Y.","non-dropping-particle":"","parse-names":false,"suffix":""},{"dropping-particle":"","family":"Pe'er","given":"Dana","non-dropping-particle":"","parse-names":false,"suffix":""}],"container-title":"Cell","id":"ITEM-2","issued":{"date-parts":[["2018"]]},"title":"Single-Cell Map of Diverse Immune Phenotypes in the Breast Tumor Microenvironment","type":"article-journal"},"uris":["http://www.mendeley.com/documents/?uuid=9392f45e-1788-4153-aa66-25f0c497cbd2"]},{"id":"ITEM-3","itemData":{"DOI":"10.1038/s41591-018-0045-3","ISSN":"1546170X","PMID":"29942094","abstract":"Cancer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Medicine","id":"ITEM-3","issued":{"date-parts":[["2018"]]},"title":"Global characterization of T cells in non-small-cell lung cancer by single-cell sequencing","type":"article-journal"},"uris":["http://www.mendeley.com/documents/?uuid=4be4ae05-7b15-4203-9672-5fed036399f9"]},{"id":"ITEM-4","itemData":{"DOI":"10.1126/science.aad0501","ISSN":"10959203","PMID":"27124452","abstract":"To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A.","non-dropping-particle":"","parse-names":false,"suffix":""}],"container-title":"Science","id":"ITEM-4","issued":{"date-parts":[["2016"]]},"title":"Dissecting the multicellular ecosystem of metastatic melanoma by single-cell RNA-seq","type":"article-journal"},"uris":["http://www.mendeley.com/documents/?uuid=07a289ee-7cdc-4920-b02c-b6ab52d936ef"]}],"mendeley":{"formattedCitation":"(22–25)","plainTextFormattedCitation":"(22–25)","previouslyFormattedCitation":"(22–25)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(22–25)</w:t>
      </w:r>
      <w:r w:rsidR="007C0FFB">
        <w:rPr>
          <w:rFonts w:ascii="Arial" w:hAnsi="Arial" w:cs="Arial"/>
          <w:color w:val="000000"/>
          <w:sz w:val="22"/>
          <w:szCs w:val="22"/>
        </w:rPr>
        <w:fldChar w:fldCharType="end"/>
      </w:r>
      <w:r w:rsidRPr="006A1B3C">
        <w:rPr>
          <w:rFonts w:ascii="Arial" w:hAnsi="Arial" w:cs="Arial"/>
          <w:color w:val="000000"/>
          <w:sz w:val="22"/>
          <w:szCs w:val="22"/>
        </w:rPr>
        <w:t>, providing an unbiased approach to profiling cells and enabling molecular classification of different subpopulations and identification of novel gene programs. Transcriptome mapping of T lymphocytes coupled with TCR sequencing allows additional measurement of clonal T cell response to cancer at an unprecedented depth</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3245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America","id":"ITEM-1","issued":{"date-parts":[["2017"]]},"title":"T cell receptor sequencing of early-stage breast cancer tumors identifies altered clonal structure of the T cell repertoire","type":"article-journal"},"uris":["http://www.mendeley.com/documents/?uuid=2d2e426f-1ca5-4802-871e-45209d7ca3e8"]},{"id":"ITEM-2","itemData":{"DOI":"10.1016/j.cell.2017.05.035","ISSN":"10974172","abstract":"Systematic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d":{"date-parts":[["2017"]]},"title":"Landscape of Infiltrating T Cells in Liver Cancer Revealed by Single-Cell Sequencing","type":"article-journal"},"uris":["http://www.mendeley.com/documents/?uuid=bd17989c-b856-41c3-9d48-3ffe1322be06"]}],"mendeley":{"formattedCitation":"(26,27)","plainTextFormattedCitation":"(26,27)","previouslyFormattedCitation":"(26,27)"},"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(26,27)</w:t>
      </w:r>
      <w:r w:rsidR="007C0FFB">
        <w:rPr>
          <w:rFonts w:ascii="Arial" w:hAnsi="Arial" w:cs="Arial"/>
          <w:color w:val="000000"/>
          <w:sz w:val="22"/>
          <w:szCs w:val="22"/>
        </w:rPr>
        <w:fldChar w:fldCharType="end"/>
      </w:r>
      <w:r w:rsidRPr="006A1B3C">
        <w:rPr>
          <w:rFonts w:ascii="Arial" w:hAnsi="Arial" w:cs="Arial"/>
          <w:color w:val="000000"/>
          <w:sz w:val="22"/>
          <w:szCs w:val="22"/>
        </w:rPr>
        <w:t xml:space="preserve">. </w:t>
      </w:r>
    </w:p>
    <w:p w14:paraId="219FADDF" w14:textId="77777777" w:rsidR="006A1B3C" w:rsidRPr="006A1B3C" w:rsidRDefault="006A1B3C" w:rsidP="006A1B3C">
      <w:pPr>
        <w:spacing w:line="480" w:lineRule="auto"/>
        <w:jc w:val="both"/>
        <w:rPr>
          <w:rFonts w:ascii="Arial" w:hAnsi="Arial" w:cs="Arial"/>
          <w:color w:val="000000"/>
          <w:sz w:val="22"/>
          <w:szCs w:val="22"/>
        </w:rPr>
      </w:pPr>
    </w:p>
    <w:p w14:paraId="05DE1A8F" w14:textId="56055333" w:rsidR="006A1B3C" w:rsidRPr="006A1B3C" w:rsidRDefault="006A1B3C" w:rsidP="006A1B3C">
      <w:pPr>
        <w:tabs>
          <w:tab w:val="left" w:pos="720"/>
        </w:tabs>
        <w:spacing w:line="480" w:lineRule="auto"/>
        <w:jc w:val="both"/>
        <w:rPr>
          <w:rFonts w:ascii="Arial" w:hAnsi="Arial" w:cs="Arial"/>
          <w:b/>
          <w:sz w:val="22"/>
          <w:szCs w:val="22"/>
        </w:rPr>
      </w:pPr>
      <w:r w:rsidRPr="006A1B3C">
        <w:rPr>
          <w:rFonts w:ascii="Arial" w:hAnsi="Arial" w:cs="Arial"/>
          <w:color w:val="000000"/>
          <w:sz w:val="22"/>
          <w:szCs w:val="22"/>
        </w:rPr>
        <w:t xml:space="preserve">Here, we report the single cell RNA profiling of the immune landscape in ccRCC mapping a total 25,688 of immune single cells (5’ gene expression and recombined V(D)J region of the T cell receptor) in matched samples of tumor and peripheral blood isolated from three treatment-naïve ccRCC patients. </w:t>
      </w:r>
      <w:r w:rsidR="007C0FFB" w:rsidRPr="007C0FFB">
        <w:rPr>
          <w:rFonts w:ascii="Arial" w:hAnsi="Arial" w:cs="Arial"/>
          <w:color w:val="000000"/>
          <w:sz w:val="22"/>
          <w:szCs w:val="22"/>
          <w:highlight w:val="yellow"/>
        </w:rPr>
        <w:t>Will need to update with results.</w:t>
      </w:r>
      <w:r w:rsidR="007C0FFB">
        <w:rPr>
          <w:rFonts w:ascii="Arial" w:hAnsi="Arial" w:cs="Arial"/>
          <w:color w:val="000000"/>
          <w:sz w:val="22"/>
          <w:szCs w:val="22"/>
        </w:rPr>
        <w:t xml:space="preserve"> </w:t>
      </w:r>
      <w:r w:rsidRPr="006A1B3C">
        <w:rPr>
          <w:rFonts w:ascii="Arial" w:hAnsi="Arial" w:cs="Arial"/>
          <w:color w:val="000000"/>
          <w:sz w:val="22"/>
          <w:szCs w:val="22"/>
        </w:rPr>
        <w:t xml:space="preserve">Analysis of myeloid cells revealed a complex mixture of pro- and anti-inflammatory polarized phenotypes across patients. This represents the first such report of the immune landscape of ccRCC using </w:t>
      </w:r>
      <w:proofErr w:type="spellStart"/>
      <w:r w:rsidRPr="006A1B3C">
        <w:rPr>
          <w:rFonts w:ascii="Arial" w:hAnsi="Arial" w:cs="Arial"/>
          <w:color w:val="000000"/>
          <w:sz w:val="22"/>
          <w:szCs w:val="22"/>
        </w:rPr>
        <w:t>scRNA</w:t>
      </w:r>
      <w:proofErr w:type="spellEnd"/>
      <w:r w:rsidRPr="006A1B3C">
        <w:rPr>
          <w:rFonts w:ascii="Arial" w:hAnsi="Arial" w:cs="Arial"/>
          <w:color w:val="000000"/>
          <w:sz w:val="22"/>
          <w:szCs w:val="22"/>
        </w:rPr>
        <w:t>-seq.</w:t>
      </w:r>
    </w:p>
    <w:p w14:paraId="054442AB" w14:textId="77777777" w:rsidR="006A1B3C" w:rsidRPr="006A1B3C" w:rsidRDefault="006A1B3C" w:rsidP="006A1B3C">
      <w:pPr>
        <w:pStyle w:val="Paragraph"/>
        <w:snapToGrid w:val="0"/>
        <w:spacing w:line="480" w:lineRule="auto"/>
        <w:ind w:firstLine="0"/>
        <w:rPr>
          <w:rFonts w:ascii="Arial" w:hAnsi="Arial" w:cs="Arial"/>
          <w:b/>
          <w:bCs/>
          <w:color w:val="000000"/>
          <w:sz w:val="22"/>
          <w:szCs w:val="22"/>
        </w:rPr>
      </w:pPr>
    </w:p>
    <w:p w14:paraId="6CA58468" w14:textId="77777777" w:rsidR="006A1B3C" w:rsidRDefault="006A1B3C" w:rsidP="008274D0">
      <w:pPr>
        <w:pStyle w:val="Paragraph"/>
        <w:snapToGrid w:val="0"/>
        <w:ind w:firstLine="0"/>
        <w:rPr>
          <w:rFonts w:ascii="Arial" w:hAnsi="Arial" w:cs="Arial"/>
          <w:b/>
          <w:bCs/>
          <w:color w:val="000000"/>
          <w:sz w:val="22"/>
          <w:szCs w:val="22"/>
        </w:rPr>
      </w:pPr>
    </w:p>
    <w:p w14:paraId="2E9ADA94" w14:textId="26BE468E" w:rsidR="008274D0" w:rsidRDefault="008274D0" w:rsidP="008274D0">
      <w:pPr>
        <w:pStyle w:val="Paragraph"/>
        <w:snapToGrid w:val="0"/>
        <w:ind w:firstLine="0"/>
        <w:rPr>
          <w:rFonts w:ascii="Arial" w:hAnsi="Arial" w:cs="Arial"/>
          <w:b/>
          <w:bCs/>
          <w:color w:val="000000"/>
          <w:sz w:val="22"/>
          <w:szCs w:val="22"/>
        </w:rPr>
      </w:pPr>
      <w:r w:rsidRPr="00761DC0">
        <w:rPr>
          <w:rFonts w:ascii="Arial" w:hAnsi="Arial" w:cs="Arial"/>
          <w:b/>
          <w:bCs/>
          <w:color w:val="000000"/>
          <w:sz w:val="22"/>
          <w:szCs w:val="22"/>
        </w:rPr>
        <w:t>Methods</w:t>
      </w:r>
    </w:p>
    <w:p w14:paraId="2D6530A2" w14:textId="77777777" w:rsidR="00952E0E" w:rsidRPr="00761DC0" w:rsidRDefault="00952E0E" w:rsidP="008274D0">
      <w:pPr>
        <w:pStyle w:val="Paragraph"/>
        <w:snapToGrid w:val="0"/>
        <w:ind w:firstLine="0"/>
        <w:rPr>
          <w:rFonts w:ascii="Arial" w:hAnsi="Arial" w:cs="Arial"/>
          <w:b/>
          <w:bCs/>
          <w:sz w:val="22"/>
          <w:szCs w:val="22"/>
        </w:rPr>
      </w:pP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Fresh blood and primary clear cell renal cell carcinoma (ccRCC) 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w:t>
      </w:r>
      <w:r w:rsidRPr="00761DC0">
        <w:rPr>
          <w:rFonts w:ascii="Arial" w:hAnsi="Arial" w:cs="Arial"/>
          <w:color w:val="000000"/>
          <w:sz w:val="22"/>
          <w:szCs w:val="22"/>
        </w:rPr>
        <w:lastRenderedPageBreak/>
        <w:t xml:space="preserve">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0592D866"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w:t>
      </w:r>
      <w:r w:rsidR="003245D3">
        <w:rPr>
          <w:rFonts w:ascii="Arial" w:hAnsi="Arial" w:cs="Arial"/>
          <w:color w:val="000000"/>
          <w:sz w:val="22"/>
          <w:szCs w:val="22"/>
        </w:rPr>
        <w:fldChar w:fldCharType="begin" w:fldLock="1"/>
      </w:r>
      <w:r w:rsidR="003245D3">
        <w:rPr>
          <w:rFonts w:ascii="Arial" w:hAnsi="Arial" w:cs="Arial"/>
          <w:color w:val="000000"/>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Cancer","id":"ITEM-1","issued":{"date-parts":[["2015"]]},"title":"Efficient and reproducible generation of tumour-infiltrating lymphocytes for renal cell carcinoma","type":"article-journal"},"uris":["http://www.mendeley.com/documents/?uuid=33f6bd87-55a7-4b82-a180-d9a5c33e7014"]}],"mendeley":{"formattedCitation":"(28)","plainTextFormattedCitation":"(28)","previouslyFormattedCitation":"(28)"},"properties":{"noteIndex":0},"schema":"https://github.com/citation-style-language/schema/raw/master/csl-citation.json"}</w:instrText>
      </w:r>
      <w:r w:rsidR="003245D3">
        <w:rPr>
          <w:rFonts w:ascii="Arial" w:hAnsi="Arial" w:cs="Arial"/>
          <w:color w:val="000000"/>
          <w:sz w:val="22"/>
          <w:szCs w:val="22"/>
        </w:rPr>
        <w:fldChar w:fldCharType="separate"/>
      </w:r>
      <w:r w:rsidR="003245D3" w:rsidRPr="003245D3">
        <w:rPr>
          <w:rFonts w:ascii="Arial" w:hAnsi="Arial" w:cs="Arial"/>
          <w:noProof/>
          <w:color w:val="000000"/>
          <w:sz w:val="22"/>
          <w:szCs w:val="22"/>
        </w:rPr>
        <w:t>(28)</w:t>
      </w:r>
      <w:r w:rsidR="003245D3">
        <w:rPr>
          <w:rFonts w:ascii="Arial" w:hAnsi="Arial" w:cs="Arial"/>
          <w:color w:val="000000"/>
          <w:sz w:val="22"/>
          <w:szCs w:val="22"/>
        </w:rPr>
        <w:fldChar w:fldCharType="end"/>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w:t>
      </w:r>
      <w:r w:rsidRPr="00761DC0">
        <w:rPr>
          <w:rFonts w:ascii="Arial" w:hAnsi="Arial" w:cs="Arial"/>
          <w:color w:val="000000"/>
          <w:sz w:val="22"/>
          <w:szCs w:val="22"/>
        </w:rPr>
        <w:lastRenderedPageBreak/>
        <w:t xml:space="preserve">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7C34E4FB" w14:textId="609BF04A" w:rsidR="003245D3" w:rsidRPr="00196548" w:rsidRDefault="008274D0" w:rsidP="00761DC0">
      <w:pPr>
        <w:spacing w:line="480" w:lineRule="auto"/>
        <w:jc w:val="both"/>
        <w:rPr>
          <w:rFonts w:ascii="Arial" w:hAnsi="Arial" w:cs="Arial"/>
          <w:color w:val="000000" w:themeColor="text1"/>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-pair-end</w:t>
      </w:r>
      <w:r w:rsidRPr="00761DC0">
        <w:rPr>
          <w:rFonts w:ascii="Arial" w:hAnsi="Arial" w:cs="Arial"/>
          <w:color w:val="000000"/>
          <w:sz w:val="22"/>
          <w:szCs w:val="22"/>
        </w:rPr>
        <w:t xml:space="preserve"> sequencing kit. </w:t>
      </w:r>
      <w:r w:rsidRPr="00761DC0">
        <w:rPr>
          <w:rFonts w:ascii="Arial" w:hAnsi="Arial" w:cs="Arial"/>
          <w:sz w:val="22"/>
          <w:szCs w:val="22"/>
        </w:rPr>
        <w:t xml:space="preserve">Gene expression </w:t>
      </w:r>
      <w:r w:rsidRPr="00761DC0">
        <w:rPr>
          <w:rFonts w:ascii="Arial" w:hAnsi="Arial" w:cs="Arial"/>
          <w:color w:val="000000"/>
          <w:sz w:val="22"/>
          <w:szCs w:val="22"/>
        </w:rPr>
        <w:t xml:space="preserve">FASTQ files were aligned to the human genome (GRCh38) using the CellRanger v2.2 pipeline, while clonotype sequencing was aligned to the </w:t>
      </w:r>
      <w:r w:rsidRPr="00761DC0">
        <w:rPr>
          <w:rFonts w:ascii="Arial" w:hAnsi="Arial" w:cs="Arial"/>
          <w:color w:val="000000" w:themeColor="text1"/>
          <w:sz w:val="22"/>
          <w:szCs w:val="22"/>
        </w:rPr>
        <w:t xml:space="preserve">vdj_GRCh38_alts_ensembl genome build provided by the manufacturer. </w:t>
      </w:r>
    </w:p>
    <w:p w14:paraId="3F9B9EAB" w14:textId="66A24AAE" w:rsidR="002355A8" w:rsidRDefault="002355A8" w:rsidP="00761DC0">
      <w:pPr>
        <w:spacing w:line="480" w:lineRule="auto"/>
        <w:jc w:val="both"/>
        <w:rPr>
          <w:rFonts w:ascii="Arial" w:hAnsi="Arial" w:cs="Arial"/>
          <w:sz w:val="22"/>
          <w:szCs w:val="22"/>
        </w:rPr>
      </w:pPr>
    </w:p>
    <w:p w14:paraId="5E1558DF" w14:textId="77777777" w:rsidR="004F1798" w:rsidRDefault="004F1798" w:rsidP="004F1798">
      <w:pPr>
        <w:spacing w:line="480" w:lineRule="auto"/>
        <w:jc w:val="both"/>
        <w:rPr>
          <w:rFonts w:ascii="Arial" w:hAnsi="Arial" w:cs="Arial"/>
          <w:i/>
          <w:iCs/>
          <w:color w:val="000000" w:themeColor="text1"/>
          <w:sz w:val="22"/>
          <w:szCs w:val="22"/>
        </w:rPr>
      </w:pPr>
      <w:r>
        <w:rPr>
          <w:rFonts w:ascii="Arial" w:hAnsi="Arial" w:cs="Arial"/>
          <w:i/>
          <w:iCs/>
          <w:color w:val="000000" w:themeColor="text1"/>
          <w:sz w:val="22"/>
          <w:szCs w:val="22"/>
        </w:rPr>
        <w:t>Incorporation of other SCRS data sets</w:t>
      </w:r>
    </w:p>
    <w:p w14:paraId="73FF556D" w14:textId="76AF5AD1" w:rsidR="004F1798" w:rsidRPr="004F1798" w:rsidRDefault="004F1798" w:rsidP="004F1798">
      <w:pPr>
        <w:spacing w:line="480" w:lineRule="auto"/>
        <w:rPr>
          <w:rFonts w:ascii="Arial" w:hAnsi="Arial" w:cs="Arial"/>
          <w:color w:val="000000" w:themeColor="text1"/>
          <w:sz w:val="22"/>
          <w:szCs w:val="22"/>
        </w:rPr>
      </w:pPr>
      <w:r w:rsidRPr="004F1798">
        <w:rPr>
          <w:rFonts w:ascii="Arial" w:hAnsi="Arial" w:cs="Arial"/>
          <w:color w:val="000000" w:themeColor="text1"/>
          <w:sz w:val="22"/>
          <w:szCs w:val="22"/>
        </w:rPr>
        <w:t>SCRS and TCR sequencing data processed using Cell Ranger v2.2 for healthy donor peripheral blood immune cells were acquired from the 10x Genomics website on 6/20/2020. Filtered gene matrix and contig annotations were used in the incorporation of the UMAP.</w:t>
      </w:r>
      <w:r w:rsidR="00C20E2A">
        <w:rPr>
          <w:rFonts w:ascii="Arial" w:hAnsi="Arial" w:cs="Arial"/>
          <w:color w:val="000000" w:themeColor="text1"/>
          <w:sz w:val="22"/>
          <w:szCs w:val="22"/>
        </w:rPr>
        <w:t xml:space="preserve"> Total number of cells </w:t>
      </w:r>
      <w:r w:rsidR="00C20E2A">
        <w:rPr>
          <w:rFonts w:ascii="Arial" w:hAnsi="Arial" w:cs="Arial"/>
          <w:color w:val="000000" w:themeColor="text1"/>
          <w:sz w:val="22"/>
          <w:szCs w:val="22"/>
        </w:rPr>
        <w:lastRenderedPageBreak/>
        <w:t>from healthy peripheral blood control were 7,726.</w:t>
      </w:r>
      <w:r w:rsidRPr="004F1798">
        <w:rPr>
          <w:rFonts w:ascii="Arial" w:hAnsi="Arial" w:cs="Arial"/>
          <w:color w:val="000000" w:themeColor="text1"/>
          <w:sz w:val="22"/>
          <w:szCs w:val="22"/>
        </w:rPr>
        <w:t xml:space="preserve"> SCRS of normal immune populations in the kidney were derived previously published data </w:t>
      </w:r>
      <w:r w:rsidRPr="004F1798">
        <w:rPr>
          <w:rFonts w:ascii="Arial" w:hAnsi="Arial" w:cs="Arial"/>
          <w:color w:val="000000" w:themeColor="text1"/>
          <w:sz w:val="22"/>
          <w:szCs w:val="22"/>
        </w:rPr>
        <w:fldChar w:fldCharType="begin" w:fldLock="1"/>
      </w:r>
      <w:r w:rsidR="0070740F">
        <w:rPr>
          <w:rFonts w:ascii="Arial" w:hAnsi="Arial" w:cs="Arial"/>
          <w:color w:val="000000" w:themeColor="text1"/>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d":{"date-parts":[["2018"]]},"title":"Single-cell transcriptomes from human kidneys reveal the cellular identity of renal tumors","type":"article-journal"},"uris":["http://www.mendeley.com/documents/?uuid=e3614b27-27e2-4126-ac60-e0d38fd07652"]}],"mendeley":{"formattedCitation":"(29)","plainTextFormattedCitation":"(29)","previouslyFormattedCitation":"(29)"},"properties":{"noteIndex":0},"schema":"https://github.com/citation-style-language/schema/raw/master/csl-citation.json"}</w:instrText>
      </w:r>
      <w:r w:rsidRPr="004F1798">
        <w:rPr>
          <w:rFonts w:ascii="Arial" w:hAnsi="Arial" w:cs="Arial"/>
          <w:color w:val="000000" w:themeColor="text1"/>
          <w:sz w:val="22"/>
          <w:szCs w:val="22"/>
        </w:rPr>
        <w:fldChar w:fldCharType="separate"/>
      </w:r>
      <w:r w:rsidRPr="004F1798">
        <w:rPr>
          <w:rFonts w:ascii="Arial" w:hAnsi="Arial" w:cs="Arial"/>
          <w:noProof/>
          <w:color w:val="000000" w:themeColor="text1"/>
          <w:sz w:val="22"/>
          <w:szCs w:val="22"/>
        </w:rPr>
        <w:t>(29)</w:t>
      </w:r>
      <w:r w:rsidRPr="004F1798">
        <w:rPr>
          <w:rFonts w:ascii="Arial" w:hAnsi="Arial" w:cs="Arial"/>
          <w:color w:val="000000" w:themeColor="text1"/>
          <w:sz w:val="22"/>
          <w:szCs w:val="22"/>
        </w:rPr>
        <w:fldChar w:fldCharType="end"/>
      </w:r>
      <w:r w:rsidRPr="004F1798">
        <w:rPr>
          <w:rFonts w:ascii="Arial" w:hAnsi="Arial" w:cs="Arial"/>
          <w:color w:val="000000" w:themeColor="text1"/>
          <w:sz w:val="22"/>
          <w:szCs w:val="22"/>
        </w:rPr>
        <w:t xml:space="preserve">. Gene expression matrices were downloaded from the </w:t>
      </w:r>
      <w:r w:rsidRPr="004F1798">
        <w:rPr>
          <w:rFonts w:ascii="Arial" w:hAnsi="Arial" w:cs="Arial"/>
          <w:color w:val="000000" w:themeColor="text1"/>
          <w:sz w:val="22"/>
          <w:szCs w:val="22"/>
          <w:shd w:val="clear" w:color="auto" w:fill="FFFFFF"/>
        </w:rPr>
        <w:t>EGAS00001002325</w:t>
      </w:r>
      <w:r>
        <w:rPr>
          <w:rFonts w:ascii="Arial" w:hAnsi="Arial" w:cs="Arial"/>
          <w:color w:val="000000" w:themeColor="text1"/>
          <w:sz w:val="22"/>
          <w:szCs w:val="22"/>
          <w:shd w:val="clear" w:color="auto" w:fill="FFFFFF"/>
        </w:rPr>
        <w:t xml:space="preserve"> and filtered for normal renal parenchyma cells using the provided cell manifest for the samples RCC1, RCC2, and RCC3.</w:t>
      </w:r>
      <w:r>
        <w:rPr>
          <w:rFonts w:ascii="Arial" w:hAnsi="Arial" w:cs="Arial"/>
          <w:color w:val="000000" w:themeColor="text1"/>
          <w:sz w:val="22"/>
          <w:szCs w:val="22"/>
        </w:rPr>
        <w:t xml:space="preserve"> These </w:t>
      </w:r>
      <w:r w:rsidRPr="004F1798">
        <w:rPr>
          <w:rFonts w:ascii="Arial" w:hAnsi="Arial" w:cs="Arial"/>
          <w:color w:val="000000" w:themeColor="text1"/>
          <w:sz w:val="22"/>
          <w:szCs w:val="22"/>
        </w:rPr>
        <w:t xml:space="preserve">processed using the procedure as described above to form </w:t>
      </w:r>
      <w:r>
        <w:rPr>
          <w:rFonts w:ascii="Arial" w:hAnsi="Arial" w:cs="Arial"/>
          <w:color w:val="000000" w:themeColor="text1"/>
          <w:sz w:val="22"/>
          <w:szCs w:val="22"/>
        </w:rPr>
        <w:t>a</w:t>
      </w:r>
      <w:r w:rsidRPr="004F1798">
        <w:rPr>
          <w:rFonts w:ascii="Arial" w:hAnsi="Arial" w:cs="Arial"/>
          <w:color w:val="000000" w:themeColor="text1"/>
          <w:sz w:val="22"/>
          <w:szCs w:val="22"/>
        </w:rPr>
        <w:t xml:space="preserve"> UMAP.</w:t>
      </w:r>
      <w:r>
        <w:rPr>
          <w:rFonts w:ascii="Arial" w:hAnsi="Arial" w:cs="Arial"/>
          <w:color w:val="000000" w:themeColor="text1"/>
          <w:sz w:val="22"/>
          <w:szCs w:val="22"/>
        </w:rPr>
        <w:t xml:space="preserve"> Immune cells were identified using canonical markers for lineage and were then isolated.</w:t>
      </w:r>
      <w:r w:rsidRPr="004F1798">
        <w:rPr>
          <w:rFonts w:ascii="Arial" w:hAnsi="Arial" w:cs="Arial"/>
          <w:color w:val="000000" w:themeColor="text1"/>
          <w:sz w:val="22"/>
          <w:szCs w:val="22"/>
        </w:rPr>
        <w:t xml:space="preserve"> </w:t>
      </w:r>
      <w:r w:rsidR="00C20E2A">
        <w:rPr>
          <w:rFonts w:ascii="Arial" w:hAnsi="Arial" w:cs="Arial"/>
          <w:color w:val="000000" w:themeColor="text1"/>
          <w:sz w:val="22"/>
          <w:szCs w:val="22"/>
        </w:rPr>
        <w:t>Isolated immune cells for normal renal parenchyma were: RCC1 (n=1,011), RCC2 (n=888), and RCC3 (n=1,757).</w:t>
      </w:r>
    </w:p>
    <w:p w14:paraId="7B17E0BB" w14:textId="77777777" w:rsidR="004F1798" w:rsidRPr="00761DC0" w:rsidRDefault="004F1798" w:rsidP="00761DC0">
      <w:pPr>
        <w:spacing w:line="480" w:lineRule="auto"/>
        <w:jc w:val="both"/>
        <w:rPr>
          <w:rFonts w:ascii="Arial" w:hAnsi="Arial" w:cs="Arial"/>
          <w:sz w:val="22"/>
          <w:szCs w:val="22"/>
        </w:rPr>
      </w:pPr>
    </w:p>
    <w:p w14:paraId="5022DB64" w14:textId="236AAFE6" w:rsidR="002355A8" w:rsidRPr="00761DC0" w:rsidRDefault="00A75F11" w:rsidP="00276C2F">
      <w:pPr>
        <w:spacing w:line="480" w:lineRule="auto"/>
        <w:jc w:val="both"/>
        <w:rPr>
          <w:rFonts w:ascii="Arial" w:hAnsi="Arial" w:cs="Arial"/>
          <w:i/>
          <w:sz w:val="22"/>
          <w:szCs w:val="22"/>
        </w:rPr>
      </w:pPr>
      <w:r>
        <w:rPr>
          <w:rFonts w:ascii="Arial" w:hAnsi="Arial" w:cs="Arial"/>
          <w:i/>
          <w:sz w:val="22"/>
          <w:szCs w:val="22"/>
        </w:rPr>
        <w:t>SCRS</w:t>
      </w:r>
      <w:r w:rsidR="002355A8" w:rsidRPr="00761DC0">
        <w:rPr>
          <w:rFonts w:ascii="Arial" w:hAnsi="Arial" w:cs="Arial"/>
          <w:i/>
          <w:sz w:val="22"/>
          <w:szCs w:val="22"/>
        </w:rPr>
        <w:t xml:space="preserve"> </w:t>
      </w:r>
      <w:r>
        <w:rPr>
          <w:rFonts w:ascii="Arial" w:hAnsi="Arial" w:cs="Arial"/>
          <w:i/>
          <w:sz w:val="22"/>
          <w:szCs w:val="22"/>
        </w:rPr>
        <w:t xml:space="preserve">Integration </w:t>
      </w:r>
    </w:p>
    <w:p w14:paraId="76E28631" w14:textId="1ADFA62B" w:rsidR="00A75F11" w:rsidRPr="00A75F11" w:rsidRDefault="002355A8" w:rsidP="00276C2F">
      <w:pPr>
        <w:spacing w:line="480" w:lineRule="auto"/>
        <w:jc w:val="both"/>
        <w:rPr>
          <w:rFonts w:ascii="Arial" w:hAnsi="Arial" w:cs="Arial"/>
          <w:iCs/>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 xml:space="preserve">cells isolated </w:t>
      </w:r>
      <w:r w:rsidR="00C20E2A">
        <w:rPr>
          <w:rFonts w:ascii="Arial" w:hAnsi="Arial" w:cs="Arial"/>
          <w:sz w:val="22"/>
          <w:szCs w:val="22"/>
        </w:rPr>
        <w:t xml:space="preserve">from ccRCC patients; Patient 1 (n=10,694), Patient 2 (n=5,174) and Patient 3 (n=9805) were processed and integrated with the above samples </w:t>
      </w:r>
      <w:r w:rsidRPr="00761DC0">
        <w:rPr>
          <w:rFonts w:ascii="Arial" w:hAnsi="Arial" w:cs="Arial"/>
          <w:sz w:val="22"/>
          <w:szCs w:val="22"/>
        </w:rPr>
        <w:t xml:space="preserve">using the Seurat R </w:t>
      </w:r>
      <w:r w:rsidR="003E66F1" w:rsidRPr="00761DC0">
        <w:rPr>
          <w:rFonts w:ascii="Arial" w:hAnsi="Arial" w:cs="Arial"/>
          <w:sz w:val="22"/>
          <w:szCs w:val="22"/>
        </w:rPr>
        <w:t>p</w:t>
      </w:r>
      <w:r w:rsidRPr="00761DC0">
        <w:rPr>
          <w:rFonts w:ascii="Arial" w:hAnsi="Arial" w:cs="Arial"/>
          <w:sz w:val="22"/>
          <w:szCs w:val="22"/>
        </w:rPr>
        <w:t xml:space="preserve">ackage (v3.0.2) </w:t>
      </w:r>
      <w:r w:rsidR="003245D3">
        <w:rPr>
          <w:rFonts w:ascii="Arial" w:hAnsi="Arial" w:cs="Arial"/>
          <w:sz w:val="22"/>
          <w:szCs w:val="22"/>
        </w:rPr>
        <w:fldChar w:fldCharType="begin" w:fldLock="1"/>
      </w:r>
      <w:r w:rsidR="0070740F">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d":{"date-parts":[["2019"]]},"title":"Comprehensive Integration of Single-Cell Data","type":"article-journal"},"uris":["http://www.mendeley.com/documents/?uuid=cef096b8-4dc5-41ae-acf3-6a8252e6aa5b"]},{"id":"ITEM-2","itemData":{"DOI":"10.1038/nbt.4096","ISSN":"15461696","PMID":"29608179","abstract":"Computational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Biotechnology","id":"ITEM-2","issued":{"date-parts":[["2018"]]},"title":"Integrating single-cell transcriptomic data across different conditions, technologies, and species","type":"article-journal"},"uris":["http://www.mendeley.com/documents/?uuid=3ec804de-8b99-476d-8ab6-32ea16543dde"]}],"mendeley":{"formattedCitation":"(30,31)","plainTextFormattedCitation":"(30,31)","previouslyFormattedCitation":"(30,31)"},"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(30,31)</w:t>
      </w:r>
      <w:r w:rsidR="003245D3">
        <w:rPr>
          <w:rFonts w:ascii="Arial" w:hAnsi="Arial" w:cs="Arial"/>
          <w:sz w:val="22"/>
          <w:szCs w:val="22"/>
        </w:rPr>
        <w:fldChar w:fldCharType="end"/>
      </w:r>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w:t>
      </w:r>
      <w:r w:rsidR="003245D3">
        <w:rPr>
          <w:rFonts w:ascii="Arial" w:hAnsi="Arial" w:cs="Arial"/>
          <w:sz w:val="22"/>
          <w:szCs w:val="22"/>
        </w:rPr>
        <w:fldChar w:fldCharType="begin" w:fldLock="1"/>
      </w:r>
      <w:r w:rsidR="0070740F">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Biology","id":"ITEM-1","issued":{"date-parts":[["2019"]]},"title":"Normalization and variance stabilization of single-cell RNA-seq data using regularized negative binomial regression","type":"article-journal"},"uris":["http://www.mendeley.com/documents/?uuid=778fd3cf-fa1c-4a40-9662-789c9143c89f"]}],"mendeley":{"formattedCitation":"(32)","plainTextFormattedCitation":"(32)","previouslyFormattedCitation":"(32)"},"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(32)</w:t>
      </w:r>
      <w:r w:rsidR="003245D3">
        <w:rPr>
          <w:rFonts w:ascii="Arial" w:hAnsi="Arial" w:cs="Arial"/>
          <w:sz w:val="22"/>
          <w:szCs w:val="22"/>
        </w:rPr>
        <w:fldChar w:fldCharType="end"/>
      </w:r>
      <w:r w:rsidR="003245D3">
        <w:rPr>
          <w:rFonts w:ascii="Arial" w:hAnsi="Arial" w:cs="Arial"/>
          <w:sz w:val="22"/>
          <w:szCs w:val="22"/>
        </w:rPr>
        <w:t xml:space="preserve"> </w:t>
      </w:r>
      <w:r w:rsidR="003064F8" w:rsidRPr="00761DC0">
        <w:rPr>
          <w:rFonts w:ascii="Arial" w:hAnsi="Arial" w:cs="Arial"/>
          <w:sz w:val="22"/>
          <w:szCs w:val="22"/>
        </w:rPr>
        <w:t>with default settings</w:t>
      </w:r>
      <w:r w:rsidR="005E7FEE">
        <w:rPr>
          <w:rFonts w:ascii="Arial" w:hAnsi="Arial" w:cs="Arial"/>
          <w:sz w:val="22"/>
          <w:szCs w:val="22"/>
        </w:rPr>
        <w:t xml:space="preserve">. </w:t>
      </w:r>
      <w:r w:rsidR="003245D3">
        <w:rPr>
          <w:rFonts w:ascii="Arial" w:hAnsi="Arial" w:cs="Arial"/>
          <w:sz w:val="22"/>
          <w:szCs w:val="22"/>
        </w:rPr>
        <w:t>Preparation</w:t>
      </w:r>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045B3F">
        <w:rPr>
          <w:rFonts w:ascii="Arial" w:hAnsi="Arial" w:cs="Arial"/>
          <w:sz w:val="22"/>
          <w:szCs w:val="22"/>
        </w:rPr>
        <w:t xml:space="preserve"> Data characteristics by sequencing run can be found in </w:t>
      </w:r>
      <w:r w:rsidR="00045B3F" w:rsidRPr="00C20E2A">
        <w:rPr>
          <w:rFonts w:ascii="Arial" w:hAnsi="Arial" w:cs="Arial"/>
          <w:sz w:val="22"/>
          <w:szCs w:val="22"/>
        </w:rPr>
        <w:t>Supplemental Table 1.</w:t>
      </w:r>
      <w:r w:rsidR="003064F8" w:rsidRPr="00761DC0">
        <w:rPr>
          <w:rFonts w:ascii="Arial" w:hAnsi="Arial" w:cs="Arial"/>
          <w:sz w:val="22"/>
          <w:szCs w:val="22"/>
        </w:rPr>
        <w:t xml:space="preserve"> </w:t>
      </w:r>
      <w:r w:rsidR="00A75F11">
        <w:rPr>
          <w:rFonts w:ascii="Arial" w:hAnsi="Arial" w:cs="Arial"/>
          <w:iCs/>
          <w:sz w:val="22"/>
          <w:szCs w:val="22"/>
        </w:rPr>
        <w:t xml:space="preserve">Cell type </w:t>
      </w:r>
      <w:proofErr w:type="spellStart"/>
      <w:r w:rsidR="00A75F11">
        <w:rPr>
          <w:rFonts w:ascii="Arial" w:hAnsi="Arial" w:cs="Arial"/>
          <w:iCs/>
          <w:sz w:val="22"/>
          <w:szCs w:val="22"/>
        </w:rPr>
        <w:t>subclustering</w:t>
      </w:r>
      <w:proofErr w:type="spellEnd"/>
      <w:r w:rsidR="00A75F11">
        <w:rPr>
          <w:rFonts w:ascii="Arial" w:hAnsi="Arial" w:cs="Arial"/>
          <w:iCs/>
          <w:sz w:val="22"/>
          <w:szCs w:val="22"/>
        </w:rPr>
        <w:t xml:space="preserve"> used the </w:t>
      </w:r>
      <w:proofErr w:type="spellStart"/>
      <w:r w:rsidR="00A75F11">
        <w:rPr>
          <w:rFonts w:ascii="Arial" w:hAnsi="Arial" w:cs="Arial"/>
          <w:iCs/>
          <w:sz w:val="22"/>
          <w:szCs w:val="22"/>
        </w:rPr>
        <w:t>SCTtransform</w:t>
      </w:r>
      <w:proofErr w:type="spellEnd"/>
      <w:r w:rsidR="00A75F11">
        <w:rPr>
          <w:rFonts w:ascii="Arial" w:hAnsi="Arial" w:cs="Arial"/>
          <w:iCs/>
          <w:sz w:val="22"/>
          <w:szCs w:val="22"/>
        </w:rPr>
        <w:t xml:space="preserve"> approach as described above,</w:t>
      </w:r>
      <w:r w:rsidR="00007F61">
        <w:rPr>
          <w:rFonts w:ascii="Arial" w:hAnsi="Arial" w:cs="Arial"/>
          <w:iCs/>
          <w:sz w:val="22"/>
          <w:szCs w:val="22"/>
        </w:rPr>
        <w:t xml:space="preserve"> but integrating the data across samples instead of individual sequencing runs. The </w:t>
      </w:r>
      <w:r w:rsidR="00E00C7A">
        <w:rPr>
          <w:rFonts w:ascii="Arial" w:hAnsi="Arial" w:cs="Arial"/>
          <w:iCs/>
          <w:sz w:val="22"/>
          <w:szCs w:val="22"/>
        </w:rPr>
        <w:t>adjusted dimensional inputs</w:t>
      </w:r>
      <w:r w:rsidR="00007F61">
        <w:rPr>
          <w:rFonts w:ascii="Arial" w:hAnsi="Arial" w:cs="Arial"/>
          <w:iCs/>
          <w:sz w:val="22"/>
          <w:szCs w:val="22"/>
        </w:rPr>
        <w:t xml:space="preserve"> for the </w:t>
      </w:r>
      <w:proofErr w:type="spellStart"/>
      <w:r w:rsidR="00007F61">
        <w:rPr>
          <w:rFonts w:ascii="Arial" w:hAnsi="Arial" w:cs="Arial"/>
          <w:iCs/>
          <w:sz w:val="22"/>
          <w:szCs w:val="22"/>
        </w:rPr>
        <w:t>subclustering</w:t>
      </w:r>
      <w:proofErr w:type="spellEnd"/>
      <w:r w:rsidR="00007F61">
        <w:rPr>
          <w:rFonts w:ascii="Arial" w:hAnsi="Arial" w:cs="Arial"/>
          <w:iCs/>
          <w:sz w:val="22"/>
          <w:szCs w:val="22"/>
        </w:rPr>
        <w:t xml:space="preserve"> analysis can be found</w:t>
      </w:r>
      <w:r w:rsidR="00E00C7A">
        <w:rPr>
          <w:rFonts w:ascii="Arial" w:hAnsi="Arial" w:cs="Arial"/>
          <w:iCs/>
          <w:sz w:val="22"/>
          <w:szCs w:val="22"/>
        </w:rPr>
        <w:t xml:space="preserve"> in </w:t>
      </w:r>
      <w:r w:rsidR="00045B3F">
        <w:rPr>
          <w:rFonts w:ascii="Arial" w:hAnsi="Arial" w:cs="Arial"/>
          <w:iCs/>
          <w:sz w:val="22"/>
          <w:szCs w:val="22"/>
        </w:rPr>
        <w:t>Supplemental Table 2</w:t>
      </w:r>
      <w:r w:rsidR="00E00C7A">
        <w:rPr>
          <w:rFonts w:ascii="Arial" w:hAnsi="Arial" w:cs="Arial"/>
          <w:iCs/>
          <w:sz w:val="22"/>
          <w:szCs w:val="22"/>
        </w:rPr>
        <w:t xml:space="preserve">. </w:t>
      </w:r>
    </w:p>
    <w:p w14:paraId="02506876" w14:textId="3B9B184B" w:rsidR="00A75F11" w:rsidRDefault="00A75F11" w:rsidP="00276C2F">
      <w:pPr>
        <w:spacing w:line="480" w:lineRule="auto"/>
        <w:jc w:val="both"/>
        <w:rPr>
          <w:rFonts w:ascii="Arial" w:hAnsi="Arial" w:cs="Arial"/>
          <w:sz w:val="22"/>
          <w:szCs w:val="22"/>
        </w:rPr>
      </w:pPr>
    </w:p>
    <w:p w14:paraId="47FFBCF4" w14:textId="1F330B93" w:rsidR="00A75F11" w:rsidRPr="00A75F11" w:rsidRDefault="00A75F11" w:rsidP="00276C2F">
      <w:pPr>
        <w:spacing w:line="480" w:lineRule="auto"/>
        <w:jc w:val="both"/>
        <w:rPr>
          <w:rFonts w:ascii="Arial" w:hAnsi="Arial" w:cs="Arial"/>
          <w:i/>
          <w:iCs/>
          <w:sz w:val="22"/>
          <w:szCs w:val="22"/>
        </w:rPr>
      </w:pPr>
      <w:r w:rsidRPr="00A75F11">
        <w:rPr>
          <w:rFonts w:ascii="Arial" w:hAnsi="Arial" w:cs="Arial"/>
          <w:i/>
          <w:iCs/>
          <w:sz w:val="22"/>
          <w:szCs w:val="22"/>
        </w:rPr>
        <w:t>SCRS Data Analysis and Visualizations</w:t>
      </w:r>
    </w:p>
    <w:p w14:paraId="7EC8A45A" w14:textId="408F45DC" w:rsidR="00A75F11" w:rsidRPr="00A75F11" w:rsidRDefault="003E66F1" w:rsidP="00276C2F">
      <w:pPr>
        <w:spacing w:line="480" w:lineRule="auto"/>
        <w:jc w:val="both"/>
        <w:rPr>
          <w:rFonts w:ascii="Arial" w:hAnsi="Arial" w:cs="Arial"/>
          <w:sz w:val="22"/>
          <w:szCs w:val="22"/>
        </w:rPr>
      </w:pPr>
      <w:r w:rsidRPr="00761DC0">
        <w:rPr>
          <w:rFonts w:ascii="Arial" w:hAnsi="Arial" w:cs="Arial"/>
          <w:sz w:val="22"/>
          <w:szCs w:val="22"/>
        </w:rPr>
        <w:t xml:space="preserve">The </w:t>
      </w:r>
      <w:proofErr w:type="spellStart"/>
      <w:r w:rsidRPr="00761DC0">
        <w:rPr>
          <w:rFonts w:ascii="Arial" w:hAnsi="Arial" w:cs="Arial"/>
          <w:sz w:val="22"/>
          <w:szCs w:val="22"/>
        </w:rPr>
        <w:t>schex</w:t>
      </w:r>
      <w:proofErr w:type="spellEnd"/>
      <w:r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Pr="00761DC0">
        <w:rPr>
          <w:rFonts w:ascii="Arial" w:hAnsi="Arial" w:cs="Arial"/>
          <w:sz w:val="22"/>
          <w:szCs w:val="22"/>
        </w:rPr>
        <w:t>hexbin</w:t>
      </w:r>
      <w:proofErr w:type="spellEnd"/>
      <w:r w:rsidRPr="00761DC0">
        <w:rPr>
          <w:rFonts w:ascii="Arial" w:hAnsi="Arial" w:cs="Arial"/>
          <w:sz w:val="22"/>
          <w:szCs w:val="22"/>
        </w:rPr>
        <w:t xml:space="preserve"> quantifications of the proportion of single-cells with the indicated gene expressed. Default bin</w:t>
      </w:r>
      <w:r w:rsidR="004F1798">
        <w:rPr>
          <w:rFonts w:ascii="Arial" w:hAnsi="Arial" w:cs="Arial"/>
          <w:sz w:val="22"/>
          <w:szCs w:val="22"/>
        </w:rPr>
        <w:t>s</w:t>
      </w:r>
      <w:r w:rsidRPr="00761DC0">
        <w:rPr>
          <w:rFonts w:ascii="Arial" w:hAnsi="Arial" w:cs="Arial"/>
          <w:sz w:val="22"/>
          <w:szCs w:val="22"/>
        </w:rPr>
        <w:t xml:space="preserve"> </w:t>
      </w:r>
      <w:r w:rsidR="004F1798">
        <w:rPr>
          <w:rFonts w:ascii="Arial" w:hAnsi="Arial" w:cs="Arial"/>
          <w:sz w:val="22"/>
          <w:szCs w:val="22"/>
        </w:rPr>
        <w:t xml:space="preserve">across all cells was 80 and 40 for </w:t>
      </w:r>
      <w:proofErr w:type="spellStart"/>
      <w:r w:rsidR="004F1798">
        <w:rPr>
          <w:rFonts w:ascii="Arial" w:hAnsi="Arial" w:cs="Arial"/>
          <w:sz w:val="22"/>
          <w:szCs w:val="22"/>
        </w:rPr>
        <w:t>subcluster</w:t>
      </w:r>
      <w:proofErr w:type="spellEnd"/>
      <w:r w:rsidR="004F1798">
        <w:rPr>
          <w:rFonts w:ascii="Arial" w:hAnsi="Arial" w:cs="Arial"/>
          <w:sz w:val="22"/>
          <w:szCs w:val="22"/>
        </w:rPr>
        <w:t xml:space="preserve"> analyses</w:t>
      </w:r>
      <w:r w:rsidRPr="00761DC0">
        <w:rPr>
          <w:rFonts w:ascii="Arial" w:hAnsi="Arial" w:cs="Arial"/>
          <w:sz w:val="22"/>
          <w:szCs w:val="22"/>
        </w:rPr>
        <w:t>, unless otherwise indicated in the figure legend.</w:t>
      </w:r>
      <w:r w:rsidR="00A75F11">
        <w:rPr>
          <w:rFonts w:ascii="Arial" w:hAnsi="Arial" w:cs="Arial"/>
          <w:sz w:val="22"/>
          <w:szCs w:val="22"/>
        </w:rPr>
        <w:t xml:space="preserve"> </w:t>
      </w:r>
      <w:r w:rsidRPr="00761DC0">
        <w:rPr>
          <w:rFonts w:ascii="Arial" w:hAnsi="Arial" w:cs="Arial"/>
          <w:sz w:val="22"/>
          <w:szCs w:val="22"/>
        </w:rPr>
        <w:t xml:space="preserve">Differential gene </w:t>
      </w:r>
      <w:r w:rsidRPr="00761DC0">
        <w:rPr>
          <w:rFonts w:ascii="Arial" w:hAnsi="Arial" w:cs="Arial"/>
          <w:sz w:val="22"/>
          <w:szCs w:val="22"/>
        </w:rPr>
        <w:lastRenderedPageBreak/>
        <w:t>expression utilized the Wilcoxon rank sum test on count-level mRNA data. For</w:t>
      </w:r>
      <w:r w:rsidR="00C0682E" w:rsidRPr="00761DC0">
        <w:rPr>
          <w:rFonts w:ascii="Arial" w:hAnsi="Arial" w:cs="Arial"/>
          <w:sz w:val="22"/>
          <w:szCs w:val="22"/>
        </w:rPr>
        <w:t xml:space="preserve"> </w:t>
      </w:r>
      <w:r w:rsidRPr="00761DC0">
        <w:rPr>
          <w:rFonts w:ascii="Arial" w:hAnsi="Arial" w:cs="Arial"/>
          <w:sz w:val="22"/>
          <w:szCs w:val="22"/>
        </w:rPr>
        <w:t xml:space="preserve">differential gene expression across clusters or </w:t>
      </w:r>
      <w:proofErr w:type="spellStart"/>
      <w:r w:rsidRPr="00761DC0">
        <w:rPr>
          <w:rFonts w:ascii="Arial" w:hAnsi="Arial" w:cs="Arial"/>
          <w:sz w:val="22"/>
          <w:szCs w:val="22"/>
        </w:rPr>
        <w:t>subclusters</w:t>
      </w:r>
      <w:proofErr w:type="spellEnd"/>
      <w:r w:rsidRPr="00761DC0">
        <w:rPr>
          <w:rFonts w:ascii="Arial" w:hAnsi="Arial" w:cs="Arial"/>
          <w:sz w:val="22"/>
          <w:szCs w:val="22"/>
        </w:rPr>
        <w:t xml:space="preserve">, </w:t>
      </w:r>
      <w:proofErr w:type="spellStart"/>
      <w:r w:rsidRPr="00761DC0">
        <w:rPr>
          <w:rFonts w:ascii="Arial" w:hAnsi="Arial" w:cs="Arial"/>
          <w:i/>
          <w:iCs/>
          <w:sz w:val="22"/>
          <w:szCs w:val="22"/>
        </w:rPr>
        <w:t>FindAllMarkers</w:t>
      </w:r>
      <w:proofErr w:type="spellEnd"/>
      <w:r w:rsidRPr="00761DC0">
        <w:rPr>
          <w:rFonts w:ascii="Arial" w:hAnsi="Arial" w:cs="Arial"/>
          <w:sz w:val="22"/>
          <w:szCs w:val="22"/>
        </w:rPr>
        <w:t xml:space="preserve"> function in the Seurat package using 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w:t>
      </w:r>
      <w:r w:rsidR="003245D3">
        <w:rPr>
          <w:rFonts w:ascii="Arial" w:hAnsi="Arial" w:cs="Arial"/>
          <w:sz w:val="22"/>
          <w:szCs w:val="22"/>
        </w:rPr>
        <w:fldChar w:fldCharType="begin" w:fldLock="1"/>
      </w:r>
      <w:r w:rsidR="0070740F">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G.","non-dropping-particle":"","parse-names":false,"suffix":""},{"dropping-particle":"","family":"Göttgens","given":"Berthold","non-dropping-particle":"","parse-names":false,"suffix":""}],"container-title":"Blood","id":"ITEM-1","issued":{"date-parts":[["2016"]]},"title":"A single-cell resolution map of mouse hematopoietic stem and progenitor cell differentiation","type":"article-journal"},"uris":["http://www.mendeley.com/documents/?uuid=242a1c4a-41c1-4e5d-908a-19c7032e2876"]}],"mendeley":{"formattedCitation":"(33)","plainTextFormattedCitation":"(33)","previouslyFormattedCitation":"(33)"},"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(33)</w:t>
      </w:r>
      <w:r w:rsidR="003245D3">
        <w:rPr>
          <w:rFonts w:ascii="Arial" w:hAnsi="Arial" w:cs="Arial"/>
          <w:sz w:val="22"/>
          <w:szCs w:val="22"/>
        </w:rPr>
        <w:fldChar w:fldCharType="end"/>
      </w:r>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p>
    <w:p w14:paraId="6A7FBD20" w14:textId="77777777" w:rsidR="00A75F11" w:rsidRDefault="00A75F11" w:rsidP="00276C2F">
      <w:pPr>
        <w:spacing w:line="480" w:lineRule="auto"/>
        <w:jc w:val="both"/>
        <w:rPr>
          <w:rFonts w:ascii="Arial" w:hAnsi="Arial" w:cs="Arial"/>
          <w:i/>
          <w:iCs/>
          <w:sz w:val="22"/>
          <w:szCs w:val="22"/>
        </w:rPr>
      </w:pPr>
    </w:p>
    <w:p w14:paraId="7BB4B4F2" w14:textId="03B50B4C" w:rsidR="00A75F11" w:rsidRDefault="00A75F11" w:rsidP="00276C2F">
      <w:pPr>
        <w:spacing w:line="480" w:lineRule="auto"/>
        <w:jc w:val="both"/>
        <w:rPr>
          <w:rFonts w:ascii="Arial" w:hAnsi="Arial" w:cs="Arial"/>
          <w:sz w:val="22"/>
          <w:szCs w:val="22"/>
        </w:rPr>
      </w:pPr>
      <w:r w:rsidRPr="00761DC0">
        <w:rPr>
          <w:rFonts w:ascii="Arial" w:hAnsi="Arial" w:cs="Arial"/>
          <w:sz w:val="22"/>
          <w:szCs w:val="22"/>
        </w:rPr>
        <w:t xml:space="preserve">Cell type identification utilized the SingleR (v1.0.1) R package </w:t>
      </w:r>
      <w:r>
        <w:rPr>
          <w:rFonts w:ascii="Arial" w:hAnsi="Arial" w:cs="Arial"/>
          <w:sz w:val="22"/>
          <w:szCs w:val="22"/>
        </w:rPr>
        <w:fldChar w:fldCharType="begin" w:fldLock="1"/>
      </w:r>
      <w:r w:rsidR="0070740F">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Immunology","id":"ITEM-1","issued":{"date-parts":[["2019"]]},"title":"Reference-based analysis of lung single-cell sequencing reveals a transitional profibrotic macrophage","type":"article-journal"},"uris":["http://www.mendeley.com/documents/?uuid=df8983c1-5e53-4284-aa51-753a9ca85a3a"]}],"mendeley":{"formattedCitation":"(34)","plainTextFormattedCitation":"(34)","previouslyFormattedCitation":"(34)"},"properties":{"noteIndex":0},"schema":"https://github.com/citation-style-language/schema/raw/master/csl-citation.json"}</w:instrText>
      </w:r>
      <w:r>
        <w:rPr>
          <w:rFonts w:ascii="Arial" w:hAnsi="Arial" w:cs="Arial"/>
          <w:sz w:val="22"/>
          <w:szCs w:val="22"/>
        </w:rPr>
        <w:fldChar w:fldCharType="separate"/>
      </w:r>
      <w:r w:rsidR="004F1798" w:rsidRPr="004F1798">
        <w:rPr>
          <w:rFonts w:ascii="Arial" w:hAnsi="Arial" w:cs="Arial"/>
          <w:noProof/>
          <w:sz w:val="22"/>
          <w:szCs w:val="22"/>
        </w:rPr>
        <w:t>(34)</w:t>
      </w:r>
      <w:r>
        <w:rPr>
          <w:rFonts w:ascii="Arial" w:hAnsi="Arial" w:cs="Arial"/>
          <w:sz w:val="22"/>
          <w:szCs w:val="22"/>
        </w:rPr>
        <w:fldChar w:fldCharType="end"/>
      </w:r>
      <w:r w:rsidR="004F1798">
        <w:rPr>
          <w:rFonts w:ascii="Arial" w:hAnsi="Arial" w:cs="Arial"/>
          <w:sz w:val="22"/>
          <w:szCs w:val="22"/>
        </w:rPr>
        <w:t xml:space="preserve"> </w:t>
      </w:r>
      <w:r w:rsidRPr="00761DC0">
        <w:rPr>
          <w:rFonts w:ascii="Arial" w:hAnsi="Arial" w:cs="Arial"/>
          <w:sz w:val="22"/>
          <w:szCs w:val="22"/>
        </w:rPr>
        <w:t>with correlations of the single-cell expression values with transcriptional profiles from pure cell populations in the ENCODE</w:t>
      </w:r>
      <w:r>
        <w:rPr>
          <w:rFonts w:ascii="Arial" w:hAnsi="Arial" w:cs="Arial"/>
          <w:sz w:val="22"/>
          <w:szCs w:val="22"/>
        </w:rPr>
        <w:t xml:space="preserve"> </w:t>
      </w:r>
      <w:r>
        <w:rPr>
          <w:rFonts w:ascii="Arial" w:hAnsi="Arial" w:cs="Arial"/>
          <w:sz w:val="22"/>
          <w:szCs w:val="22"/>
        </w:rPr>
        <w:fldChar w:fldCharType="begin" w:fldLock="1"/>
      </w:r>
      <w:r w:rsidR="0070740F">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d":{"date-parts":[["2012"]]},"title":"An integrated encyclopedia of DNA elements in the human genome","type":"article-journal"},"uris":["http://www.mendeley.com/documents/?uuid=8f2ef698-e22c-4cd7-bb5d-4d042edca2a1"]}],"mendeley":{"formattedCitation":"(35)","plainTextFormattedCitation":"(35)","previouslyFormattedCitation":"(35)"},"properties":{"noteIndex":0},"schema":"https://github.com/citation-style-language/schema/raw/master/csl-citation.json"}</w:instrText>
      </w:r>
      <w:r>
        <w:rPr>
          <w:rFonts w:ascii="Arial" w:hAnsi="Arial" w:cs="Arial"/>
          <w:sz w:val="22"/>
          <w:szCs w:val="22"/>
        </w:rPr>
        <w:fldChar w:fldCharType="separate"/>
      </w:r>
      <w:r w:rsidR="004F1798" w:rsidRPr="004F1798">
        <w:rPr>
          <w:rFonts w:ascii="Arial" w:hAnsi="Arial" w:cs="Arial"/>
          <w:noProof/>
          <w:sz w:val="22"/>
          <w:szCs w:val="22"/>
        </w:rPr>
        <w:t>(35)</w:t>
      </w:r>
      <w:r>
        <w:rPr>
          <w:rFonts w:ascii="Arial" w:hAnsi="Arial" w:cs="Arial"/>
          <w:sz w:val="22"/>
          <w:szCs w:val="22"/>
        </w:rPr>
        <w:fldChar w:fldCharType="end"/>
      </w:r>
      <w:r w:rsidRPr="00761DC0">
        <w:rPr>
          <w:rFonts w:ascii="Arial" w:hAnsi="Arial" w:cs="Arial"/>
          <w:sz w:val="22"/>
          <w:szCs w:val="22"/>
        </w:rPr>
        <w:t xml:space="preserve">. In addition to correlations, canonical markers for cell lineages </w:t>
      </w:r>
      <w:r w:rsidRPr="00045B3F">
        <w:rPr>
          <w:rFonts w:ascii="Arial" w:hAnsi="Arial" w:cs="Arial"/>
          <w:sz w:val="22"/>
          <w:szCs w:val="22"/>
        </w:rPr>
        <w:t xml:space="preserve">(Supplemental Table </w:t>
      </w:r>
      <w:r w:rsidR="00045B3F">
        <w:rPr>
          <w:rFonts w:ascii="Arial" w:hAnsi="Arial" w:cs="Arial"/>
          <w:sz w:val="22"/>
          <w:szCs w:val="22"/>
        </w:rPr>
        <w:t>3</w:t>
      </w:r>
      <w:r w:rsidRPr="00045B3F">
        <w:rPr>
          <w:rFonts w:ascii="Arial" w:hAnsi="Arial" w:cs="Arial"/>
          <w:sz w:val="22"/>
          <w:szCs w:val="22"/>
        </w:rPr>
        <w:t>)</w:t>
      </w:r>
      <w:r w:rsidRPr="00761DC0">
        <w:rPr>
          <w:rFonts w:ascii="Arial" w:hAnsi="Arial" w:cs="Arial"/>
          <w:sz w:val="22"/>
          <w:szCs w:val="22"/>
        </w:rPr>
        <w:t xml:space="preserve"> and corresponding TCR sequences were used.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w:t>
      </w:r>
      <w:r w:rsidR="003245D3" w:rsidRPr="00761DC0">
        <w:rPr>
          <w:rFonts w:ascii="Arial" w:hAnsi="Arial" w:cs="Arial"/>
          <w:sz w:val="22"/>
          <w:szCs w:val="22"/>
        </w:rPr>
        <w:t xml:space="preserve">Differential enrichment analysis was performed using the </w:t>
      </w:r>
      <w:proofErr w:type="spellStart"/>
      <w:r w:rsidR="003245D3" w:rsidRPr="00761DC0">
        <w:rPr>
          <w:rFonts w:ascii="Arial" w:hAnsi="Arial" w:cs="Arial"/>
          <w:i/>
          <w:iCs/>
          <w:sz w:val="22"/>
          <w:szCs w:val="22"/>
        </w:rPr>
        <w:t>getSignificance</w:t>
      </w:r>
      <w:proofErr w:type="spellEnd"/>
      <w:r w:rsidR="003245D3" w:rsidRPr="00761DC0">
        <w:rPr>
          <w:rFonts w:ascii="Arial" w:hAnsi="Arial" w:cs="Arial"/>
          <w:sz w:val="22"/>
          <w:szCs w:val="22"/>
        </w:rPr>
        <w:t xml:space="preserve"> function in escape that is based on the </w:t>
      </w:r>
      <w:proofErr w:type="spellStart"/>
      <w:r w:rsidR="003245D3" w:rsidRPr="00761DC0">
        <w:rPr>
          <w:rFonts w:ascii="Arial" w:hAnsi="Arial" w:cs="Arial"/>
          <w:sz w:val="22"/>
          <w:szCs w:val="22"/>
        </w:rPr>
        <w:t>limma</w:t>
      </w:r>
      <w:proofErr w:type="spellEnd"/>
      <w:r w:rsidR="003245D3" w:rsidRPr="00761DC0">
        <w:rPr>
          <w:rFonts w:ascii="Arial" w:hAnsi="Arial" w:cs="Arial"/>
          <w:sz w:val="22"/>
          <w:szCs w:val="22"/>
        </w:rPr>
        <w:t xml:space="preserve"> R package linear fit model. </w:t>
      </w:r>
      <w:r w:rsidR="003245D3">
        <w:rPr>
          <w:rFonts w:ascii="Arial" w:hAnsi="Arial" w:cs="Arial"/>
          <w:sz w:val="22"/>
          <w:szCs w:val="22"/>
        </w:rPr>
        <w:t xml:space="preserve">TCR analysis utilized our previously described scRepertoire R package (v0.99.3) </w:t>
      </w:r>
      <w:r w:rsidR="003245D3">
        <w:rPr>
          <w:rFonts w:ascii="Arial" w:hAnsi="Arial" w:cs="Arial"/>
          <w:sz w:val="22"/>
          <w:szCs w:val="22"/>
        </w:rPr>
        <w:fldChar w:fldCharType="begin" w:fldLock="1"/>
      </w:r>
      <w:r w:rsidR="0070740F">
        <w:rPr>
          <w:rFonts w:ascii="Arial" w:hAnsi="Arial" w:cs="Arial"/>
          <w:sz w:val="22"/>
          <w:szCs w:val="22"/>
        </w:rPr>
        <w:instrText>ADDIN CSL_CITATION {"citationItems":[{"id":"ITEM-1","itemData":{"DOI":"10.12688/f1000research.22139.1","ISSN":"2046-1402","abstract":" 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 ","author":[{"dropping-particle":"","family":"Borcherding","given":"Nicholas","non-dropping-particle":"","parse-names":false,"suffix":""},{"dropping-particle":"","family":"Bormann","given":"Nicholas L.","non-dropping-particle":"","parse-names":false,"suffix":""}],"container-title":"F1000Research","id":"ITEM-1","issued":{"date-parts":[["2020"]]},"title":"scRepertoire: An R-based toolkit for single-cell immune receptor analysis","type":"article-journal"},"uris":["http://www.mendeley.com/documents/?uuid=664c1716-88eb-4e48-aa90-e7eb3e65288e"]}],"mendeley":{"formattedCitation":"(36)","plainTextFormattedCitation":"(36)","previouslyFormattedCitation":"(36)"},"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(36)</w:t>
      </w:r>
      <w:r w:rsidR="003245D3">
        <w:rPr>
          <w:rFonts w:ascii="Arial" w:hAnsi="Arial" w:cs="Arial"/>
          <w:sz w:val="22"/>
          <w:szCs w:val="22"/>
        </w:rPr>
        <w:fldChar w:fldCharType="end"/>
      </w:r>
      <w:r w:rsidR="003245D3">
        <w:rPr>
          <w:rFonts w:ascii="Arial" w:hAnsi="Arial" w:cs="Arial"/>
          <w:sz w:val="22"/>
          <w:szCs w:val="22"/>
        </w:rPr>
        <w:t xml:space="preserve"> with clonotype being defined as the combination of the gene components of the VDJ and the nucleotide sequence for both chains</w:t>
      </w:r>
      <w:r w:rsidR="0070740F">
        <w:rPr>
          <w:rFonts w:ascii="Arial" w:hAnsi="Arial" w:cs="Arial"/>
          <w:sz w:val="22"/>
          <w:szCs w:val="22"/>
        </w:rPr>
        <w:t xml:space="preserve"> and assigned on the integrated Seurat object</w:t>
      </w:r>
      <w:r w:rsidR="003245D3">
        <w:rPr>
          <w:rFonts w:ascii="Arial" w:hAnsi="Arial" w:cs="Arial"/>
          <w:sz w:val="22"/>
          <w:szCs w:val="22"/>
        </w:rPr>
        <w:t>.</w:t>
      </w:r>
      <w:r w:rsidR="008505A9">
        <w:rPr>
          <w:rFonts w:ascii="Arial" w:hAnsi="Arial" w:cs="Arial"/>
          <w:sz w:val="22"/>
          <w:szCs w:val="22"/>
        </w:rPr>
        <w:t xml:space="preserve"> </w:t>
      </w:r>
      <w:r w:rsidR="0070740F">
        <w:rPr>
          <w:rFonts w:ascii="Arial" w:hAnsi="Arial" w:cs="Arial"/>
          <w:sz w:val="22"/>
          <w:szCs w:val="22"/>
        </w:rPr>
        <w:t xml:space="preserve">Cell trajectory analysis used the slingshot (v1.6.0) R package </w:t>
      </w:r>
      <w:r w:rsidR="0070740F">
        <w:rPr>
          <w:rFonts w:ascii="Arial" w:hAnsi="Arial" w:cs="Arial"/>
          <w:sz w:val="22"/>
          <w:szCs w:val="22"/>
        </w:rPr>
        <w:fldChar w:fldCharType="begin" w:fldLock="1"/>
      </w:r>
      <w:r w:rsidR="0070740F">
        <w:rPr>
          <w:rFonts w:ascii="Arial" w:hAnsi="Arial" w:cs="Arial"/>
          <w:sz w:val="22"/>
          <w:szCs w:val="22"/>
        </w:rPr>
        <w:instrText>ADDIN CSL_CITATION {"citationItems":[{"id":"ITEM-1","itemData":{"DOI":"10.1186/s12864-018-4772-0","ISSN":"14712164","PMID":"29914354","abstract":"Background: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Genomics","id":"ITEM-1","issued":{"date-parts":[["2018"]]},"title":"Slingshot: Cell lineage and pseudotime inference for single-cell transcriptomics","type":"article-journal"},"uris":["http://www.mendeley.com/documents/?uuid=91f3ef9f-e067-4c00-a014-8c4e43e06f6d"]}],"mendeley":{"formattedCitation":"(37)","plainTextFormattedCitation":"(37)"},"properties":{"noteIndex":0},"schema":"https://github.com/citation-style-language/schema/raw/master/csl-citation.json"}</w:instrText>
      </w:r>
      <w:r w:rsidR="0070740F">
        <w:rPr>
          <w:rFonts w:ascii="Arial" w:hAnsi="Arial" w:cs="Arial"/>
          <w:sz w:val="22"/>
          <w:szCs w:val="22"/>
        </w:rPr>
        <w:fldChar w:fldCharType="separate"/>
      </w:r>
      <w:r w:rsidR="0070740F" w:rsidRPr="0070740F">
        <w:rPr>
          <w:rFonts w:ascii="Arial" w:hAnsi="Arial" w:cs="Arial"/>
          <w:noProof/>
          <w:sz w:val="22"/>
          <w:szCs w:val="22"/>
        </w:rPr>
        <w:t>(37)</w:t>
      </w:r>
      <w:r w:rsidR="0070740F">
        <w:rPr>
          <w:rFonts w:ascii="Arial" w:hAnsi="Arial" w:cs="Arial"/>
          <w:sz w:val="22"/>
          <w:szCs w:val="22"/>
        </w:rPr>
        <w:fldChar w:fldCharType="end"/>
      </w:r>
      <w:r w:rsidR="0070740F">
        <w:rPr>
          <w:rFonts w:ascii="Arial" w:hAnsi="Arial" w:cs="Arial"/>
          <w:sz w:val="22"/>
          <w:szCs w:val="22"/>
        </w:rPr>
        <w:t xml:space="preserve"> with default settings for the </w:t>
      </w:r>
      <w:r w:rsidR="0070740F" w:rsidRPr="0070740F">
        <w:rPr>
          <w:rFonts w:ascii="Arial" w:hAnsi="Arial" w:cs="Arial"/>
          <w:i/>
          <w:iCs/>
          <w:sz w:val="22"/>
          <w:szCs w:val="22"/>
        </w:rPr>
        <w:t>slingshot</w:t>
      </w:r>
      <w:r w:rsidR="0070740F">
        <w:rPr>
          <w:rFonts w:ascii="Arial" w:hAnsi="Arial" w:cs="Arial"/>
          <w:sz w:val="22"/>
          <w:szCs w:val="22"/>
        </w:rPr>
        <w:t xml:space="preserve"> function and using the embedding from the </w:t>
      </w:r>
      <w:proofErr w:type="spellStart"/>
      <w:r w:rsidR="0070740F">
        <w:rPr>
          <w:rFonts w:ascii="Arial" w:hAnsi="Arial" w:cs="Arial"/>
          <w:sz w:val="22"/>
          <w:szCs w:val="22"/>
        </w:rPr>
        <w:t>subclustering</w:t>
      </w:r>
      <w:proofErr w:type="spellEnd"/>
      <w:r w:rsidR="0070740F">
        <w:rPr>
          <w:rFonts w:ascii="Arial" w:hAnsi="Arial" w:cs="Arial"/>
          <w:sz w:val="22"/>
          <w:szCs w:val="22"/>
        </w:rPr>
        <w:t xml:space="preserve"> for each cell type. Inferred start and end clusters were applied in the CD8</w:t>
      </w:r>
      <w:r w:rsidR="0015352E">
        <w:rPr>
          <w:rFonts w:ascii="Arial" w:hAnsi="Arial" w:cs="Arial"/>
          <w:sz w:val="22"/>
          <w:szCs w:val="22"/>
          <w:vertAlign w:val="superscript"/>
        </w:rPr>
        <w:t>+</w:t>
      </w:r>
      <w:bookmarkStart w:id="0" w:name="_GoBack"/>
      <w:bookmarkEnd w:id="0"/>
      <w:r w:rsidR="0070740F">
        <w:rPr>
          <w:rFonts w:ascii="Arial" w:hAnsi="Arial" w:cs="Arial"/>
          <w:sz w:val="22"/>
          <w:szCs w:val="22"/>
        </w:rPr>
        <w:t xml:space="preserve"> T cell trajectory based on gene expression markers. Ranked importance of genes were calculated using the top 300 variable genes and </w:t>
      </w:r>
      <w:proofErr w:type="spellStart"/>
      <w:r w:rsidR="0070740F">
        <w:rPr>
          <w:rFonts w:ascii="Arial" w:hAnsi="Arial" w:cs="Arial"/>
          <w:sz w:val="22"/>
          <w:szCs w:val="22"/>
        </w:rPr>
        <w:t>rsample</w:t>
      </w:r>
      <w:proofErr w:type="spellEnd"/>
      <w:r w:rsidR="0070740F">
        <w:rPr>
          <w:rFonts w:ascii="Arial" w:hAnsi="Arial" w:cs="Arial"/>
          <w:sz w:val="22"/>
          <w:szCs w:val="22"/>
        </w:rPr>
        <w:t xml:space="preserve"> (v0.0.9) and </w:t>
      </w:r>
      <w:proofErr w:type="spellStart"/>
      <w:r w:rsidR="0070740F">
        <w:rPr>
          <w:rFonts w:ascii="Arial" w:hAnsi="Arial" w:cs="Arial"/>
          <w:sz w:val="22"/>
          <w:szCs w:val="22"/>
        </w:rPr>
        <w:t>tidymodels</w:t>
      </w:r>
      <w:proofErr w:type="spellEnd"/>
      <w:r w:rsidR="0070740F">
        <w:rPr>
          <w:rFonts w:ascii="Arial" w:hAnsi="Arial" w:cs="Arial"/>
          <w:sz w:val="22"/>
          <w:szCs w:val="22"/>
        </w:rPr>
        <w:t xml:space="preserve"> (v0.1.0) R packages were used to generate random </w:t>
      </w:r>
      <w:proofErr w:type="spellStart"/>
      <w:r w:rsidR="0070740F">
        <w:rPr>
          <w:rFonts w:ascii="Arial" w:hAnsi="Arial" w:cs="Arial"/>
          <w:sz w:val="22"/>
          <w:szCs w:val="22"/>
        </w:rPr>
        <w:t xml:space="preserve">forest </w:t>
      </w:r>
      <w:proofErr w:type="spellEnd"/>
      <w:r w:rsidR="0070740F">
        <w:rPr>
          <w:rFonts w:ascii="Arial" w:hAnsi="Arial" w:cs="Arial"/>
          <w:sz w:val="22"/>
          <w:szCs w:val="22"/>
        </w:rPr>
        <w:t xml:space="preserve">model based on a training data set of 75% of </w:t>
      </w:r>
      <w:r w:rsidR="0015352E">
        <w:rPr>
          <w:rFonts w:ascii="Arial" w:hAnsi="Arial" w:cs="Arial"/>
          <w:sz w:val="22"/>
          <w:szCs w:val="22"/>
        </w:rPr>
        <w:t xml:space="preserve">the cells. The </w:t>
      </w:r>
      <w:proofErr w:type="spellStart"/>
      <w:r w:rsidR="0015352E" w:rsidRPr="0015352E">
        <w:rPr>
          <w:rFonts w:ascii="Arial" w:hAnsi="Arial" w:cs="Arial"/>
          <w:i/>
          <w:iCs/>
          <w:sz w:val="22"/>
          <w:szCs w:val="22"/>
        </w:rPr>
        <w:t>rand_forest</w:t>
      </w:r>
      <w:proofErr w:type="spellEnd"/>
      <w:r w:rsidR="0015352E">
        <w:rPr>
          <w:rFonts w:ascii="Arial" w:hAnsi="Arial" w:cs="Arial"/>
          <w:sz w:val="22"/>
          <w:szCs w:val="22"/>
        </w:rPr>
        <w:t xml:space="preserve"> function in the parsnip (v0.1.1) R package was used, with mtry set to 200, trees to 1400, and minimum number of data points in a node equal to 15 across all cell types.</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all analysis is available at </w:t>
      </w:r>
      <w:hyperlink r:id="rId8" w:history="1">
        <w:r w:rsidR="00761DC0" w:rsidRPr="00761DC0">
          <w:rPr>
            <w:rStyle w:val="Hyperlink"/>
            <w:rFonts w:ascii="Arial" w:hAnsi="Arial" w:cs="Arial"/>
            <w:sz w:val="22"/>
            <w:szCs w:val="22"/>
          </w:rPr>
          <w:t>https://github.com/ncborcherding/ccRCC</w:t>
        </w:r>
      </w:hyperlink>
      <w:r w:rsidR="0070740F">
        <w:rPr>
          <w:rFonts w:ascii="Arial" w:hAnsi="Arial" w:cs="Arial"/>
          <w:sz w:val="22"/>
          <w:szCs w:val="22"/>
        </w:rPr>
        <w:t>.</w:t>
      </w:r>
    </w:p>
    <w:p w14:paraId="0ECEC034" w14:textId="2CB0530C" w:rsidR="00196548" w:rsidRDefault="00196548" w:rsidP="00276C2F">
      <w:pPr>
        <w:spacing w:line="480" w:lineRule="auto"/>
        <w:jc w:val="both"/>
        <w:rPr>
          <w:rFonts w:ascii="Arial" w:hAnsi="Arial" w:cs="Arial"/>
          <w:sz w:val="22"/>
          <w:szCs w:val="22"/>
        </w:rPr>
      </w:pPr>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58784CF7"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Statistical Analyses were performed in </w:t>
      </w:r>
      <w:r w:rsidRPr="00F518EE">
        <w:rPr>
          <w:rFonts w:ascii="Arial" w:hAnsi="Arial" w:cs="Arial"/>
          <w:color w:val="000000"/>
          <w:sz w:val="22"/>
          <w:szCs w:val="22"/>
        </w:rPr>
        <w:t>R (v</w:t>
      </w:r>
      <w:r w:rsidR="00F518EE" w:rsidRPr="00F518EE">
        <w:rPr>
          <w:rFonts w:ascii="Arial" w:hAnsi="Arial" w:cs="Arial"/>
          <w:color w:val="000000"/>
          <w:sz w:val="22"/>
          <w:szCs w:val="22"/>
        </w:rPr>
        <w:t>4.0.1</w:t>
      </w:r>
      <w:r w:rsidRPr="00F518EE">
        <w:rPr>
          <w:rFonts w:ascii="Arial" w:hAnsi="Arial" w:cs="Arial"/>
          <w:color w:val="000000"/>
          <w:sz w:val="22"/>
          <w:szCs w:val="22"/>
        </w:rPr>
        <w:t>).</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648D9F1A" w:rsidR="003064F8" w:rsidRDefault="003064F8" w:rsidP="00276C2F">
      <w:pPr>
        <w:spacing w:line="480" w:lineRule="auto"/>
        <w:jc w:val="both"/>
        <w:rPr>
          <w:rFonts w:ascii="Arial" w:hAnsi="Arial" w:cs="Arial"/>
          <w:sz w:val="22"/>
          <w:szCs w:val="22"/>
        </w:rPr>
      </w:pPr>
    </w:p>
    <w:p w14:paraId="281D9E9C" w14:textId="135A99B2" w:rsidR="002E4EFB" w:rsidRDefault="002E4EFB" w:rsidP="00276C2F">
      <w:pPr>
        <w:spacing w:line="480" w:lineRule="auto"/>
        <w:jc w:val="both"/>
        <w:rPr>
          <w:rFonts w:ascii="Arial" w:hAnsi="Arial" w:cs="Arial"/>
          <w:sz w:val="22"/>
          <w:szCs w:val="22"/>
        </w:rPr>
      </w:pPr>
    </w:p>
    <w:p w14:paraId="15C6FF09" w14:textId="0E32A6AF" w:rsidR="002E4EFB" w:rsidRDefault="002E4EFB" w:rsidP="00276C2F">
      <w:pPr>
        <w:spacing w:line="480" w:lineRule="auto"/>
        <w:jc w:val="both"/>
        <w:rPr>
          <w:rFonts w:ascii="Arial" w:hAnsi="Arial" w:cs="Arial"/>
          <w:sz w:val="22"/>
          <w:szCs w:val="22"/>
        </w:rPr>
      </w:pPr>
    </w:p>
    <w:p w14:paraId="483133B5" w14:textId="22998012" w:rsidR="002E4EFB" w:rsidRDefault="002E4EFB" w:rsidP="00276C2F">
      <w:pPr>
        <w:spacing w:line="480" w:lineRule="auto"/>
        <w:jc w:val="both"/>
        <w:rPr>
          <w:rFonts w:ascii="Arial" w:hAnsi="Arial" w:cs="Arial"/>
          <w:sz w:val="22"/>
          <w:szCs w:val="22"/>
        </w:rPr>
      </w:pPr>
    </w:p>
    <w:p w14:paraId="75D2F9CB" w14:textId="39C5D6FC" w:rsidR="002E4EFB" w:rsidRDefault="002E4EFB" w:rsidP="00276C2F">
      <w:pPr>
        <w:spacing w:line="480" w:lineRule="auto"/>
        <w:jc w:val="both"/>
        <w:rPr>
          <w:rFonts w:ascii="Arial" w:hAnsi="Arial" w:cs="Arial"/>
          <w:sz w:val="22"/>
          <w:szCs w:val="22"/>
        </w:rPr>
      </w:pPr>
    </w:p>
    <w:p w14:paraId="75D54D4C" w14:textId="13034EF4" w:rsidR="002E4EFB" w:rsidRDefault="002E4EFB" w:rsidP="00276C2F">
      <w:pPr>
        <w:spacing w:line="480" w:lineRule="auto"/>
        <w:jc w:val="both"/>
        <w:rPr>
          <w:rFonts w:ascii="Arial" w:hAnsi="Arial" w:cs="Arial"/>
          <w:sz w:val="22"/>
          <w:szCs w:val="22"/>
        </w:rPr>
      </w:pPr>
    </w:p>
    <w:p w14:paraId="00F8A150" w14:textId="77777777" w:rsidR="002E4EFB" w:rsidRPr="00761DC0" w:rsidRDefault="002E4EFB" w:rsidP="00276C2F">
      <w:pPr>
        <w:spacing w:line="480" w:lineRule="auto"/>
        <w:jc w:val="both"/>
        <w:rPr>
          <w:rFonts w:ascii="Arial" w:hAnsi="Arial" w:cs="Arial"/>
          <w:sz w:val="22"/>
          <w:szCs w:val="22"/>
        </w:rPr>
      </w:pPr>
    </w:p>
    <w:p w14:paraId="3680F3A4"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Acknowledgments</w:t>
      </w:r>
    </w:p>
    <w:p w14:paraId="61124083" w14:textId="0DF621F2" w:rsidR="00244E36"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We thank Michael Knudson, Rita Sigmund, Joe Galbraith, Janice Cook-</w:t>
      </w:r>
      <w:proofErr w:type="spellStart"/>
      <w:r w:rsidRPr="002E4EFB">
        <w:rPr>
          <w:rFonts w:ascii="Arial" w:hAnsi="Arial" w:cs="Arial"/>
          <w:bCs/>
          <w:color w:val="000000"/>
          <w:sz w:val="22"/>
          <w:szCs w:val="22"/>
        </w:rPr>
        <w:t>Granroth</w:t>
      </w:r>
      <w:proofErr w:type="spellEnd"/>
      <w:r w:rsidRPr="002E4EFB">
        <w:rPr>
          <w:rFonts w:ascii="Arial" w:hAnsi="Arial" w:cs="Arial"/>
          <w:bCs/>
          <w:color w:val="000000"/>
          <w:sz w:val="22"/>
          <w:szCs w:val="22"/>
        </w:rPr>
        <w:t xml:space="preserve">, Bethany </w:t>
      </w:r>
      <w:proofErr w:type="spellStart"/>
      <w:r w:rsidRPr="002E4EFB">
        <w:rPr>
          <w:rFonts w:ascii="Arial" w:hAnsi="Arial" w:cs="Arial"/>
          <w:bCs/>
          <w:color w:val="000000"/>
          <w:sz w:val="22"/>
          <w:szCs w:val="22"/>
        </w:rPr>
        <w:t>Kilburg</w:t>
      </w:r>
      <w:proofErr w:type="spellEnd"/>
      <w:r w:rsidRPr="002E4EFB">
        <w:rPr>
          <w:rFonts w:ascii="Arial" w:hAnsi="Arial" w:cs="Arial"/>
          <w:bCs/>
          <w:color w:val="000000"/>
          <w:sz w:val="22"/>
          <w:szCs w:val="22"/>
        </w:rPr>
        <w:t xml:space="preserve"> and Celeste </w:t>
      </w:r>
      <w:proofErr w:type="spellStart"/>
      <w:r w:rsidRPr="002E4EFB">
        <w:rPr>
          <w:rFonts w:ascii="Arial" w:hAnsi="Arial" w:cs="Arial"/>
          <w:bCs/>
          <w:color w:val="000000"/>
          <w:sz w:val="22"/>
          <w:szCs w:val="22"/>
        </w:rPr>
        <w:t>Charchalac</w:t>
      </w:r>
      <w:proofErr w:type="spellEnd"/>
      <w:r w:rsidRPr="002E4EFB">
        <w:rPr>
          <w:rFonts w:ascii="Arial" w:hAnsi="Arial" w:cs="Arial"/>
          <w:bCs/>
          <w:color w:val="000000"/>
          <w:sz w:val="22"/>
          <w:szCs w:val="22"/>
        </w:rPr>
        <w:t xml:space="preserve"> from University of Iowa Carver College of Medicine, Tissue Procurement Core (TPC) and Genito-Urologic Tissue Repository (GUMER) for receiving biological samples and clinical data. We thank Justin </w:t>
      </w:r>
      <w:proofErr w:type="spellStart"/>
      <w:r w:rsidRPr="002E4EFB">
        <w:rPr>
          <w:rFonts w:ascii="Arial" w:hAnsi="Arial" w:cs="Arial"/>
          <w:bCs/>
          <w:color w:val="000000"/>
          <w:sz w:val="22"/>
          <w:szCs w:val="22"/>
        </w:rPr>
        <w:t>Fishbaugh</w:t>
      </w:r>
      <w:proofErr w:type="spellEnd"/>
      <w:r w:rsidRPr="002E4EFB">
        <w:rPr>
          <w:rFonts w:ascii="Arial" w:hAnsi="Arial" w:cs="Arial"/>
          <w:bCs/>
          <w:color w:val="000000"/>
          <w:sz w:val="22"/>
          <w:szCs w:val="22"/>
        </w:rPr>
        <w:t xml:space="preserve">, Heath </w:t>
      </w:r>
      <w:proofErr w:type="spellStart"/>
      <w:r w:rsidRPr="002E4EFB">
        <w:rPr>
          <w:rFonts w:ascii="Arial" w:hAnsi="Arial" w:cs="Arial"/>
          <w:bCs/>
          <w:color w:val="000000"/>
          <w:sz w:val="22"/>
          <w:szCs w:val="22"/>
        </w:rPr>
        <w:t>Vignes</w:t>
      </w:r>
      <w:proofErr w:type="spellEnd"/>
      <w:r w:rsidRPr="002E4EFB">
        <w:rPr>
          <w:rFonts w:ascii="Arial" w:hAnsi="Arial" w:cs="Arial"/>
          <w:bCs/>
          <w:color w:val="000000"/>
          <w:sz w:val="22"/>
          <w:szCs w:val="22"/>
        </w:rPr>
        <w:t xml:space="preserve"> and Michael </w:t>
      </w:r>
      <w:proofErr w:type="spellStart"/>
      <w:r w:rsidRPr="002E4EFB">
        <w:rPr>
          <w:rFonts w:ascii="Arial" w:hAnsi="Arial" w:cs="Arial"/>
          <w:bCs/>
          <w:color w:val="000000"/>
          <w:sz w:val="22"/>
          <w:szCs w:val="22"/>
        </w:rPr>
        <w:t>Shey</w:t>
      </w:r>
      <w:proofErr w:type="spellEnd"/>
      <w:r w:rsidRPr="002E4EFB">
        <w:rPr>
          <w:rFonts w:ascii="Arial" w:hAnsi="Arial" w:cs="Arial"/>
          <w:bCs/>
          <w:color w:val="000000"/>
          <w:sz w:val="22"/>
          <w:szCs w:val="22"/>
        </w:rPr>
        <w:t xml:space="preserve"> from the University of Iowa Flow Cytometry Facility. We thank Kevin </w:t>
      </w:r>
      <w:proofErr w:type="spellStart"/>
      <w:r w:rsidRPr="002E4EFB">
        <w:rPr>
          <w:rFonts w:ascii="Arial" w:hAnsi="Arial" w:cs="Arial"/>
          <w:bCs/>
          <w:color w:val="000000"/>
          <w:sz w:val="22"/>
          <w:szCs w:val="22"/>
        </w:rPr>
        <w:t>Knudtson</w:t>
      </w:r>
      <w:proofErr w:type="spellEnd"/>
      <w:r w:rsidRPr="002E4EFB">
        <w:rPr>
          <w:rFonts w:ascii="Arial" w:hAnsi="Arial" w:cs="Arial"/>
          <w:bCs/>
          <w:color w:val="000000"/>
          <w:sz w:val="22"/>
          <w:szCs w:val="22"/>
        </w:rPr>
        <w:t xml:space="preserve">, Mary </w:t>
      </w:r>
      <w:proofErr w:type="spellStart"/>
      <w:r w:rsidRPr="002E4EFB">
        <w:rPr>
          <w:rFonts w:ascii="Arial" w:hAnsi="Arial" w:cs="Arial"/>
          <w:bCs/>
          <w:color w:val="000000"/>
          <w:sz w:val="22"/>
          <w:szCs w:val="22"/>
        </w:rPr>
        <w:t>Boes</w:t>
      </w:r>
      <w:proofErr w:type="spellEnd"/>
      <w:r w:rsidRPr="002E4EFB">
        <w:rPr>
          <w:rFonts w:ascii="Arial" w:hAnsi="Arial" w:cs="Arial"/>
          <w:bCs/>
          <w:color w:val="000000"/>
          <w:sz w:val="22"/>
          <w:szCs w:val="22"/>
        </w:rPr>
        <w:t xml:space="preserve">, Garry Hauser and Mari Eyestone from the Iowa Institute of Human Genetics (IIHG) Genomics Division for planning and assisting use of Next Gen Sequencing (NGS) platforms, Diana Kolb from the IIHG Bioinformatics Division and the University of Iowa High Performance Computing (HPC) facility. </w:t>
      </w:r>
    </w:p>
    <w:p w14:paraId="39C8B0BC" w14:textId="77777777" w:rsidR="00244E36" w:rsidRPr="002E4EFB" w:rsidRDefault="00244E36" w:rsidP="002E4EFB">
      <w:pPr>
        <w:spacing w:line="480" w:lineRule="auto"/>
        <w:jc w:val="both"/>
        <w:rPr>
          <w:rFonts w:ascii="Arial" w:hAnsi="Arial" w:cs="Arial"/>
          <w:bCs/>
          <w:color w:val="000000"/>
          <w:sz w:val="22"/>
          <w:szCs w:val="22"/>
        </w:rPr>
      </w:pPr>
    </w:p>
    <w:p w14:paraId="25F8152D"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lastRenderedPageBreak/>
        <w:t>Funding</w:t>
      </w:r>
    </w:p>
    <w:p w14:paraId="45F9BAE5" w14:textId="450D5474" w:rsidR="00CB2EE0" w:rsidRPr="002E4EFB" w:rsidRDefault="00244E36" w:rsidP="002E4EFB">
      <w:pPr>
        <w:spacing w:line="480" w:lineRule="auto"/>
        <w:rPr>
          <w:rFonts w:ascii="Arial" w:hAnsi="Arial" w:cs="Arial"/>
          <w:bCs/>
          <w:sz w:val="22"/>
          <w:szCs w:val="22"/>
        </w:rPr>
      </w:pPr>
      <w:r w:rsidRPr="002E4EFB">
        <w:rPr>
          <w:rFonts w:ascii="Arial" w:hAnsi="Arial" w:cs="Arial"/>
          <w:bCs/>
          <w:sz w:val="22"/>
          <w:szCs w:val="22"/>
        </w:rPr>
        <w:t>Funding for this project was provided</w:t>
      </w:r>
      <w:r w:rsidR="007C3051">
        <w:rPr>
          <w:rFonts w:ascii="Arial" w:hAnsi="Arial" w:cs="Arial"/>
          <w:bCs/>
          <w:sz w:val="22"/>
          <w:szCs w:val="22"/>
        </w:rPr>
        <w:t xml:space="preserve"> </w:t>
      </w:r>
      <w:r w:rsidR="007C3051">
        <w:rPr>
          <w:rFonts w:ascii="Arial" w:hAnsi="Arial" w:cs="Arial"/>
          <w:bCs/>
          <w:color w:val="000000"/>
          <w:sz w:val="22"/>
          <w:szCs w:val="22"/>
        </w:rPr>
        <w:t>by</w:t>
      </w:r>
      <w:r w:rsidR="007C3051" w:rsidRPr="002E4EFB">
        <w:rPr>
          <w:rFonts w:ascii="Arial" w:hAnsi="Arial" w:cs="Arial"/>
          <w:bCs/>
          <w:color w:val="000000"/>
          <w:sz w:val="22"/>
          <w:szCs w:val="22"/>
        </w:rPr>
        <w:t xml:space="preserve"> Rock ‘N’ Ride Foundation (PI: Y.Z.)</w:t>
      </w:r>
      <w:r w:rsidR="007C3051">
        <w:rPr>
          <w:rFonts w:ascii="Arial" w:hAnsi="Arial" w:cs="Arial"/>
          <w:bCs/>
          <w:color w:val="000000"/>
          <w:sz w:val="22"/>
          <w:szCs w:val="22"/>
        </w:rPr>
        <w:t xml:space="preserve"> and </w:t>
      </w:r>
      <w:r w:rsidRPr="002E4EFB">
        <w:rPr>
          <w:rFonts w:ascii="Arial" w:hAnsi="Arial" w:cs="Arial"/>
          <w:bCs/>
          <w:sz w:val="22"/>
          <w:szCs w:val="22"/>
        </w:rPr>
        <w:t xml:space="preserve">from the National Institute of Health under the </w:t>
      </w:r>
      <w:r w:rsidRPr="007C3051">
        <w:rPr>
          <w:rFonts w:ascii="Arial" w:hAnsi="Arial" w:cs="Arial"/>
          <w:bCs/>
          <w:sz w:val="22"/>
          <w:szCs w:val="22"/>
        </w:rPr>
        <w:t>R01</w:t>
      </w:r>
      <w:r w:rsidR="007C3051">
        <w:rPr>
          <w:rFonts w:ascii="Arial" w:hAnsi="Arial" w:cs="Arial"/>
          <w:bCs/>
          <w:sz w:val="22"/>
          <w:szCs w:val="22"/>
        </w:rPr>
        <w:t xml:space="preserve"> CA200673 (PI: W.Z.), R01 CA203834 (PI: W.Z.), </w:t>
      </w:r>
      <w:r w:rsidRPr="002E4EFB">
        <w:rPr>
          <w:rFonts w:ascii="Arial" w:hAnsi="Arial" w:cs="Arial"/>
          <w:bCs/>
          <w:sz w:val="22"/>
          <w:szCs w:val="22"/>
        </w:rPr>
        <w:t xml:space="preserve">K08 </w:t>
      </w:r>
      <w:r w:rsidRPr="002E4EFB">
        <w:rPr>
          <w:rFonts w:ascii="Arial" w:hAnsi="Arial" w:cs="Arial"/>
          <w:bCs/>
          <w:color w:val="000000"/>
          <w:sz w:val="22"/>
          <w:szCs w:val="22"/>
        </w:rPr>
        <w:t>CA226391</w:t>
      </w:r>
      <w:r w:rsidRPr="002E4EFB">
        <w:rPr>
          <w:rFonts w:ascii="Arial" w:hAnsi="Arial" w:cs="Arial"/>
          <w:bCs/>
          <w:sz w:val="22"/>
          <w:szCs w:val="22"/>
        </w:rPr>
        <w:t xml:space="preserve"> (PI: R.W.J) and F30 CA206255 (PI: N.B.).</w:t>
      </w:r>
      <w:r w:rsidR="007C3051">
        <w:rPr>
          <w:rFonts w:ascii="Arial" w:hAnsi="Arial" w:cs="Arial"/>
          <w:bCs/>
          <w:sz w:val="22"/>
          <w:szCs w:val="22"/>
        </w:rPr>
        <w:t xml:space="preserve"> </w:t>
      </w:r>
      <w:r w:rsidR="00CB2EE0" w:rsidRPr="002E4EFB">
        <w:rPr>
          <w:rFonts w:ascii="Arial" w:hAnsi="Arial" w:cs="Arial"/>
          <w:bCs/>
          <w:color w:val="000000"/>
          <w:sz w:val="22"/>
          <w:szCs w:val="22"/>
        </w:rPr>
        <w:t xml:space="preserve">The flow cytometry </w:t>
      </w:r>
      <w:r w:rsidRPr="002E4EFB">
        <w:rPr>
          <w:rFonts w:ascii="Arial" w:hAnsi="Arial" w:cs="Arial"/>
          <w:bCs/>
          <w:color w:val="000000"/>
          <w:sz w:val="22"/>
          <w:szCs w:val="22"/>
        </w:rPr>
        <w:t xml:space="preserve">and sequencing </w:t>
      </w:r>
      <w:r w:rsidRPr="002E4EFB">
        <w:rPr>
          <w:rStyle w:val="Strong"/>
          <w:rFonts w:ascii="Arial" w:hAnsi="Arial" w:cs="Arial"/>
          <w:b w:val="0"/>
          <w:color w:val="000000"/>
          <w:sz w:val="22"/>
          <w:szCs w:val="22"/>
        </w:rPr>
        <w:t xml:space="preserve">facilities are funded </w:t>
      </w:r>
      <w:r w:rsidR="00CB2EE0" w:rsidRPr="002E4EFB">
        <w:rPr>
          <w:rStyle w:val="Strong"/>
          <w:rFonts w:ascii="Arial" w:hAnsi="Arial" w:cs="Arial"/>
          <w:b w:val="0"/>
          <w:color w:val="000000"/>
          <w:sz w:val="22"/>
          <w:szCs w:val="22"/>
        </w:rPr>
        <w:t xml:space="preserve">in part, by the National Cancer Institute of the National Institutes of Health under Award Number P30CA086862. The </w:t>
      </w:r>
      <w:proofErr w:type="spellStart"/>
      <w:r w:rsidR="00CB2EE0" w:rsidRPr="002E4EFB">
        <w:rPr>
          <w:rFonts w:ascii="Arial" w:hAnsi="Arial" w:cs="Arial"/>
          <w:bCs/>
          <w:color w:val="000000"/>
          <w:sz w:val="22"/>
          <w:szCs w:val="22"/>
        </w:rPr>
        <w:t>FACSAria</w:t>
      </w:r>
      <w:proofErr w:type="spellEnd"/>
      <w:r w:rsidR="00CB2EE0" w:rsidRPr="002E4EFB">
        <w:rPr>
          <w:rFonts w:ascii="Arial" w:hAnsi="Arial" w:cs="Arial"/>
          <w:bCs/>
          <w:color w:val="000000"/>
          <w:sz w:val="22"/>
          <w:szCs w:val="22"/>
        </w:rPr>
        <w:t xml:space="preserve"> Fusion high-speed cell sorter was supported with funds from </w:t>
      </w:r>
      <w:r w:rsidR="00CB2EE0" w:rsidRPr="002E4EFB">
        <w:rPr>
          <w:rStyle w:val="Strong"/>
          <w:rFonts w:ascii="Arial" w:hAnsi="Arial" w:cs="Arial"/>
          <w:b w:val="0"/>
          <w:color w:val="000000"/>
          <w:sz w:val="22"/>
          <w:szCs w:val="22"/>
        </w:rPr>
        <w:t>the National Center for Research Resources of the National Institutes of Health under Award Number 1 S10 OD016199-01A1.</w:t>
      </w:r>
      <w:r w:rsidR="00CB2EE0" w:rsidRPr="002E4EFB">
        <w:rPr>
          <w:rFonts w:ascii="Arial" w:hAnsi="Arial" w:cs="Arial"/>
          <w:bCs/>
          <w:color w:val="000000"/>
          <w:sz w:val="22"/>
          <w:szCs w:val="22"/>
        </w:rPr>
        <w:t xml:space="preserve"> The content is solely the responsibility of the authors and does not necessarily represent the official views of the National Institutes of Health. </w:t>
      </w:r>
    </w:p>
    <w:p w14:paraId="0FA19CF9" w14:textId="77777777" w:rsidR="00CB2EE0" w:rsidRPr="002E4EFB" w:rsidRDefault="00CB2EE0" w:rsidP="002E4EFB">
      <w:pPr>
        <w:spacing w:line="480" w:lineRule="auto"/>
        <w:jc w:val="both"/>
        <w:rPr>
          <w:rFonts w:ascii="Arial" w:hAnsi="Arial" w:cs="Arial"/>
          <w:bCs/>
          <w:color w:val="000000"/>
          <w:sz w:val="22"/>
          <w:szCs w:val="22"/>
        </w:rPr>
      </w:pPr>
    </w:p>
    <w:p w14:paraId="5B8F64C8" w14:textId="488D6C53" w:rsidR="002E4EFB"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Author contributions</w:t>
      </w:r>
    </w:p>
    <w:p w14:paraId="115296DA" w14:textId="66F2C450"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Conception and design:</w:t>
      </w:r>
      <w:r w:rsidRPr="002E4EFB">
        <w:rPr>
          <w:rFonts w:ascii="Arial" w:hAnsi="Arial" w:cs="Arial"/>
          <w:bCs/>
          <w:color w:val="000000"/>
          <w:sz w:val="22"/>
          <w:szCs w:val="22"/>
        </w:rPr>
        <w:t> AV, YZ, WZ</w:t>
      </w:r>
    </w:p>
    <w:p w14:paraId="2871F40D" w14:textId="494BF884"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Development of methodology:</w:t>
      </w:r>
      <w:r w:rsidRPr="002E4EFB">
        <w:rPr>
          <w:rFonts w:ascii="Arial" w:hAnsi="Arial" w:cs="Arial"/>
          <w:bCs/>
          <w:color w:val="000000"/>
          <w:sz w:val="22"/>
          <w:szCs w:val="22"/>
        </w:rPr>
        <w:t> AV NB WZ</w:t>
      </w:r>
    </w:p>
    <w:p w14:paraId="36AC5BCF" w14:textId="19F5D332"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Acquisition of data:</w:t>
      </w:r>
      <w:r w:rsidRPr="002E4EFB">
        <w:rPr>
          <w:rFonts w:ascii="Arial" w:hAnsi="Arial" w:cs="Arial"/>
          <w:bCs/>
          <w:color w:val="000000"/>
          <w:sz w:val="22"/>
          <w:szCs w:val="22"/>
        </w:rPr>
        <w:t> KN, YZ, AV</w:t>
      </w:r>
    </w:p>
    <w:p w14:paraId="0D4AD9D0" w14:textId="699CD9E6"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Analysis and interpretation of data:</w:t>
      </w:r>
      <w:r w:rsidRPr="002E4EFB">
        <w:rPr>
          <w:rFonts w:ascii="Arial" w:hAnsi="Arial" w:cs="Arial"/>
          <w:bCs/>
          <w:color w:val="000000"/>
          <w:sz w:val="22"/>
          <w:szCs w:val="22"/>
        </w:rPr>
        <w:t> NB</w:t>
      </w:r>
      <w:r>
        <w:rPr>
          <w:rFonts w:ascii="Arial" w:hAnsi="Arial" w:cs="Arial"/>
          <w:bCs/>
          <w:color w:val="000000"/>
          <w:sz w:val="22"/>
          <w:szCs w:val="22"/>
        </w:rPr>
        <w:t xml:space="preserve"> AV</w:t>
      </w:r>
      <w:r w:rsidRPr="002E4EFB">
        <w:rPr>
          <w:rFonts w:ascii="Arial" w:hAnsi="Arial" w:cs="Arial"/>
          <w:bCs/>
          <w:color w:val="000000"/>
          <w:sz w:val="22"/>
          <w:szCs w:val="22"/>
        </w:rPr>
        <w:t xml:space="preserve"> AS RWJ WZ YZ</w:t>
      </w:r>
    </w:p>
    <w:p w14:paraId="0B92AA3A" w14:textId="75FE7757"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Writing, review, and/or revision of the manuscript:</w:t>
      </w:r>
      <w:r w:rsidRPr="002E4EFB">
        <w:rPr>
          <w:rFonts w:ascii="Arial" w:hAnsi="Arial" w:cs="Arial"/>
          <w:bCs/>
          <w:color w:val="000000"/>
          <w:sz w:val="22"/>
          <w:szCs w:val="22"/>
        </w:rPr>
        <w:t> AV NB AS RWJ WZ YZ</w:t>
      </w:r>
    </w:p>
    <w:p w14:paraId="3E3530E1" w14:textId="7F5A620E"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Fonts w:ascii="Arial" w:hAnsi="Arial" w:cs="Arial"/>
          <w:bCs/>
          <w:color w:val="000000"/>
          <w:sz w:val="22"/>
          <w:szCs w:val="22"/>
        </w:rPr>
        <w:t>Supervision: YZ, WZ, RWJ</w:t>
      </w:r>
    </w:p>
    <w:p w14:paraId="2A0ABB8C" w14:textId="77777777" w:rsidR="00CB2EE0" w:rsidRPr="002E4EFB" w:rsidRDefault="00CB2EE0" w:rsidP="002E4EFB">
      <w:pPr>
        <w:spacing w:line="480" w:lineRule="auto"/>
        <w:jc w:val="both"/>
        <w:rPr>
          <w:rFonts w:ascii="Arial" w:hAnsi="Arial" w:cs="Arial"/>
          <w:bCs/>
          <w:color w:val="000000"/>
          <w:sz w:val="22"/>
          <w:szCs w:val="22"/>
        </w:rPr>
      </w:pPr>
    </w:p>
    <w:p w14:paraId="4BE4ED16"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Declaration of interests</w:t>
      </w:r>
    </w:p>
    <w:p w14:paraId="6BCDA515" w14:textId="1362AF1F" w:rsidR="00CB2EE0"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 xml:space="preserve">Dr. Russell W. Jenkins has a financial interest in </w:t>
      </w:r>
      <w:proofErr w:type="spellStart"/>
      <w:r w:rsidRPr="002E4EFB">
        <w:rPr>
          <w:rFonts w:ascii="Arial" w:hAnsi="Arial" w:cs="Arial"/>
          <w:bCs/>
          <w:color w:val="000000"/>
          <w:sz w:val="22"/>
          <w:szCs w:val="22"/>
        </w:rPr>
        <w:t>XSphera</w:t>
      </w:r>
      <w:proofErr w:type="spellEnd"/>
      <w:r w:rsidRPr="002E4EFB">
        <w:rPr>
          <w:rFonts w:ascii="Arial" w:hAnsi="Arial" w:cs="Arial"/>
          <w:bCs/>
          <w:color w:val="000000"/>
          <w:sz w:val="22"/>
          <w:szCs w:val="22"/>
        </w:rPr>
        <w:t xml:space="preserve"> Biosciences Inc., a company focused on using ex vivo profiling technology to deliver functional, precision immune-oncology solutions for patients, providers, and drug development companies. Dr. Jenkins’ interests were reviewed and are managed by Massachusetts General Hospital and Partners HealthCare in accordance with their conflict of interest policies. </w:t>
      </w:r>
    </w:p>
    <w:p w14:paraId="642C6506" w14:textId="77777777" w:rsidR="00CB2EE0" w:rsidRPr="002E4EFB" w:rsidRDefault="00CB2EE0" w:rsidP="002E4EFB">
      <w:pPr>
        <w:spacing w:line="480" w:lineRule="auto"/>
        <w:jc w:val="both"/>
        <w:rPr>
          <w:rFonts w:ascii="Arial" w:hAnsi="Arial" w:cs="Arial"/>
          <w:bCs/>
          <w:color w:val="000000"/>
          <w:sz w:val="22"/>
          <w:szCs w:val="22"/>
        </w:rPr>
      </w:pPr>
    </w:p>
    <w:p w14:paraId="34DCA781"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lastRenderedPageBreak/>
        <w:t xml:space="preserve">Data and materials availability: </w:t>
      </w:r>
    </w:p>
    <w:p w14:paraId="458140FD" w14:textId="41603B00" w:rsidR="00CB2EE0" w:rsidRDefault="00CB2EE0" w:rsidP="002E4EFB">
      <w:pPr>
        <w:spacing w:line="480" w:lineRule="auto"/>
        <w:jc w:val="both"/>
        <w:rPr>
          <w:rFonts w:ascii="Arial" w:hAnsi="Arial" w:cs="Arial"/>
          <w:bCs/>
          <w:sz w:val="22"/>
          <w:szCs w:val="22"/>
        </w:rPr>
      </w:pPr>
      <w:r w:rsidRPr="002E4EFB">
        <w:rPr>
          <w:rFonts w:ascii="Arial" w:hAnsi="Arial" w:cs="Arial"/>
          <w:bCs/>
          <w:color w:val="000000"/>
          <w:sz w:val="22"/>
          <w:szCs w:val="22"/>
        </w:rPr>
        <w:t>Quantified gene expression counts</w:t>
      </w:r>
      <w:r w:rsidR="00244E36" w:rsidRPr="002E4EFB">
        <w:rPr>
          <w:rFonts w:ascii="Arial" w:hAnsi="Arial" w:cs="Arial"/>
          <w:bCs/>
          <w:color w:val="000000"/>
          <w:sz w:val="22"/>
          <w:szCs w:val="22"/>
        </w:rPr>
        <w:t xml:space="preserve"> </w:t>
      </w:r>
      <w:r w:rsidRPr="002E4EFB">
        <w:rPr>
          <w:rFonts w:ascii="Arial" w:hAnsi="Arial" w:cs="Arial"/>
          <w:bCs/>
          <w:color w:val="000000"/>
          <w:sz w:val="22"/>
          <w:szCs w:val="22"/>
        </w:rPr>
        <w:t xml:space="preserve">and V(D)J T cell receptor sequences for single-cell RNA sequencing are available at the Gene Expression Omnibus (GEO) at </w:t>
      </w:r>
      <w:hyperlink r:id="rId9" w:history="1">
        <w:r w:rsidRPr="002E4EFB">
          <w:rPr>
            <w:rStyle w:val="Hyperlink"/>
            <w:rFonts w:ascii="Arial" w:hAnsi="Arial" w:cs="Arial"/>
            <w:bCs/>
            <w:color w:val="000000"/>
            <w:sz w:val="22"/>
            <w:szCs w:val="22"/>
          </w:rPr>
          <w:t>GSE121638</w:t>
        </w:r>
      </w:hyperlink>
      <w:r w:rsidRPr="002E4EFB">
        <w:rPr>
          <w:rFonts w:ascii="Arial" w:hAnsi="Arial" w:cs="Arial"/>
          <w:bCs/>
          <w:color w:val="000000"/>
          <w:sz w:val="22"/>
          <w:szCs w:val="22"/>
        </w:rPr>
        <w:t xml:space="preserve">. </w:t>
      </w:r>
      <w:r w:rsidR="00244E36" w:rsidRPr="002E4EFB">
        <w:rPr>
          <w:rFonts w:ascii="Arial" w:hAnsi="Arial" w:cs="Arial"/>
          <w:bCs/>
          <w:color w:val="000000"/>
          <w:sz w:val="22"/>
          <w:szCs w:val="22"/>
        </w:rPr>
        <w:t xml:space="preserve">Code for the analysis and visualizations are available at </w:t>
      </w:r>
      <w:hyperlink r:id="rId10" w:history="1">
        <w:r w:rsidR="00244E36" w:rsidRPr="002E4EFB">
          <w:rPr>
            <w:rStyle w:val="Hyperlink"/>
            <w:rFonts w:ascii="Arial" w:hAnsi="Arial" w:cs="Arial"/>
            <w:bCs/>
            <w:sz w:val="22"/>
            <w:szCs w:val="22"/>
          </w:rPr>
          <w:t>https://github.com/ncborcherding/ccRCC</w:t>
        </w:r>
      </w:hyperlink>
    </w:p>
    <w:p w14:paraId="23C43ECD" w14:textId="3AAA031C" w:rsidR="002E4EFB" w:rsidRDefault="002E4EFB" w:rsidP="002E4EFB">
      <w:pPr>
        <w:spacing w:line="480" w:lineRule="auto"/>
        <w:jc w:val="both"/>
        <w:rPr>
          <w:rFonts w:ascii="Arial" w:hAnsi="Arial" w:cs="Arial"/>
          <w:bCs/>
          <w:sz w:val="22"/>
          <w:szCs w:val="22"/>
        </w:rPr>
      </w:pPr>
    </w:p>
    <w:p w14:paraId="27460B56" w14:textId="017FFAF3" w:rsidR="002E4EFB" w:rsidRPr="002E4EFB" w:rsidRDefault="002E4EFB" w:rsidP="002E4EFB">
      <w:pPr>
        <w:spacing w:line="480" w:lineRule="auto"/>
        <w:jc w:val="both"/>
        <w:rPr>
          <w:rFonts w:ascii="Arial" w:hAnsi="Arial" w:cs="Arial"/>
          <w:b/>
          <w:sz w:val="22"/>
          <w:szCs w:val="22"/>
        </w:rPr>
      </w:pPr>
      <w:r w:rsidRPr="002E4EFB">
        <w:rPr>
          <w:rFonts w:ascii="Arial" w:hAnsi="Arial" w:cs="Arial"/>
          <w:b/>
          <w:sz w:val="22"/>
          <w:szCs w:val="22"/>
        </w:rPr>
        <w:t>References</w:t>
      </w:r>
    </w:p>
    <w:p w14:paraId="3F5173BD" w14:textId="4D07010B" w:rsidR="0070740F" w:rsidRPr="0070740F" w:rsidRDefault="002E4EFB" w:rsidP="0070740F">
      <w:pPr>
        <w:widowControl w:val="0"/>
        <w:autoSpaceDE w:val="0"/>
        <w:autoSpaceDN w:val="0"/>
        <w:adjustRightInd w:val="0"/>
        <w:spacing w:line="480" w:lineRule="auto"/>
        <w:ind w:left="640" w:hanging="640"/>
        <w:rPr>
          <w:rFonts w:ascii="Arial" w:hAnsi="Arial" w:cs="Arial"/>
          <w:noProof/>
          <w:sz w:val="22"/>
        </w:rPr>
      </w:pPr>
      <w:r>
        <w:rPr>
          <w:rFonts w:ascii="Arial" w:hAnsi="Arial" w:cs="Arial"/>
          <w:bCs/>
          <w:color w:val="000000"/>
          <w:sz w:val="22"/>
          <w:szCs w:val="22"/>
        </w:rPr>
        <w:fldChar w:fldCharType="begin" w:fldLock="1"/>
      </w:r>
      <w:r>
        <w:rPr>
          <w:rFonts w:ascii="Arial" w:hAnsi="Arial" w:cs="Arial"/>
          <w:bCs/>
          <w:color w:val="000000"/>
          <w:sz w:val="22"/>
          <w:szCs w:val="22"/>
        </w:rPr>
        <w:instrText xml:space="preserve">ADDIN Mendeley Bibliography CSL_BIBLIOGRAPHY </w:instrText>
      </w:r>
      <w:r>
        <w:rPr>
          <w:rFonts w:ascii="Arial" w:hAnsi="Arial" w:cs="Arial"/>
          <w:bCs/>
          <w:color w:val="000000"/>
          <w:sz w:val="22"/>
          <w:szCs w:val="22"/>
        </w:rPr>
        <w:fldChar w:fldCharType="separate"/>
      </w:r>
      <w:r w:rsidR="0070740F" w:rsidRPr="0070740F">
        <w:rPr>
          <w:rFonts w:ascii="Arial" w:hAnsi="Arial" w:cs="Arial"/>
          <w:noProof/>
          <w:sz w:val="22"/>
        </w:rPr>
        <w:t xml:space="preserve">1. </w:t>
      </w:r>
      <w:r w:rsidR="0070740F" w:rsidRPr="0070740F">
        <w:rPr>
          <w:rFonts w:ascii="Arial" w:hAnsi="Arial" w:cs="Arial"/>
          <w:noProof/>
          <w:sz w:val="22"/>
        </w:rPr>
        <w:tab/>
        <w:t xml:space="preserve">Saad AM, Gad MM, Al-Husseini MJ, Ruhban IA, Sonbol MB, Ho TH. Trends in Renal-Cell Carcinoma Incidence and Mortality in the United States in the Last 2 Decades: A SEER-Based Study. </w:t>
      </w:r>
      <w:r w:rsidR="0070740F" w:rsidRPr="0070740F">
        <w:rPr>
          <w:rFonts w:ascii="Arial" w:hAnsi="Arial" w:cs="Arial"/>
          <w:i/>
          <w:iCs/>
          <w:noProof/>
          <w:sz w:val="22"/>
        </w:rPr>
        <w:t>Clin Genitourin Cancer</w:t>
      </w:r>
      <w:r w:rsidR="0070740F" w:rsidRPr="0070740F">
        <w:rPr>
          <w:rFonts w:ascii="Arial" w:hAnsi="Arial" w:cs="Arial"/>
          <w:noProof/>
          <w:sz w:val="22"/>
        </w:rPr>
        <w:t xml:space="preserve"> (2019) </w:t>
      </w:r>
      <w:r w:rsidR="0070740F" w:rsidRPr="0070740F">
        <w:rPr>
          <w:rFonts w:ascii="Arial" w:hAnsi="Arial" w:cs="Arial"/>
          <w:b/>
          <w:bCs/>
          <w:noProof/>
          <w:sz w:val="22"/>
        </w:rPr>
        <w:t>17</w:t>
      </w:r>
      <w:r w:rsidR="0070740F" w:rsidRPr="0070740F">
        <w:rPr>
          <w:rFonts w:ascii="Arial" w:hAnsi="Arial" w:cs="Arial"/>
          <w:noProof/>
          <w:sz w:val="22"/>
        </w:rPr>
        <w:t>:46–75. doi:10.1016/j.clgc.2018.10.002</w:t>
      </w:r>
    </w:p>
    <w:p w14:paraId="32D1F320"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 </w:t>
      </w:r>
      <w:r w:rsidRPr="0070740F">
        <w:rPr>
          <w:rFonts w:ascii="Arial" w:hAnsi="Arial" w:cs="Arial"/>
          <w:noProof/>
          <w:sz w:val="22"/>
        </w:rPr>
        <w:tab/>
        <w:t xml:space="preserve">Koneru R, Hotte SJ. Role of cytokine therapy for renal cell carcinoma in the era of targeted agents. </w:t>
      </w:r>
      <w:r w:rsidRPr="0070740F">
        <w:rPr>
          <w:rFonts w:ascii="Arial" w:hAnsi="Arial" w:cs="Arial"/>
          <w:i/>
          <w:iCs/>
          <w:noProof/>
          <w:sz w:val="22"/>
        </w:rPr>
        <w:t>Curr Oncol</w:t>
      </w:r>
      <w:r w:rsidRPr="0070740F">
        <w:rPr>
          <w:rFonts w:ascii="Arial" w:hAnsi="Arial" w:cs="Arial"/>
          <w:noProof/>
          <w:sz w:val="22"/>
        </w:rPr>
        <w:t xml:space="preserve"> (2009) </w:t>
      </w:r>
      <w:r w:rsidRPr="0070740F">
        <w:rPr>
          <w:rFonts w:ascii="Arial" w:hAnsi="Arial" w:cs="Arial"/>
          <w:b/>
          <w:bCs/>
          <w:noProof/>
          <w:sz w:val="22"/>
        </w:rPr>
        <w:t>16</w:t>
      </w:r>
      <w:r w:rsidRPr="0070740F">
        <w:rPr>
          <w:rFonts w:ascii="Arial" w:hAnsi="Arial" w:cs="Arial"/>
          <w:noProof/>
          <w:sz w:val="22"/>
        </w:rPr>
        <w:t>:S40.</w:t>
      </w:r>
    </w:p>
    <w:p w14:paraId="3B68E7D2"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 </w:t>
      </w:r>
      <w:r w:rsidRPr="0070740F">
        <w:rPr>
          <w:rFonts w:ascii="Arial" w:hAnsi="Arial" w:cs="Arial"/>
          <w:noProof/>
          <w:sz w:val="22"/>
        </w:rPr>
        <w:tab/>
        <w:t xml:space="preserve">Motzer RJ, Penkov K, Haanen J, Rini B, Albiges L, Campbell MT, Venugopal B, Kollmannsberger C, Negrier S, Uemura M, et al. Avelumab plus axitinib versus sunitinib for advanced renal-cell carcinoma. </w:t>
      </w:r>
      <w:r w:rsidRPr="0070740F">
        <w:rPr>
          <w:rFonts w:ascii="Arial" w:hAnsi="Arial" w:cs="Arial"/>
          <w:i/>
          <w:iCs/>
          <w:noProof/>
          <w:sz w:val="22"/>
        </w:rPr>
        <w:t>N Engl J Med</w:t>
      </w:r>
      <w:r w:rsidRPr="0070740F">
        <w:rPr>
          <w:rFonts w:ascii="Arial" w:hAnsi="Arial" w:cs="Arial"/>
          <w:noProof/>
          <w:sz w:val="22"/>
        </w:rPr>
        <w:t xml:space="preserve"> (2019) </w:t>
      </w:r>
      <w:r w:rsidRPr="0070740F">
        <w:rPr>
          <w:rFonts w:ascii="Arial" w:hAnsi="Arial" w:cs="Arial"/>
          <w:b/>
          <w:bCs/>
          <w:noProof/>
          <w:sz w:val="22"/>
        </w:rPr>
        <w:t>380</w:t>
      </w:r>
      <w:r w:rsidRPr="0070740F">
        <w:rPr>
          <w:rFonts w:ascii="Arial" w:hAnsi="Arial" w:cs="Arial"/>
          <w:noProof/>
          <w:sz w:val="22"/>
        </w:rPr>
        <w:t>:1103–1115. doi:10.1056/NEJMoa1816047</w:t>
      </w:r>
    </w:p>
    <w:p w14:paraId="42922AEC"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4. </w:t>
      </w:r>
      <w:r w:rsidRPr="0070740F">
        <w:rPr>
          <w:rFonts w:ascii="Arial" w:hAnsi="Arial" w:cs="Arial"/>
          <w:noProof/>
          <w:sz w:val="22"/>
        </w:rPr>
        <w:tab/>
        <w:t xml:space="preserve">Dudani S, Graham J, Wells C, Pal SK, Dizman N, Donskov F, Bjarnason GA, Hansen AR, Iafolla MAJ, Vaishampayan UN. First-line (1L) immuno-oncology (IO) combination therapies in metastatic renal cell carcinoma (mRCC): Preliminary results from the International Metastatic Renal Cell Carcinoma Database Consortium (IMDC). </w:t>
      </w:r>
      <w:r w:rsidRPr="0070740F">
        <w:rPr>
          <w:rFonts w:ascii="Arial" w:hAnsi="Arial" w:cs="Arial"/>
          <w:i/>
          <w:iCs/>
          <w:noProof/>
          <w:sz w:val="22"/>
        </w:rPr>
        <w:t>J Clin Oncol</w:t>
      </w:r>
      <w:r w:rsidRPr="0070740F">
        <w:rPr>
          <w:rFonts w:ascii="Arial" w:hAnsi="Arial" w:cs="Arial"/>
          <w:noProof/>
          <w:sz w:val="22"/>
        </w:rPr>
        <w:t xml:space="preserve"> (2019) </w:t>
      </w:r>
      <w:r w:rsidRPr="0070740F">
        <w:rPr>
          <w:rFonts w:ascii="Arial" w:hAnsi="Arial" w:cs="Arial"/>
          <w:b/>
          <w:bCs/>
          <w:noProof/>
          <w:sz w:val="22"/>
        </w:rPr>
        <w:t>37</w:t>
      </w:r>
      <w:r w:rsidRPr="0070740F">
        <w:rPr>
          <w:rFonts w:ascii="Arial" w:hAnsi="Arial" w:cs="Arial"/>
          <w:noProof/>
          <w:sz w:val="22"/>
        </w:rPr>
        <w:t>:584–584.</w:t>
      </w:r>
    </w:p>
    <w:p w14:paraId="7C856C15"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5. </w:t>
      </w:r>
      <w:r w:rsidRPr="0070740F">
        <w:rPr>
          <w:rFonts w:ascii="Arial" w:hAnsi="Arial" w:cs="Arial"/>
          <w:noProof/>
          <w:sz w:val="22"/>
        </w:rPr>
        <w:tab/>
        <w:t xml:space="preserve">Sharma P, Allison JP. Immune checkpoint targeting in cancer therapy: Toward combination strategies with curative potential. </w:t>
      </w:r>
      <w:r w:rsidRPr="0070740F">
        <w:rPr>
          <w:rFonts w:ascii="Arial" w:hAnsi="Arial" w:cs="Arial"/>
          <w:i/>
          <w:iCs/>
          <w:noProof/>
          <w:sz w:val="22"/>
        </w:rPr>
        <w:t>Cell</w:t>
      </w:r>
      <w:r w:rsidRPr="0070740F">
        <w:rPr>
          <w:rFonts w:ascii="Arial" w:hAnsi="Arial" w:cs="Arial"/>
          <w:noProof/>
          <w:sz w:val="22"/>
        </w:rPr>
        <w:t xml:space="preserve"> (2015) doi:10.1016/j.cell.2015.03.030</w:t>
      </w:r>
    </w:p>
    <w:p w14:paraId="2590655B"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6. </w:t>
      </w:r>
      <w:r w:rsidRPr="0070740F">
        <w:rPr>
          <w:rFonts w:ascii="Arial" w:hAnsi="Arial" w:cs="Arial"/>
          <w:noProof/>
          <w:sz w:val="22"/>
        </w:rPr>
        <w:tab/>
        <w:t xml:space="preserve">Giraldo NA, Becht E, Pagès F, Skliris G, Verkarre V, Vano Y, Mejean A, Saint-Aubert N, Lacroix L, Natario I, et al. Orchestration and prognostic significance of immune checkpoints in the microenvironment of primary and metastatic renal cell cancer. </w:t>
      </w:r>
      <w:r w:rsidRPr="0070740F">
        <w:rPr>
          <w:rFonts w:ascii="Arial" w:hAnsi="Arial" w:cs="Arial"/>
          <w:i/>
          <w:iCs/>
          <w:noProof/>
          <w:sz w:val="22"/>
        </w:rPr>
        <w:t>Clin Cancer Res</w:t>
      </w:r>
      <w:r w:rsidRPr="0070740F">
        <w:rPr>
          <w:rFonts w:ascii="Arial" w:hAnsi="Arial" w:cs="Arial"/>
          <w:noProof/>
          <w:sz w:val="22"/>
        </w:rPr>
        <w:t xml:space="preserve"> (2015) doi:10.1158/1078-0432.CCR-14-2926</w:t>
      </w:r>
    </w:p>
    <w:p w14:paraId="2F8D1420"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lastRenderedPageBreak/>
        <w:t xml:space="preserve">7. </w:t>
      </w:r>
      <w:r w:rsidRPr="0070740F">
        <w:rPr>
          <w:rFonts w:ascii="Arial" w:hAnsi="Arial" w:cs="Arial"/>
          <w:noProof/>
          <w:sz w:val="22"/>
        </w:rPr>
        <w:tab/>
        <w:t xml:space="preserve">Tumeh PC, Harview CL, Yearley JH, Shintaku IP, Taylor EJM, Robert L, Chmielowski B, Spasic M, Henry G, Ciobanu V, et al. PD-1 blockade induces responses by inhibiting adaptive immune resistance. </w:t>
      </w:r>
      <w:r w:rsidRPr="0070740F">
        <w:rPr>
          <w:rFonts w:ascii="Arial" w:hAnsi="Arial" w:cs="Arial"/>
          <w:i/>
          <w:iCs/>
          <w:noProof/>
          <w:sz w:val="22"/>
        </w:rPr>
        <w:t>Nature</w:t>
      </w:r>
      <w:r w:rsidRPr="0070740F">
        <w:rPr>
          <w:rFonts w:ascii="Arial" w:hAnsi="Arial" w:cs="Arial"/>
          <w:noProof/>
          <w:sz w:val="22"/>
        </w:rPr>
        <w:t xml:space="preserve"> (2014) doi:10.1038/nature13954</w:t>
      </w:r>
    </w:p>
    <w:p w14:paraId="5249CEB7"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8. </w:t>
      </w:r>
      <w:r w:rsidRPr="0070740F">
        <w:rPr>
          <w:rFonts w:ascii="Arial" w:hAnsi="Arial" w:cs="Arial"/>
          <w:noProof/>
          <w:sz w:val="22"/>
        </w:rPr>
        <w:tab/>
        <w:t xml:space="preserve">Galon J, Fox BA, Bifulco CB, Masucci G, Rau T, Botti G, Marincola FM, Ciliberto G, Pages F, Ascierto PA, et al. Immunoscore and Immunoprofiling in cancer: An update from the melanoma and immunotherapy bridge 2015. </w:t>
      </w:r>
      <w:r w:rsidRPr="0070740F">
        <w:rPr>
          <w:rFonts w:ascii="Arial" w:hAnsi="Arial" w:cs="Arial"/>
          <w:i/>
          <w:iCs/>
          <w:noProof/>
          <w:sz w:val="22"/>
        </w:rPr>
        <w:t>J Transl Med</w:t>
      </w:r>
      <w:r w:rsidRPr="0070740F">
        <w:rPr>
          <w:rFonts w:ascii="Arial" w:hAnsi="Arial" w:cs="Arial"/>
          <w:noProof/>
          <w:sz w:val="22"/>
        </w:rPr>
        <w:t xml:space="preserve"> (2016) doi:10.1186/s12967-016-1029-z</w:t>
      </w:r>
    </w:p>
    <w:p w14:paraId="748C1A12"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9. </w:t>
      </w:r>
      <w:r w:rsidRPr="0070740F">
        <w:rPr>
          <w:rFonts w:ascii="Arial" w:hAnsi="Arial" w:cs="Arial"/>
          <w:noProof/>
          <w:sz w:val="22"/>
        </w:rPr>
        <w:tab/>
        <w:t xml:space="preserve">Ziai J, Gilbert HN, Foreman O, Eastham-Anderson J, Chu F, Huseni M, Kim JM. CD8+ T cell infiltration in breast and colon cancer: A histologic and statistical analysis. </w:t>
      </w:r>
      <w:r w:rsidRPr="0070740F">
        <w:rPr>
          <w:rFonts w:ascii="Arial" w:hAnsi="Arial" w:cs="Arial"/>
          <w:i/>
          <w:iCs/>
          <w:noProof/>
          <w:sz w:val="22"/>
        </w:rPr>
        <w:t>PLoS One</w:t>
      </w:r>
      <w:r w:rsidRPr="0070740F">
        <w:rPr>
          <w:rFonts w:ascii="Arial" w:hAnsi="Arial" w:cs="Arial"/>
          <w:noProof/>
          <w:sz w:val="22"/>
        </w:rPr>
        <w:t xml:space="preserve"> (2018) doi:10.1371/journal.pone.0190158</w:t>
      </w:r>
    </w:p>
    <w:p w14:paraId="3DD10B57"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10. </w:t>
      </w:r>
      <w:r w:rsidRPr="0070740F">
        <w:rPr>
          <w:rFonts w:ascii="Arial" w:hAnsi="Arial" w:cs="Arial"/>
          <w:noProof/>
          <w:sz w:val="22"/>
        </w:rPr>
        <w:tab/>
        <w:t xml:space="preserve">Shimizu S, Hiratsuka H, Koike K, Tsuchihashi K, Sonoda T, Ogi K, Miyakawa A, Kobayashi J, Kaneko T, Igarashi T, et al. Tumor-infiltrating CD8+ T-cell density is an independent prognostic marker for oral squamous cell carcinoma. </w:t>
      </w:r>
      <w:r w:rsidRPr="0070740F">
        <w:rPr>
          <w:rFonts w:ascii="Arial" w:hAnsi="Arial" w:cs="Arial"/>
          <w:i/>
          <w:iCs/>
          <w:noProof/>
          <w:sz w:val="22"/>
        </w:rPr>
        <w:t>Cancer Med</w:t>
      </w:r>
      <w:r w:rsidRPr="0070740F">
        <w:rPr>
          <w:rFonts w:ascii="Arial" w:hAnsi="Arial" w:cs="Arial"/>
          <w:noProof/>
          <w:sz w:val="22"/>
        </w:rPr>
        <w:t xml:space="preserve"> (2019) doi:10.1002/cam4.1889</w:t>
      </w:r>
    </w:p>
    <w:p w14:paraId="17ACEA8A"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11. </w:t>
      </w:r>
      <w:r w:rsidRPr="0070740F">
        <w:rPr>
          <w:rFonts w:ascii="Arial" w:hAnsi="Arial" w:cs="Arial"/>
          <w:noProof/>
          <w:sz w:val="22"/>
        </w:rPr>
        <w:tab/>
        <w:t xml:space="preserve">Patel HD, Puligandla M, Shuch BM, Leibovich BC, Kapoor A, Master VA, Drake CG, Heng DYC, Lara PN, Choueiri TK, et al. The future of perioperative therapy in advanced renal cell carcinoma: How can we PROSPER? </w:t>
      </w:r>
      <w:r w:rsidRPr="0070740F">
        <w:rPr>
          <w:rFonts w:ascii="Arial" w:hAnsi="Arial" w:cs="Arial"/>
          <w:i/>
          <w:iCs/>
          <w:noProof/>
          <w:sz w:val="22"/>
        </w:rPr>
        <w:t>Futur Oncol</w:t>
      </w:r>
      <w:r w:rsidRPr="0070740F">
        <w:rPr>
          <w:rFonts w:ascii="Arial" w:hAnsi="Arial" w:cs="Arial"/>
          <w:noProof/>
          <w:sz w:val="22"/>
        </w:rPr>
        <w:t xml:space="preserve"> (2019) doi:10.2217/fon-2018-0951</w:t>
      </w:r>
    </w:p>
    <w:p w14:paraId="5FAE731E"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12. </w:t>
      </w:r>
      <w:r w:rsidRPr="0070740F">
        <w:rPr>
          <w:rFonts w:ascii="Arial" w:hAnsi="Arial" w:cs="Arial"/>
          <w:noProof/>
          <w:sz w:val="22"/>
        </w:rPr>
        <w:tab/>
        <w:t xml:space="preserve">Nakano O, Naito Y, Nagura H, Ohtani H, Nakano O, Sato M, Suzuki K, Orikasa S, Aizawa M, Suzuki Y, et al. Proliferative activity of intratumoral CD8+ T-lymphocytes as a prognostic factor in human renal cell carcinoma: Clinicopathologic demonstration of antitumor immunity. </w:t>
      </w:r>
      <w:r w:rsidRPr="0070740F">
        <w:rPr>
          <w:rFonts w:ascii="Arial" w:hAnsi="Arial" w:cs="Arial"/>
          <w:i/>
          <w:iCs/>
          <w:noProof/>
          <w:sz w:val="22"/>
        </w:rPr>
        <w:t>Cancer Res</w:t>
      </w:r>
      <w:r w:rsidRPr="0070740F">
        <w:rPr>
          <w:rFonts w:ascii="Arial" w:hAnsi="Arial" w:cs="Arial"/>
          <w:noProof/>
          <w:sz w:val="22"/>
        </w:rPr>
        <w:t xml:space="preserve"> (2001)</w:t>
      </w:r>
    </w:p>
    <w:p w14:paraId="42832E93"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13. </w:t>
      </w:r>
      <w:r w:rsidRPr="0070740F">
        <w:rPr>
          <w:rFonts w:ascii="Arial" w:hAnsi="Arial" w:cs="Arial"/>
          <w:noProof/>
          <w:sz w:val="22"/>
        </w:rPr>
        <w:tab/>
        <w:t xml:space="preserve">Baine MK, Turcu G, Zito CR, Adeniran AJ, Camp RL, Chen L, Kluger HM, Jilaveanu LB. Characterization of tumor infiltrating lymphocytes in paired primary and metastatic renal cell carcinoma specimens. </w:t>
      </w:r>
      <w:r w:rsidRPr="0070740F">
        <w:rPr>
          <w:rFonts w:ascii="Arial" w:hAnsi="Arial" w:cs="Arial"/>
          <w:i/>
          <w:iCs/>
          <w:noProof/>
          <w:sz w:val="22"/>
        </w:rPr>
        <w:t>Oncotarget</w:t>
      </w:r>
      <w:r w:rsidRPr="0070740F">
        <w:rPr>
          <w:rFonts w:ascii="Arial" w:hAnsi="Arial" w:cs="Arial"/>
          <w:noProof/>
          <w:sz w:val="22"/>
        </w:rPr>
        <w:t xml:space="preserve"> (2015) doi:10.18632/oncotarget.4572</w:t>
      </w:r>
    </w:p>
    <w:p w14:paraId="3D9E8DBA"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14. </w:t>
      </w:r>
      <w:r w:rsidRPr="0070740F">
        <w:rPr>
          <w:rFonts w:ascii="Arial" w:hAnsi="Arial" w:cs="Arial"/>
          <w:noProof/>
          <w:sz w:val="22"/>
        </w:rPr>
        <w:tab/>
        <w:t xml:space="preserve">Choueiri TK, Albiges L, Haanen JBAG, Larkin JMG, Uemura M, Pal SK, Gravis G, </w:t>
      </w:r>
      <w:r w:rsidRPr="0070740F">
        <w:rPr>
          <w:rFonts w:ascii="Arial" w:hAnsi="Arial" w:cs="Arial"/>
          <w:noProof/>
          <w:sz w:val="22"/>
        </w:rPr>
        <w:lastRenderedPageBreak/>
        <w:t xml:space="preserve">Campbell MT, Penkov K, Lee J-L, et al. Biomarker analyses from JAVELIN Renal 101: Avelumab + axitinib (A+Ax) versus sunitinib (S) in advanced renal cell carcinoma (aRCC). </w:t>
      </w:r>
      <w:r w:rsidRPr="0070740F">
        <w:rPr>
          <w:rFonts w:ascii="Arial" w:hAnsi="Arial" w:cs="Arial"/>
          <w:i/>
          <w:iCs/>
          <w:noProof/>
          <w:sz w:val="22"/>
        </w:rPr>
        <w:t>J Clin Oncol</w:t>
      </w:r>
      <w:r w:rsidRPr="0070740F">
        <w:rPr>
          <w:rFonts w:ascii="Arial" w:hAnsi="Arial" w:cs="Arial"/>
          <w:noProof/>
          <w:sz w:val="22"/>
        </w:rPr>
        <w:t xml:space="preserve"> (2019) doi:10.1200/jco.2019.37.15_suppl.101</w:t>
      </w:r>
    </w:p>
    <w:p w14:paraId="06AFE7A0"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15. </w:t>
      </w:r>
      <w:r w:rsidRPr="0070740F">
        <w:rPr>
          <w:rFonts w:ascii="Arial" w:hAnsi="Arial" w:cs="Arial"/>
          <w:noProof/>
          <w:sz w:val="22"/>
        </w:rPr>
        <w:tab/>
        <w:t xml:space="preserve">Choueiri TK, Larkin J, Oya M, Thistlethwaite F, Martignoni M, Nathan P, Powles T, McDermott D, Robbins PB, Chism DD, et al. Preliminary results for avelumab plus axitinib as first-line therapy in patients with advanced clear-cell renal-cell carcinoma (JAVELIN Renal 100): an open-label, dose-finding and dose-expansion, phase 1b trial. </w:t>
      </w:r>
      <w:r w:rsidRPr="0070740F">
        <w:rPr>
          <w:rFonts w:ascii="Arial" w:hAnsi="Arial" w:cs="Arial"/>
          <w:i/>
          <w:iCs/>
          <w:noProof/>
          <w:sz w:val="22"/>
        </w:rPr>
        <w:t>Lancet Oncol</w:t>
      </w:r>
      <w:r w:rsidRPr="0070740F">
        <w:rPr>
          <w:rFonts w:ascii="Arial" w:hAnsi="Arial" w:cs="Arial"/>
          <w:noProof/>
          <w:sz w:val="22"/>
        </w:rPr>
        <w:t xml:space="preserve"> (2018) doi:10.1016/S1470-2045(18)30107-4</w:t>
      </w:r>
    </w:p>
    <w:p w14:paraId="25558A71"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16. </w:t>
      </w:r>
      <w:r w:rsidRPr="0070740F">
        <w:rPr>
          <w:rFonts w:ascii="Arial" w:hAnsi="Arial" w:cs="Arial"/>
          <w:noProof/>
          <w:sz w:val="22"/>
        </w:rPr>
        <w:tab/>
        <w:t xml:space="preserve">Chevrier S, Levine JH, Zanotelli VRT, Silina K, Schulz D, Bacac M, Ries CH, Ailles L, Jewett MAS, Moch H, et al. An Immune Atlas of Clear Cell Renal Cell Carcinoma. </w:t>
      </w:r>
      <w:r w:rsidRPr="0070740F">
        <w:rPr>
          <w:rFonts w:ascii="Arial" w:hAnsi="Arial" w:cs="Arial"/>
          <w:i/>
          <w:iCs/>
          <w:noProof/>
          <w:sz w:val="22"/>
        </w:rPr>
        <w:t>Cell</w:t>
      </w:r>
      <w:r w:rsidRPr="0070740F">
        <w:rPr>
          <w:rFonts w:ascii="Arial" w:hAnsi="Arial" w:cs="Arial"/>
          <w:noProof/>
          <w:sz w:val="22"/>
        </w:rPr>
        <w:t xml:space="preserve"> (2017) doi:10.1016/j.cell.2017.04.016</w:t>
      </w:r>
    </w:p>
    <w:p w14:paraId="5DACD60F"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17. </w:t>
      </w:r>
      <w:r w:rsidRPr="0070740F">
        <w:rPr>
          <w:rFonts w:ascii="Arial" w:hAnsi="Arial" w:cs="Arial"/>
          <w:noProof/>
          <w:sz w:val="22"/>
        </w:rPr>
        <w:tab/>
        <w:t xml:space="preserve">Creighton CJ, Morgan M, Gunaratne PH, Wheeler DA, Gibbs RA, Robertson G, Chu A, Beroukhim R, Cibulskis K, Signoretti S, et al. Comprehensivemolecular characterization of clear cell renal cell carcinoma. </w:t>
      </w:r>
      <w:r w:rsidRPr="0070740F">
        <w:rPr>
          <w:rFonts w:ascii="Arial" w:hAnsi="Arial" w:cs="Arial"/>
          <w:i/>
          <w:iCs/>
          <w:noProof/>
          <w:sz w:val="22"/>
        </w:rPr>
        <w:t>Nature</w:t>
      </w:r>
      <w:r w:rsidRPr="0070740F">
        <w:rPr>
          <w:rFonts w:ascii="Arial" w:hAnsi="Arial" w:cs="Arial"/>
          <w:noProof/>
          <w:sz w:val="22"/>
        </w:rPr>
        <w:t xml:space="preserve"> (2013) doi:10.1038/nature12222</w:t>
      </w:r>
    </w:p>
    <w:p w14:paraId="4A9CE274"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18. </w:t>
      </w:r>
      <w:r w:rsidRPr="0070740F">
        <w:rPr>
          <w:rFonts w:ascii="Arial" w:hAnsi="Arial" w:cs="Arial"/>
          <w:noProof/>
          <w:sz w:val="22"/>
        </w:rPr>
        <w:tab/>
        <w:t xml:space="preserve">Van Den Heuvel CNAM, Van Ewijk A, Zeelen C, De Bitter T, Huynen M, Mulders P, Oosterwijk E, Leenders WPJ. Molecular profiling of druggable targets in clear cell renal cell carcinoma through targeted RNA sequencing. </w:t>
      </w:r>
      <w:r w:rsidRPr="0070740F">
        <w:rPr>
          <w:rFonts w:ascii="Arial" w:hAnsi="Arial" w:cs="Arial"/>
          <w:i/>
          <w:iCs/>
          <w:noProof/>
          <w:sz w:val="22"/>
        </w:rPr>
        <w:t>Front Oncol</w:t>
      </w:r>
      <w:r w:rsidRPr="0070740F">
        <w:rPr>
          <w:rFonts w:ascii="Arial" w:hAnsi="Arial" w:cs="Arial"/>
          <w:noProof/>
          <w:sz w:val="22"/>
        </w:rPr>
        <w:t xml:space="preserve"> (2019) doi:10.3389/fonc.2019.00117</w:t>
      </w:r>
    </w:p>
    <w:p w14:paraId="7FA85048"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19. </w:t>
      </w:r>
      <w:r w:rsidRPr="0070740F">
        <w:rPr>
          <w:rFonts w:ascii="Arial" w:hAnsi="Arial" w:cs="Arial"/>
          <w:noProof/>
          <w:sz w:val="22"/>
        </w:rPr>
        <w:tab/>
        <w:t xml:space="preserve">Savas P, Virassamy B, Ye C, Salim A, Mintoff CP, Caramia F, Salgado R, Byrne DJ, Teo ZL, Dushyanthen S, et al. Single-cell profiling of breast cancer T cells reveals a tissue-resident memory subset associated with improved prognosis. </w:t>
      </w:r>
      <w:r w:rsidRPr="0070740F">
        <w:rPr>
          <w:rFonts w:ascii="Arial" w:hAnsi="Arial" w:cs="Arial"/>
          <w:i/>
          <w:iCs/>
          <w:noProof/>
          <w:sz w:val="22"/>
        </w:rPr>
        <w:t>Nat Med</w:t>
      </w:r>
      <w:r w:rsidRPr="0070740F">
        <w:rPr>
          <w:rFonts w:ascii="Arial" w:hAnsi="Arial" w:cs="Arial"/>
          <w:noProof/>
          <w:sz w:val="22"/>
        </w:rPr>
        <w:t xml:space="preserve"> (2018) doi:10.1038/s41591-018-0078-7</w:t>
      </w:r>
    </w:p>
    <w:p w14:paraId="771CD9AE"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20. </w:t>
      </w:r>
      <w:r w:rsidRPr="0070740F">
        <w:rPr>
          <w:rFonts w:ascii="Arial" w:hAnsi="Arial" w:cs="Arial"/>
          <w:noProof/>
          <w:sz w:val="22"/>
        </w:rPr>
        <w:tab/>
        <w:t xml:space="preserve">Sade-Feldman M, Yizhak K, Bjorgaard SL, Ray JP, de Boer CG, Jenkins RW, Lieb DJ, Chen JH, Frederick DT, Barzily-Rokni M, et al. Defining T Cell States Associated with Response to Checkpoint Immunotherapy in Melanoma. </w:t>
      </w:r>
      <w:r w:rsidRPr="0070740F">
        <w:rPr>
          <w:rFonts w:ascii="Arial" w:hAnsi="Arial" w:cs="Arial"/>
          <w:i/>
          <w:iCs/>
          <w:noProof/>
          <w:sz w:val="22"/>
        </w:rPr>
        <w:t>Cell</w:t>
      </w:r>
      <w:r w:rsidRPr="0070740F">
        <w:rPr>
          <w:rFonts w:ascii="Arial" w:hAnsi="Arial" w:cs="Arial"/>
          <w:noProof/>
          <w:sz w:val="22"/>
        </w:rPr>
        <w:t xml:space="preserve"> (2018) doi:10.1016/j.cell.2018.10.038</w:t>
      </w:r>
    </w:p>
    <w:p w14:paraId="28D7EE69"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lastRenderedPageBreak/>
        <w:t xml:space="preserve">21. </w:t>
      </w:r>
      <w:r w:rsidRPr="0070740F">
        <w:rPr>
          <w:rFonts w:ascii="Arial" w:hAnsi="Arial" w:cs="Arial"/>
          <w:noProof/>
          <w:sz w:val="22"/>
        </w:rPr>
        <w:tab/>
        <w:t xml:space="preserve">Geissler K, Fornara P, Lautenschläger C, Holzhausen HJ, Seliger B, Riemann D. Immune signature of tumor infiltrating immune cells in renal cancer. </w:t>
      </w:r>
      <w:r w:rsidRPr="0070740F">
        <w:rPr>
          <w:rFonts w:ascii="Arial" w:hAnsi="Arial" w:cs="Arial"/>
          <w:i/>
          <w:iCs/>
          <w:noProof/>
          <w:sz w:val="22"/>
        </w:rPr>
        <w:t>Oncoimmunology</w:t>
      </w:r>
      <w:r w:rsidRPr="0070740F">
        <w:rPr>
          <w:rFonts w:ascii="Arial" w:hAnsi="Arial" w:cs="Arial"/>
          <w:noProof/>
          <w:sz w:val="22"/>
        </w:rPr>
        <w:t xml:space="preserve"> (2015) doi:10.4161/2162402X.2014.985082</w:t>
      </w:r>
    </w:p>
    <w:p w14:paraId="7EE1F1E8"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22. </w:t>
      </w:r>
      <w:r w:rsidRPr="0070740F">
        <w:rPr>
          <w:rFonts w:ascii="Arial" w:hAnsi="Arial" w:cs="Arial"/>
          <w:noProof/>
          <w:sz w:val="22"/>
        </w:rPr>
        <w:tab/>
        <w:t xml:space="preserve">Chung W, Eum HH, Lee HO, Lee KM, Lee HB, Kim KT, Ryu HS, Kim S, Lee JE, Park YH, et al. Single-cell RNA-seq enables comprehensive tumour and immune cell profiling in primary breast cancer. </w:t>
      </w:r>
      <w:r w:rsidRPr="0070740F">
        <w:rPr>
          <w:rFonts w:ascii="Arial" w:hAnsi="Arial" w:cs="Arial"/>
          <w:i/>
          <w:iCs/>
          <w:noProof/>
          <w:sz w:val="22"/>
        </w:rPr>
        <w:t>Nat Commun</w:t>
      </w:r>
      <w:r w:rsidRPr="0070740F">
        <w:rPr>
          <w:rFonts w:ascii="Arial" w:hAnsi="Arial" w:cs="Arial"/>
          <w:noProof/>
          <w:sz w:val="22"/>
        </w:rPr>
        <w:t xml:space="preserve"> (2017) doi:10.1038/ncomms15081</w:t>
      </w:r>
    </w:p>
    <w:p w14:paraId="3D0A413A"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23. </w:t>
      </w:r>
      <w:r w:rsidRPr="0070740F">
        <w:rPr>
          <w:rFonts w:ascii="Arial" w:hAnsi="Arial" w:cs="Arial"/>
          <w:noProof/>
          <w:sz w:val="22"/>
        </w:rPr>
        <w:tab/>
        <w:t xml:space="preserve">Azizi E, Carr AJ, Plitas G, Cornish AE, Konopacki C, Prabhakaran S, Nainys J, Wu K, Kiseliovas V, Setty M, et al. Single-Cell Map of Diverse Immune Phenotypes in the Breast Tumor Microenvironment. </w:t>
      </w:r>
      <w:r w:rsidRPr="0070740F">
        <w:rPr>
          <w:rFonts w:ascii="Arial" w:hAnsi="Arial" w:cs="Arial"/>
          <w:i/>
          <w:iCs/>
          <w:noProof/>
          <w:sz w:val="22"/>
        </w:rPr>
        <w:t>Cell</w:t>
      </w:r>
      <w:r w:rsidRPr="0070740F">
        <w:rPr>
          <w:rFonts w:ascii="Arial" w:hAnsi="Arial" w:cs="Arial"/>
          <w:noProof/>
          <w:sz w:val="22"/>
        </w:rPr>
        <w:t xml:space="preserve"> (2018) doi:10.1016/j.cell.2018.05.060</w:t>
      </w:r>
    </w:p>
    <w:p w14:paraId="4D750FEF"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24. </w:t>
      </w:r>
      <w:r w:rsidRPr="0070740F">
        <w:rPr>
          <w:rFonts w:ascii="Arial" w:hAnsi="Arial" w:cs="Arial"/>
          <w:noProof/>
          <w:sz w:val="22"/>
        </w:rPr>
        <w:tab/>
        <w:t xml:space="preserve">Guo X, Zhang Y, Zheng L, Zheng C, Song J, Zhang Q, Kang B, Liu Z, Jin L, Xing R, et al. Global characterization of T cells in non-small-cell lung cancer by single-cell sequencing. </w:t>
      </w:r>
      <w:r w:rsidRPr="0070740F">
        <w:rPr>
          <w:rFonts w:ascii="Arial" w:hAnsi="Arial" w:cs="Arial"/>
          <w:i/>
          <w:iCs/>
          <w:noProof/>
          <w:sz w:val="22"/>
        </w:rPr>
        <w:t>Nat Med</w:t>
      </w:r>
      <w:r w:rsidRPr="0070740F">
        <w:rPr>
          <w:rFonts w:ascii="Arial" w:hAnsi="Arial" w:cs="Arial"/>
          <w:noProof/>
          <w:sz w:val="22"/>
        </w:rPr>
        <w:t xml:space="preserve"> (2018) doi:10.1038/s41591-018-0045-3</w:t>
      </w:r>
    </w:p>
    <w:p w14:paraId="1EF110B4"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25. </w:t>
      </w:r>
      <w:r w:rsidRPr="0070740F">
        <w:rPr>
          <w:rFonts w:ascii="Arial" w:hAnsi="Arial" w:cs="Arial"/>
          <w:noProof/>
          <w:sz w:val="22"/>
        </w:rPr>
        <w:tab/>
        <w:t xml:space="preserve">Tirosh I, Izar B, Prakadan SM, Wadsworth MH, Treacy D, Trombetta JJ, Rotem A, Rodman C, Lian C, Murphy G, et al. Dissecting the multicellular ecosystem of metastatic melanoma by single-cell RNA-seq. </w:t>
      </w:r>
      <w:r w:rsidRPr="0070740F">
        <w:rPr>
          <w:rFonts w:ascii="Arial" w:hAnsi="Arial" w:cs="Arial"/>
          <w:i/>
          <w:iCs/>
          <w:noProof/>
          <w:sz w:val="22"/>
        </w:rPr>
        <w:t>Science (80- )</w:t>
      </w:r>
      <w:r w:rsidRPr="0070740F">
        <w:rPr>
          <w:rFonts w:ascii="Arial" w:hAnsi="Arial" w:cs="Arial"/>
          <w:noProof/>
          <w:sz w:val="22"/>
        </w:rPr>
        <w:t xml:space="preserve"> (2016) doi:10.1126/science.aad0501</w:t>
      </w:r>
    </w:p>
    <w:p w14:paraId="211A8ACE"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26. </w:t>
      </w:r>
      <w:r w:rsidRPr="0070740F">
        <w:rPr>
          <w:rFonts w:ascii="Arial" w:hAnsi="Arial" w:cs="Arial"/>
          <w:noProof/>
          <w:sz w:val="22"/>
        </w:rPr>
        <w:tab/>
        <w:t xml:space="preserve">Beausang JF, Wheeler AJ, Chan NH, Hanft VR, Dirbas FM, Jeffrey SS, Quake SR. T cell receptor sequencing of early-stage breast cancer tumors identifies altered clonal structure of the T cell repertoire. </w:t>
      </w:r>
      <w:r w:rsidRPr="0070740F">
        <w:rPr>
          <w:rFonts w:ascii="Arial" w:hAnsi="Arial" w:cs="Arial"/>
          <w:i/>
          <w:iCs/>
          <w:noProof/>
          <w:sz w:val="22"/>
        </w:rPr>
        <w:t>Proc Natl Acad Sci U S A</w:t>
      </w:r>
      <w:r w:rsidRPr="0070740F">
        <w:rPr>
          <w:rFonts w:ascii="Arial" w:hAnsi="Arial" w:cs="Arial"/>
          <w:noProof/>
          <w:sz w:val="22"/>
        </w:rPr>
        <w:t xml:space="preserve"> (2017) doi:10.1073/pnas.1713863114</w:t>
      </w:r>
    </w:p>
    <w:p w14:paraId="124BCA45"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27. </w:t>
      </w:r>
      <w:r w:rsidRPr="0070740F">
        <w:rPr>
          <w:rFonts w:ascii="Arial" w:hAnsi="Arial" w:cs="Arial"/>
          <w:noProof/>
          <w:sz w:val="22"/>
        </w:rPr>
        <w:tab/>
        <w:t xml:space="preserve">Zheng C, Zheng L, Yoo JK, Guo H, Zhang Y, Guo X, Kang B, Hu R, Huang JY, Zhang Q, et al. Landscape of Infiltrating T Cells in Liver Cancer Revealed by Single-Cell Sequencing. </w:t>
      </w:r>
      <w:r w:rsidRPr="0070740F">
        <w:rPr>
          <w:rFonts w:ascii="Arial" w:hAnsi="Arial" w:cs="Arial"/>
          <w:i/>
          <w:iCs/>
          <w:noProof/>
          <w:sz w:val="22"/>
        </w:rPr>
        <w:t>Cell</w:t>
      </w:r>
      <w:r w:rsidRPr="0070740F">
        <w:rPr>
          <w:rFonts w:ascii="Arial" w:hAnsi="Arial" w:cs="Arial"/>
          <w:noProof/>
          <w:sz w:val="22"/>
        </w:rPr>
        <w:t xml:space="preserve"> (2017) doi:10.1016/j.cell.2017.05.035</w:t>
      </w:r>
    </w:p>
    <w:p w14:paraId="009B6CD9"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28. </w:t>
      </w:r>
      <w:r w:rsidRPr="0070740F">
        <w:rPr>
          <w:rFonts w:ascii="Arial" w:hAnsi="Arial" w:cs="Arial"/>
          <w:noProof/>
          <w:sz w:val="22"/>
        </w:rPr>
        <w:tab/>
        <w:t xml:space="preserve">Baldan V, Griffiths R, Hawkins RE, Gilham DE. Efficient and reproducible generation of tumour-infiltrating lymphocytes for renal cell carcinoma. </w:t>
      </w:r>
      <w:r w:rsidRPr="0070740F">
        <w:rPr>
          <w:rFonts w:ascii="Arial" w:hAnsi="Arial" w:cs="Arial"/>
          <w:i/>
          <w:iCs/>
          <w:noProof/>
          <w:sz w:val="22"/>
        </w:rPr>
        <w:t>Br J Cancer</w:t>
      </w:r>
      <w:r w:rsidRPr="0070740F">
        <w:rPr>
          <w:rFonts w:ascii="Arial" w:hAnsi="Arial" w:cs="Arial"/>
          <w:noProof/>
          <w:sz w:val="22"/>
        </w:rPr>
        <w:t xml:space="preserve"> (2015) doi:10.1038/bjc.2015.96</w:t>
      </w:r>
    </w:p>
    <w:p w14:paraId="65AB61A6"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29. </w:t>
      </w:r>
      <w:r w:rsidRPr="0070740F">
        <w:rPr>
          <w:rFonts w:ascii="Arial" w:hAnsi="Arial" w:cs="Arial"/>
          <w:noProof/>
          <w:sz w:val="22"/>
        </w:rPr>
        <w:tab/>
        <w:t xml:space="preserve">Young MD, Mitchell TJ, Vieira Braga FA, Tran MGB, Stewart BJ, Ferdinand JR, Collord </w:t>
      </w:r>
      <w:r w:rsidRPr="0070740F">
        <w:rPr>
          <w:rFonts w:ascii="Arial" w:hAnsi="Arial" w:cs="Arial"/>
          <w:noProof/>
          <w:sz w:val="22"/>
        </w:rPr>
        <w:lastRenderedPageBreak/>
        <w:t xml:space="preserve">G, Botting RA, Popescu DM, Loudon KW, et al. Single-cell transcriptomes from human kidneys reveal the cellular identity of renal tumors. </w:t>
      </w:r>
      <w:r w:rsidRPr="0070740F">
        <w:rPr>
          <w:rFonts w:ascii="Arial" w:hAnsi="Arial" w:cs="Arial"/>
          <w:i/>
          <w:iCs/>
          <w:noProof/>
          <w:sz w:val="22"/>
        </w:rPr>
        <w:t>Science (80- )</w:t>
      </w:r>
      <w:r w:rsidRPr="0070740F">
        <w:rPr>
          <w:rFonts w:ascii="Arial" w:hAnsi="Arial" w:cs="Arial"/>
          <w:noProof/>
          <w:sz w:val="22"/>
        </w:rPr>
        <w:t xml:space="preserve"> (2018) doi:10.1126/science.aat1699</w:t>
      </w:r>
    </w:p>
    <w:p w14:paraId="7ACE0C92"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30. </w:t>
      </w:r>
      <w:r w:rsidRPr="0070740F">
        <w:rPr>
          <w:rFonts w:ascii="Arial" w:hAnsi="Arial" w:cs="Arial"/>
          <w:noProof/>
          <w:sz w:val="22"/>
        </w:rPr>
        <w:tab/>
        <w:t xml:space="preserve">Stuart T, Butler A, Hoffman P, Hafemeister C, Papalexi E, Mauck WM, Hao Y, Stoeckius M, Smibert P, Satija R. Comprehensive Integration of Single-Cell Data. </w:t>
      </w:r>
      <w:r w:rsidRPr="0070740F">
        <w:rPr>
          <w:rFonts w:ascii="Arial" w:hAnsi="Arial" w:cs="Arial"/>
          <w:i/>
          <w:iCs/>
          <w:noProof/>
          <w:sz w:val="22"/>
        </w:rPr>
        <w:t>Cell</w:t>
      </w:r>
      <w:r w:rsidRPr="0070740F">
        <w:rPr>
          <w:rFonts w:ascii="Arial" w:hAnsi="Arial" w:cs="Arial"/>
          <w:noProof/>
          <w:sz w:val="22"/>
        </w:rPr>
        <w:t xml:space="preserve"> (2019) doi:10.1016/j.cell.2019.05.031</w:t>
      </w:r>
    </w:p>
    <w:p w14:paraId="4DC53E97"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31. </w:t>
      </w:r>
      <w:r w:rsidRPr="0070740F">
        <w:rPr>
          <w:rFonts w:ascii="Arial" w:hAnsi="Arial" w:cs="Arial"/>
          <w:noProof/>
          <w:sz w:val="22"/>
        </w:rPr>
        <w:tab/>
        <w:t xml:space="preserve">Butler A, Hoffman P, Smibert P, Papalexi E, Satija R. Integrating single-cell transcriptomic data across different conditions, technologies, and species. </w:t>
      </w:r>
      <w:r w:rsidRPr="0070740F">
        <w:rPr>
          <w:rFonts w:ascii="Arial" w:hAnsi="Arial" w:cs="Arial"/>
          <w:i/>
          <w:iCs/>
          <w:noProof/>
          <w:sz w:val="22"/>
        </w:rPr>
        <w:t>Nat Biotechnol</w:t>
      </w:r>
      <w:r w:rsidRPr="0070740F">
        <w:rPr>
          <w:rFonts w:ascii="Arial" w:hAnsi="Arial" w:cs="Arial"/>
          <w:noProof/>
          <w:sz w:val="22"/>
        </w:rPr>
        <w:t xml:space="preserve"> (2018) doi:10.1038/nbt.4096</w:t>
      </w:r>
    </w:p>
    <w:p w14:paraId="22FF02F2"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32. </w:t>
      </w:r>
      <w:r w:rsidRPr="0070740F">
        <w:rPr>
          <w:rFonts w:ascii="Arial" w:hAnsi="Arial" w:cs="Arial"/>
          <w:noProof/>
          <w:sz w:val="22"/>
        </w:rPr>
        <w:tab/>
        <w:t xml:space="preserve">Hafemeister C, Satija R. Normalization and variance stabilization of single-cell RNA-seq data using regularized negative binomial regression. </w:t>
      </w:r>
      <w:r w:rsidRPr="0070740F">
        <w:rPr>
          <w:rFonts w:ascii="Arial" w:hAnsi="Arial" w:cs="Arial"/>
          <w:i/>
          <w:iCs/>
          <w:noProof/>
          <w:sz w:val="22"/>
        </w:rPr>
        <w:t>Genome Biol</w:t>
      </w:r>
      <w:r w:rsidRPr="0070740F">
        <w:rPr>
          <w:rFonts w:ascii="Arial" w:hAnsi="Arial" w:cs="Arial"/>
          <w:noProof/>
          <w:sz w:val="22"/>
        </w:rPr>
        <w:t xml:space="preserve"> (2019) doi:10.1186/s13059-019-1874-1</w:t>
      </w:r>
    </w:p>
    <w:p w14:paraId="2C20BA75"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33. </w:t>
      </w:r>
      <w:r w:rsidRPr="0070740F">
        <w:rPr>
          <w:rFonts w:ascii="Arial" w:hAnsi="Arial" w:cs="Arial"/>
          <w:noProof/>
          <w:sz w:val="22"/>
        </w:rPr>
        <w:tab/>
        <w:t xml:space="preserve">Nestorowa S, Hamey FK, Pijuan Sala B, Diamanti E, Shepherd M, Laurenti E, Wilson NK, Kent DG, Göttgens B. A single-cell resolution map of mouse hematopoietic stem and progenitor cell differentiation. </w:t>
      </w:r>
      <w:r w:rsidRPr="0070740F">
        <w:rPr>
          <w:rFonts w:ascii="Arial" w:hAnsi="Arial" w:cs="Arial"/>
          <w:i/>
          <w:iCs/>
          <w:noProof/>
          <w:sz w:val="22"/>
        </w:rPr>
        <w:t>Blood</w:t>
      </w:r>
      <w:r w:rsidRPr="0070740F">
        <w:rPr>
          <w:rFonts w:ascii="Arial" w:hAnsi="Arial" w:cs="Arial"/>
          <w:noProof/>
          <w:sz w:val="22"/>
        </w:rPr>
        <w:t xml:space="preserve"> (2016) doi:10.1182/blood-2016-05-716480</w:t>
      </w:r>
    </w:p>
    <w:p w14:paraId="7E9DEB59"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34. </w:t>
      </w:r>
      <w:r w:rsidRPr="0070740F">
        <w:rPr>
          <w:rFonts w:ascii="Arial" w:hAnsi="Arial" w:cs="Arial"/>
          <w:noProof/>
          <w:sz w:val="22"/>
        </w:rPr>
        <w:tab/>
        <w:t xml:space="preserve">Aran D, Looney AP, Liu L, Wu E, Fong V, Hsu A, Chak S, Naikawadi RP, Wolters PJ, Abate AR, et al. Reference-based analysis of lung single-cell sequencing reveals a transitional profibrotic macrophage. </w:t>
      </w:r>
      <w:r w:rsidRPr="0070740F">
        <w:rPr>
          <w:rFonts w:ascii="Arial" w:hAnsi="Arial" w:cs="Arial"/>
          <w:i/>
          <w:iCs/>
          <w:noProof/>
          <w:sz w:val="22"/>
        </w:rPr>
        <w:t>Nat Immunol</w:t>
      </w:r>
      <w:r w:rsidRPr="0070740F">
        <w:rPr>
          <w:rFonts w:ascii="Arial" w:hAnsi="Arial" w:cs="Arial"/>
          <w:noProof/>
          <w:sz w:val="22"/>
        </w:rPr>
        <w:t xml:space="preserve"> (2019) doi:10.1038/s41590-018-0276-y</w:t>
      </w:r>
    </w:p>
    <w:p w14:paraId="0B5AB52A"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35. </w:t>
      </w:r>
      <w:r w:rsidRPr="0070740F">
        <w:rPr>
          <w:rFonts w:ascii="Arial" w:hAnsi="Arial" w:cs="Arial"/>
          <w:noProof/>
          <w:sz w:val="22"/>
        </w:rPr>
        <w:tab/>
        <w:t xml:space="preserve">Dunham I, Kundaje A, Aldred SF, Collins PJ, Davis CA, Doyle F, Epstein CB, Frietze S, Harrow J, Kaul R, et al. An integrated encyclopedia of DNA elements in the human genome. </w:t>
      </w:r>
      <w:r w:rsidRPr="0070740F">
        <w:rPr>
          <w:rFonts w:ascii="Arial" w:hAnsi="Arial" w:cs="Arial"/>
          <w:i/>
          <w:iCs/>
          <w:noProof/>
          <w:sz w:val="22"/>
        </w:rPr>
        <w:t>Nature</w:t>
      </w:r>
      <w:r w:rsidRPr="0070740F">
        <w:rPr>
          <w:rFonts w:ascii="Arial" w:hAnsi="Arial" w:cs="Arial"/>
          <w:noProof/>
          <w:sz w:val="22"/>
        </w:rPr>
        <w:t xml:space="preserve"> (2012) doi:10.1038/nature11247</w:t>
      </w:r>
    </w:p>
    <w:p w14:paraId="31E4BB3D"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36. </w:t>
      </w:r>
      <w:r w:rsidRPr="0070740F">
        <w:rPr>
          <w:rFonts w:ascii="Arial" w:hAnsi="Arial" w:cs="Arial"/>
          <w:noProof/>
          <w:sz w:val="22"/>
        </w:rPr>
        <w:tab/>
        <w:t xml:space="preserve">Borcherding N, Bormann NL. scRepertoire: An R-based toolkit for single-cell immune receptor analysis. </w:t>
      </w:r>
      <w:r w:rsidRPr="0070740F">
        <w:rPr>
          <w:rFonts w:ascii="Arial" w:hAnsi="Arial" w:cs="Arial"/>
          <w:i/>
          <w:iCs/>
          <w:noProof/>
          <w:sz w:val="22"/>
        </w:rPr>
        <w:t>F1000Research</w:t>
      </w:r>
      <w:r w:rsidRPr="0070740F">
        <w:rPr>
          <w:rFonts w:ascii="Arial" w:hAnsi="Arial" w:cs="Arial"/>
          <w:noProof/>
          <w:sz w:val="22"/>
        </w:rPr>
        <w:t xml:space="preserve"> (2020) doi:10.12688/f1000research.22139.1</w:t>
      </w:r>
    </w:p>
    <w:p w14:paraId="2EEFE8BB" w14:textId="77777777" w:rsidR="0070740F" w:rsidRPr="0070740F" w:rsidRDefault="0070740F" w:rsidP="0070740F">
      <w:pPr>
        <w:widowControl w:val="0"/>
        <w:autoSpaceDE w:val="0"/>
        <w:autoSpaceDN w:val="0"/>
        <w:adjustRightInd w:val="0"/>
        <w:spacing w:line="480" w:lineRule="auto"/>
        <w:ind w:left="640" w:hanging="640"/>
        <w:rPr>
          <w:rFonts w:ascii="Arial" w:hAnsi="Arial" w:cs="Arial"/>
          <w:noProof/>
          <w:sz w:val="22"/>
        </w:rPr>
      </w:pPr>
      <w:r w:rsidRPr="0070740F">
        <w:rPr>
          <w:rFonts w:ascii="Arial" w:hAnsi="Arial" w:cs="Arial"/>
          <w:noProof/>
          <w:sz w:val="22"/>
        </w:rPr>
        <w:t xml:space="preserve">37. </w:t>
      </w:r>
      <w:r w:rsidRPr="0070740F">
        <w:rPr>
          <w:rFonts w:ascii="Arial" w:hAnsi="Arial" w:cs="Arial"/>
          <w:noProof/>
          <w:sz w:val="22"/>
        </w:rPr>
        <w:tab/>
        <w:t xml:space="preserve">Street K, Risso D, Fletcher RB, Das D, Ngai J, Yosef N, Purdom E, Dudoit S. Slingshot: Cell lineage and pseudotime inference for single-cell transcriptomics. </w:t>
      </w:r>
      <w:r w:rsidRPr="0070740F">
        <w:rPr>
          <w:rFonts w:ascii="Arial" w:hAnsi="Arial" w:cs="Arial"/>
          <w:i/>
          <w:iCs/>
          <w:noProof/>
          <w:sz w:val="22"/>
        </w:rPr>
        <w:t>BMC Genomics</w:t>
      </w:r>
      <w:r w:rsidRPr="0070740F">
        <w:rPr>
          <w:rFonts w:ascii="Arial" w:hAnsi="Arial" w:cs="Arial"/>
          <w:noProof/>
          <w:sz w:val="22"/>
        </w:rPr>
        <w:t xml:space="preserve"> (2018) doi:10.1186/s12864-018-4772-0</w:t>
      </w:r>
    </w:p>
    <w:p w14:paraId="25CAF47A" w14:textId="44C0120B" w:rsidR="002E4EFB" w:rsidRPr="002E4EFB" w:rsidRDefault="002E4EFB" w:rsidP="0070740F">
      <w:pPr>
        <w:widowControl w:val="0"/>
        <w:autoSpaceDE w:val="0"/>
        <w:autoSpaceDN w:val="0"/>
        <w:adjustRightInd w:val="0"/>
        <w:spacing w:line="480" w:lineRule="auto"/>
        <w:ind w:left="640" w:hanging="640"/>
        <w:rPr>
          <w:rFonts w:ascii="Arial" w:hAnsi="Arial" w:cs="Arial"/>
          <w:bCs/>
          <w:color w:val="000000"/>
          <w:sz w:val="22"/>
          <w:szCs w:val="22"/>
        </w:rPr>
      </w:pPr>
      <w:r>
        <w:rPr>
          <w:rFonts w:ascii="Arial" w:hAnsi="Arial" w:cs="Arial"/>
          <w:bCs/>
          <w:color w:val="000000"/>
          <w:sz w:val="22"/>
          <w:szCs w:val="22"/>
        </w:rPr>
        <w:lastRenderedPageBreak/>
        <w:fldChar w:fldCharType="end"/>
      </w:r>
    </w:p>
    <w:p w14:paraId="3FB81D2C" w14:textId="77777777" w:rsidR="003064F8" w:rsidRPr="00761DC0" w:rsidRDefault="003064F8" w:rsidP="00276C2F">
      <w:pPr>
        <w:spacing w:line="480" w:lineRule="auto"/>
        <w:jc w:val="both"/>
        <w:rPr>
          <w:rFonts w:ascii="Arial" w:hAnsi="Arial" w:cs="Arial"/>
          <w:sz w:val="22"/>
          <w:szCs w:val="22"/>
        </w:rPr>
      </w:pPr>
    </w:p>
    <w:p w14:paraId="4A61FBEF" w14:textId="66DE5C91" w:rsidR="00707C08" w:rsidRPr="009A5803" w:rsidRDefault="009A5803" w:rsidP="00276C2F">
      <w:pPr>
        <w:spacing w:line="480" w:lineRule="auto"/>
        <w:rPr>
          <w:rFonts w:ascii="Arial" w:hAnsi="Arial" w:cs="Arial"/>
          <w:b/>
          <w:bCs/>
          <w:sz w:val="22"/>
          <w:szCs w:val="22"/>
        </w:rPr>
      </w:pPr>
      <w:r w:rsidRPr="009A5803">
        <w:rPr>
          <w:rFonts w:ascii="Arial" w:hAnsi="Arial" w:cs="Arial"/>
          <w:b/>
          <w:bCs/>
          <w:sz w:val="22"/>
          <w:szCs w:val="22"/>
        </w:rPr>
        <w:t>Figures</w:t>
      </w:r>
    </w:p>
    <w:p w14:paraId="7B920934" w14:textId="2F33AC1B" w:rsidR="009A5803" w:rsidRDefault="001A4ED9" w:rsidP="00276C2F">
      <w:pPr>
        <w:spacing w:line="480" w:lineRule="auto"/>
        <w:rPr>
          <w:rFonts w:ascii="Arial" w:hAnsi="Arial" w:cs="Arial"/>
          <w:sz w:val="22"/>
          <w:szCs w:val="22"/>
        </w:rPr>
      </w:pPr>
      <w:r>
        <w:rPr>
          <w:rFonts w:ascii="Arial" w:hAnsi="Arial" w:cs="Arial"/>
          <w:noProof/>
          <w:sz w:val="22"/>
          <w:szCs w:val="22"/>
        </w:rPr>
        <w:drawing>
          <wp:inline distT="0" distB="0" distL="0" distR="0" wp14:anchorId="6C5E66D1" wp14:editId="57B551C7">
            <wp:extent cx="5943600" cy="3155315"/>
            <wp:effectExtent l="0" t="0" r="0" b="0"/>
            <wp:docPr id="2" name="Picture 2" descr="A picture containing sitting, colorful, photo,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08CCEFF0" w14:textId="57475CCE" w:rsidR="009A5803" w:rsidRPr="00761DC0" w:rsidRDefault="009A5803" w:rsidP="00276C2F">
      <w:pPr>
        <w:spacing w:line="480" w:lineRule="auto"/>
        <w:rPr>
          <w:rFonts w:ascii="Arial" w:hAnsi="Arial" w:cs="Arial"/>
          <w:sz w:val="22"/>
          <w:szCs w:val="22"/>
        </w:rPr>
      </w:pPr>
      <w:r w:rsidRPr="001A4ED9">
        <w:rPr>
          <w:rFonts w:ascii="Arial" w:hAnsi="Arial" w:cs="Arial"/>
          <w:b/>
          <w:bCs/>
          <w:sz w:val="22"/>
          <w:szCs w:val="22"/>
        </w:rPr>
        <w:t>Figure 1: Single-cell sequencing results for immune cells in ccRCC.</w:t>
      </w:r>
      <w:r>
        <w:rPr>
          <w:rFonts w:ascii="Arial" w:hAnsi="Arial" w:cs="Arial"/>
          <w:sz w:val="22"/>
          <w:szCs w:val="22"/>
        </w:rPr>
        <w:t xml:space="preserve"> A. UMAP of </w:t>
      </w:r>
      <w:r w:rsidR="001A4ED9">
        <w:rPr>
          <w:rFonts w:ascii="Arial" w:hAnsi="Arial" w:cs="Arial"/>
          <w:sz w:val="22"/>
          <w:szCs w:val="22"/>
        </w:rPr>
        <w:t xml:space="preserve">37,055 primary immune cells of peripheral blood, normal renal parenchyma and tumor-infiltrating ccRCC patients. </w:t>
      </w:r>
      <w:r w:rsidR="001A4ED9" w:rsidRPr="001A4ED9">
        <w:rPr>
          <w:rFonts w:ascii="Arial" w:hAnsi="Arial" w:cs="Arial"/>
          <w:b/>
          <w:bCs/>
          <w:sz w:val="22"/>
          <w:szCs w:val="22"/>
        </w:rPr>
        <w:t>B</w:t>
      </w:r>
      <w:r w:rsidR="001A4ED9">
        <w:rPr>
          <w:rFonts w:ascii="Arial" w:hAnsi="Arial" w:cs="Arial"/>
          <w:sz w:val="22"/>
          <w:szCs w:val="22"/>
        </w:rPr>
        <w:t xml:space="preserve">. Distribution of cells by tissue type, peripheral blood (blue), tumor (red), and kidney (light blue). Arrows indicated potential enriched or unique immune cells populations for tissue type. </w:t>
      </w:r>
      <w:r w:rsidR="001A4ED9" w:rsidRPr="001A4ED9">
        <w:rPr>
          <w:rFonts w:ascii="Arial" w:hAnsi="Arial" w:cs="Arial"/>
          <w:b/>
          <w:bCs/>
          <w:sz w:val="22"/>
          <w:szCs w:val="22"/>
        </w:rPr>
        <w:t>C</w:t>
      </w:r>
      <w:r w:rsidR="001A4ED9">
        <w:rPr>
          <w:rFonts w:ascii="Arial" w:hAnsi="Arial" w:cs="Arial"/>
          <w:sz w:val="22"/>
          <w:szCs w:val="22"/>
        </w:rPr>
        <w:t xml:space="preserve">. Percent of cells expressing canonical immune cell markers across the UMAP. </w:t>
      </w:r>
      <w:r w:rsidR="001A4ED9" w:rsidRPr="001A4ED9">
        <w:rPr>
          <w:rFonts w:ascii="Arial" w:hAnsi="Arial" w:cs="Arial"/>
          <w:b/>
          <w:bCs/>
          <w:sz w:val="22"/>
          <w:szCs w:val="22"/>
        </w:rPr>
        <w:t>D</w:t>
      </w:r>
      <w:r w:rsidR="001A4ED9">
        <w:rPr>
          <w:rFonts w:ascii="Arial" w:hAnsi="Arial" w:cs="Arial"/>
          <w:sz w:val="22"/>
          <w:szCs w:val="22"/>
        </w:rPr>
        <w:t xml:space="preserve">. Normalized correlation values for predicted immune cell phenotypes based on the SingleR R package for each cluster. </w:t>
      </w:r>
      <w:r w:rsidR="001A4ED9" w:rsidRPr="001A4ED9">
        <w:rPr>
          <w:rFonts w:ascii="Arial" w:hAnsi="Arial" w:cs="Arial"/>
          <w:b/>
          <w:bCs/>
          <w:sz w:val="22"/>
          <w:szCs w:val="22"/>
        </w:rPr>
        <w:t>E</w:t>
      </w:r>
      <w:r w:rsidR="001A4ED9">
        <w:rPr>
          <w:rFonts w:ascii="Arial" w:hAnsi="Arial" w:cs="Arial"/>
          <w:sz w:val="22"/>
          <w:szCs w:val="22"/>
        </w:rPr>
        <w:t>. UMAP demonstrating inferred immune cell types in ccRCC, clusters are colored by cell type.</w:t>
      </w:r>
    </w:p>
    <w:sectPr w:rsidR="009A5803"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07F61"/>
    <w:rsid w:val="00015D7C"/>
    <w:rsid w:val="00024358"/>
    <w:rsid w:val="00034385"/>
    <w:rsid w:val="000352EF"/>
    <w:rsid w:val="00040449"/>
    <w:rsid w:val="00045B3F"/>
    <w:rsid w:val="000841A4"/>
    <w:rsid w:val="000928FC"/>
    <w:rsid w:val="000A02B4"/>
    <w:rsid w:val="000B48A9"/>
    <w:rsid w:val="000B5775"/>
    <w:rsid w:val="000C164B"/>
    <w:rsid w:val="000C3E81"/>
    <w:rsid w:val="001120F3"/>
    <w:rsid w:val="0011339F"/>
    <w:rsid w:val="00114BEA"/>
    <w:rsid w:val="001216AE"/>
    <w:rsid w:val="0012402E"/>
    <w:rsid w:val="0012448E"/>
    <w:rsid w:val="0012679D"/>
    <w:rsid w:val="00142008"/>
    <w:rsid w:val="0015352E"/>
    <w:rsid w:val="00185803"/>
    <w:rsid w:val="00194EF3"/>
    <w:rsid w:val="00196548"/>
    <w:rsid w:val="00196F01"/>
    <w:rsid w:val="001A4ED9"/>
    <w:rsid w:val="001A6DCD"/>
    <w:rsid w:val="001C7A5D"/>
    <w:rsid w:val="001C7E66"/>
    <w:rsid w:val="00206317"/>
    <w:rsid w:val="0021505D"/>
    <w:rsid w:val="0022606C"/>
    <w:rsid w:val="002355A8"/>
    <w:rsid w:val="0024418D"/>
    <w:rsid w:val="00244E36"/>
    <w:rsid w:val="00247762"/>
    <w:rsid w:val="00276C2F"/>
    <w:rsid w:val="002A683B"/>
    <w:rsid w:val="002B3EDD"/>
    <w:rsid w:val="002D7320"/>
    <w:rsid w:val="002D7B10"/>
    <w:rsid w:val="002E3B9B"/>
    <w:rsid w:val="002E4EFB"/>
    <w:rsid w:val="002E735E"/>
    <w:rsid w:val="002F2B04"/>
    <w:rsid w:val="002F32A0"/>
    <w:rsid w:val="002F4160"/>
    <w:rsid w:val="003064F8"/>
    <w:rsid w:val="003245D3"/>
    <w:rsid w:val="003C4A05"/>
    <w:rsid w:val="003D1299"/>
    <w:rsid w:val="003E5B65"/>
    <w:rsid w:val="003E66F1"/>
    <w:rsid w:val="003F20A7"/>
    <w:rsid w:val="00402629"/>
    <w:rsid w:val="00427BD5"/>
    <w:rsid w:val="00436041"/>
    <w:rsid w:val="00436D1A"/>
    <w:rsid w:val="00441217"/>
    <w:rsid w:val="00477581"/>
    <w:rsid w:val="004838F1"/>
    <w:rsid w:val="004F1798"/>
    <w:rsid w:val="00516F48"/>
    <w:rsid w:val="0052740A"/>
    <w:rsid w:val="00530253"/>
    <w:rsid w:val="00564DB7"/>
    <w:rsid w:val="00570FDC"/>
    <w:rsid w:val="005833F0"/>
    <w:rsid w:val="0059724A"/>
    <w:rsid w:val="005A169F"/>
    <w:rsid w:val="005B69AC"/>
    <w:rsid w:val="005C418C"/>
    <w:rsid w:val="005D0B49"/>
    <w:rsid w:val="005D2880"/>
    <w:rsid w:val="005E7FEE"/>
    <w:rsid w:val="00617F53"/>
    <w:rsid w:val="006A1B3C"/>
    <w:rsid w:val="006A6770"/>
    <w:rsid w:val="006C01FF"/>
    <w:rsid w:val="006C11C8"/>
    <w:rsid w:val="0070740F"/>
    <w:rsid w:val="00707C08"/>
    <w:rsid w:val="00725C18"/>
    <w:rsid w:val="007321D6"/>
    <w:rsid w:val="00732B3F"/>
    <w:rsid w:val="00735CE0"/>
    <w:rsid w:val="00745683"/>
    <w:rsid w:val="00755D16"/>
    <w:rsid w:val="00757E7C"/>
    <w:rsid w:val="00761DC0"/>
    <w:rsid w:val="00762B9A"/>
    <w:rsid w:val="0077001E"/>
    <w:rsid w:val="00783601"/>
    <w:rsid w:val="0079187E"/>
    <w:rsid w:val="007B27AF"/>
    <w:rsid w:val="007C0FFB"/>
    <w:rsid w:val="007C3051"/>
    <w:rsid w:val="007F0BCC"/>
    <w:rsid w:val="00815F39"/>
    <w:rsid w:val="00817EF2"/>
    <w:rsid w:val="008274D0"/>
    <w:rsid w:val="00830CF7"/>
    <w:rsid w:val="00833AB7"/>
    <w:rsid w:val="0084002C"/>
    <w:rsid w:val="008505A9"/>
    <w:rsid w:val="00880D71"/>
    <w:rsid w:val="008A56EF"/>
    <w:rsid w:val="008C1AAF"/>
    <w:rsid w:val="008E746C"/>
    <w:rsid w:val="0091251A"/>
    <w:rsid w:val="00941B00"/>
    <w:rsid w:val="00946B48"/>
    <w:rsid w:val="00951227"/>
    <w:rsid w:val="00952E0E"/>
    <w:rsid w:val="00987A75"/>
    <w:rsid w:val="009A5803"/>
    <w:rsid w:val="009F2D06"/>
    <w:rsid w:val="00A03655"/>
    <w:rsid w:val="00A75F11"/>
    <w:rsid w:val="00A83491"/>
    <w:rsid w:val="00A938DB"/>
    <w:rsid w:val="00A95847"/>
    <w:rsid w:val="00AD7303"/>
    <w:rsid w:val="00AF4358"/>
    <w:rsid w:val="00AF4A9A"/>
    <w:rsid w:val="00B0496F"/>
    <w:rsid w:val="00B210E6"/>
    <w:rsid w:val="00B23181"/>
    <w:rsid w:val="00B32D66"/>
    <w:rsid w:val="00BA583B"/>
    <w:rsid w:val="00BE1078"/>
    <w:rsid w:val="00BF5FC5"/>
    <w:rsid w:val="00C0682E"/>
    <w:rsid w:val="00C20E2A"/>
    <w:rsid w:val="00C47C17"/>
    <w:rsid w:val="00C62787"/>
    <w:rsid w:val="00C639D3"/>
    <w:rsid w:val="00C65816"/>
    <w:rsid w:val="00C770CF"/>
    <w:rsid w:val="00C9004A"/>
    <w:rsid w:val="00C94FB6"/>
    <w:rsid w:val="00CB2EE0"/>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A6D17"/>
    <w:rsid w:val="00DB1892"/>
    <w:rsid w:val="00DC5793"/>
    <w:rsid w:val="00DD07C0"/>
    <w:rsid w:val="00DD1941"/>
    <w:rsid w:val="00DE15B4"/>
    <w:rsid w:val="00DF3E7F"/>
    <w:rsid w:val="00E00C7A"/>
    <w:rsid w:val="00E0780B"/>
    <w:rsid w:val="00E15DF5"/>
    <w:rsid w:val="00E21D97"/>
    <w:rsid w:val="00E26A39"/>
    <w:rsid w:val="00E318BA"/>
    <w:rsid w:val="00E34118"/>
    <w:rsid w:val="00E732EF"/>
    <w:rsid w:val="00EB618C"/>
    <w:rsid w:val="00EB7944"/>
    <w:rsid w:val="00EC70F5"/>
    <w:rsid w:val="00EE3E5B"/>
    <w:rsid w:val="00EF26C0"/>
    <w:rsid w:val="00F518EE"/>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 w:type="paragraph" w:styleId="NormalWeb">
    <w:name w:val="Normal (Web)"/>
    <w:basedOn w:val="Normal"/>
    <w:uiPriority w:val="99"/>
    <w:semiHidden/>
    <w:unhideWhenUsed/>
    <w:rsid w:val="002E4E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76447274">
      <w:bodyDiv w:val="1"/>
      <w:marLeft w:val="0"/>
      <w:marRight w:val="0"/>
      <w:marTop w:val="0"/>
      <w:marBottom w:val="0"/>
      <w:divBdr>
        <w:top w:val="none" w:sz="0" w:space="0" w:color="auto"/>
        <w:left w:val="none" w:sz="0" w:space="0" w:color="auto"/>
        <w:bottom w:val="none" w:sz="0" w:space="0" w:color="auto"/>
        <w:right w:val="none" w:sz="0" w:space="0" w:color="auto"/>
      </w:divBdr>
    </w:div>
    <w:div w:id="585072050">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 w:id="15795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orcherding/ccR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ousef-zakharia@uiow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angw@ufl.edu" TargetMode="External"/><Relationship Id="rId11" Type="http://schemas.openxmlformats.org/officeDocument/2006/relationships/image" Target="media/image1.png"/><Relationship Id="rId5" Type="http://schemas.openxmlformats.org/officeDocument/2006/relationships/hyperlink" Target="mailto:rwjenkins@partners.org" TargetMode="External"/><Relationship Id="rId10" Type="http://schemas.openxmlformats.org/officeDocument/2006/relationships/hyperlink" Target="https://github.com/ncborcherding/ccRCC" TargetMode="External"/><Relationship Id="rId4" Type="http://schemas.openxmlformats.org/officeDocument/2006/relationships/webSettings" Target="webSettings.xml"/><Relationship Id="rId9" Type="http://schemas.openxmlformats.org/officeDocument/2006/relationships/hyperlink" Target="https://www.ncbi.nlm.nih.gov/geo/query/acc.cgi?acc=GSE121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9BEE-4403-234A-AA03-99179557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37715</Words>
  <Characters>214978</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17</cp:revision>
  <dcterms:created xsi:type="dcterms:W3CDTF">2020-06-24T12:58:00Z</dcterms:created>
  <dcterms:modified xsi:type="dcterms:W3CDTF">2020-07-07T15:48:00Z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http://www.zotero.org/styles/annals-of-oncology</vt:lpwstr>
  </property>
  <property fmtid="{D5CDD505-2E9C-101B-9397-08002B2CF9AE}" pid="9" name="Mendeley Recent Style Name 3_1">
    <vt:lpwstr>Annals of Oncology</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http://www.zotero.org/styles/the-oncologist</vt:lpwstr>
  </property>
  <property fmtid="{D5CDD505-2E9C-101B-9397-08002B2CF9AE}" pid="21" name="Mendeley Recent Style Name 9_1">
    <vt:lpwstr>The Oncologist</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http://www.zotero.org/styles/frontiers-in-oncology</vt:lpwstr>
  </property>
</Properties>
</file>