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6"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7"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8"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56055333"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proofErr w:type="spellStart"/>
      <w:r w:rsidRPr="006A1B3C">
        <w:rPr>
          <w:rFonts w:ascii="Arial" w:hAnsi="Arial" w:cs="Arial"/>
          <w:color w:val="000000"/>
          <w:sz w:val="22"/>
          <w:szCs w:val="22"/>
        </w:rPr>
        <w:t>scRNA</w:t>
      </w:r>
      <w:proofErr w:type="spellEnd"/>
      <w:r w:rsidRPr="006A1B3C">
        <w:rPr>
          <w:rFonts w:ascii="Arial" w:hAnsi="Arial" w:cs="Arial"/>
          <w:color w:val="000000"/>
          <w:sz w:val="22"/>
          <w:szCs w:val="22"/>
        </w:rPr>
        <w:t>-seq.</w:t>
      </w:r>
    </w:p>
    <w:p w14:paraId="054442AB" w14:textId="77777777" w:rsidR="006A1B3C" w:rsidRPr="006A1B3C" w:rsidRDefault="006A1B3C" w:rsidP="006A1B3C">
      <w:pPr>
        <w:pStyle w:val="Paragraph"/>
        <w:snapToGrid w:val="0"/>
        <w:spacing w:line="480" w:lineRule="auto"/>
        <w:ind w:firstLine="0"/>
        <w:rPr>
          <w:rFonts w:ascii="Arial" w:hAnsi="Arial" w:cs="Arial"/>
          <w:b/>
          <w:bCs/>
          <w:color w:val="000000"/>
          <w:sz w:val="22"/>
          <w:szCs w:val="22"/>
        </w:rPr>
      </w:pP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71C0BD51"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ranged from 67 to 74 years old; the tumor samples were of diverse tumor stages and sourced from male subjects. Tumor grades were </w:t>
      </w:r>
      <w:r w:rsidRPr="00761DC0">
        <w:rPr>
          <w:rFonts w:ascii="Arial" w:hAnsi="Arial" w:cs="Arial"/>
          <w:color w:val="000000"/>
          <w:sz w:val="22"/>
          <w:szCs w:val="22"/>
        </w:rPr>
        <w:lastRenderedPageBreak/>
        <w:t xml:space="preserve">histologically determined by a pathologist. 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0592D866"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3245D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(28)","plainTextFormattedCitation":"(28)","previouslyFormattedCitation":"(28)"},"properties":{"noteIndex":0},"schema":"https://github.com/citation-style-language/schema/raw/master/csl-citation.json"}</w:instrText>
      </w:r>
      <w:r w:rsidR="003245D3">
        <w:rPr>
          <w:rFonts w:ascii="Arial" w:hAnsi="Arial" w:cs="Arial"/>
          <w:color w:val="000000"/>
          <w:sz w:val="22"/>
          <w:szCs w:val="22"/>
        </w:rPr>
        <w:fldChar w:fldCharType="separate"/>
      </w:r>
      <w:r w:rsidR="003245D3" w:rsidRPr="003245D3">
        <w:rPr>
          <w:rFonts w:ascii="Arial" w:hAnsi="Arial" w:cs="Arial"/>
          <w:noProof/>
          <w:color w:val="000000"/>
          <w:sz w:val="22"/>
          <w:szCs w:val="22"/>
        </w:rPr>
        <w:t>(28)</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w:t>
      </w:r>
      <w:r w:rsidRPr="00761DC0">
        <w:rPr>
          <w:rFonts w:ascii="Arial" w:hAnsi="Arial" w:cs="Arial"/>
          <w:color w:val="000000"/>
          <w:sz w:val="22"/>
          <w:szCs w:val="22"/>
        </w:rPr>
        <w:lastRenderedPageBreak/>
        <w:t xml:space="preserve">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76AF5AD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SCRS and TCR sequencing data processed using Cell Ranger v2.2 for healthy donor peripheral blood immune cells were acquired from the 10x Genomics website on 6/20/2020. Filtered gene matrix and contig annotations were used in the incorporation of the UMAP.</w:t>
      </w:r>
      <w:r w:rsidR="00C20E2A">
        <w:rPr>
          <w:rFonts w:ascii="Arial" w:hAnsi="Arial" w:cs="Arial"/>
          <w:color w:val="000000" w:themeColor="text1"/>
          <w:sz w:val="22"/>
          <w:szCs w:val="22"/>
        </w:rPr>
        <w:t xml:space="preserve"> Total number of cells </w:t>
      </w:r>
      <w:r w:rsidR="00C20E2A">
        <w:rPr>
          <w:rFonts w:ascii="Arial" w:hAnsi="Arial" w:cs="Arial"/>
          <w:color w:val="000000" w:themeColor="text1"/>
          <w:sz w:val="22"/>
          <w:szCs w:val="22"/>
        </w:rPr>
        <w:lastRenderedPageBreak/>
        <w:t>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70740F">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(29)","plainTextFormattedCitation":"(29)","previouslyFormattedCitation":"(29)"},"properties":{"noteIndex":0},"schema":"https://github.com/citation-style-language/schema/raw/master/csl-citation.json"}</w:instrText>
      </w:r>
      <w:r w:rsidRPr="004F1798">
        <w:rPr>
          <w:rFonts w:ascii="Arial" w:hAnsi="Arial" w:cs="Arial"/>
          <w:color w:val="000000" w:themeColor="text1"/>
          <w:sz w:val="22"/>
          <w:szCs w:val="22"/>
        </w:rPr>
        <w:fldChar w:fldCharType="separate"/>
      </w:r>
      <w:r w:rsidRPr="004F1798">
        <w:rPr>
          <w:rFonts w:ascii="Arial" w:hAnsi="Arial" w:cs="Arial"/>
          <w:noProof/>
          <w:color w:val="000000" w:themeColor="text1"/>
          <w:sz w:val="22"/>
          <w:szCs w:val="22"/>
        </w:rPr>
        <w:t>(29)</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4EE73E6E"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(30,31)","plainTextFormattedCitation":"(30,31)","previouslyFormattedCitation":"(30,31)"},"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(30,31)</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(32)","plainTextFormattedCitation":"(32)","previouslyFormattedCitation":"(32)"},"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(32)</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uniform manifold approximation and project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408F45DC"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 xml:space="preserve">Differential gene </w:t>
      </w:r>
      <w:r w:rsidRPr="00761DC0">
        <w:rPr>
          <w:rFonts w:ascii="Arial" w:hAnsi="Arial" w:cs="Arial"/>
          <w:sz w:val="22"/>
          <w:szCs w:val="22"/>
        </w:rPr>
        <w:lastRenderedPageBreak/>
        <w:t>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(33)","plainTextFormattedCitation":"(33)","previouslyFormattedCitation":"(33)"},"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(33)</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2EA2D602"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(34)","plainTextFormattedCitation":"(34)","previouslyFormattedCitation":"(34)"},"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(34)</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(35)","plainTextFormattedCitation":"(35)","previouslyFormattedCitation":"(35)"},"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(35)</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A2B8C">
        <w:rPr>
          <w:rFonts w:ascii="Arial" w:hAnsi="Arial" w:cs="Arial"/>
          <w:sz w:val="22"/>
          <w:szCs w:val="22"/>
        </w:rPr>
        <w:t xml:space="preserve"> Gene sets were derived from the Hallmark library of the Molecular Signature Database and from previous publications </w:t>
      </w:r>
      <w:r w:rsidR="007A2B8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Y.","non-dropping-particle":"","parse-names":false,"suffix":""},{"dropping-particle":"","family":"Pe'er","given":"Dana","non-dropping-particle":"","parse-names":false,"suffix":""}],"container-title":"Cell","id":"ITEM-1","issued":{"date-parts":[["2018"]]},"title":"Single-Cell Map of Diverse Immune Phenotypes in the Breast Tumor Microenvironment","type":"article-journal"},"uris":["http://www.mendeley.com/documents/?uuid=9392f45e-1788-4153-aa66-25f0c497cbd2"]},{"id":"ITEM-2","itemData":{"DOI":"10.1016/j.cell.2018.10.038","ISSN":"10974172","PMID":"30388456","abstract":"Treatment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(20,23)","plainTextFormattedCitation":"(20,23)","previouslyFormattedCitation":"(20,23)"},"properties":{"noteIndex":0},"schema":"https://github.com/citation-style-language/schema/raw/master/csl-citation.json"}</w:instrText>
      </w:r>
      <w:r w:rsidR="007A2B8C">
        <w:rPr>
          <w:rFonts w:ascii="Arial" w:hAnsi="Arial" w:cs="Arial"/>
          <w:sz w:val="22"/>
          <w:szCs w:val="22"/>
        </w:rPr>
        <w:fldChar w:fldCharType="separate"/>
      </w:r>
      <w:r w:rsidR="007A2B8C" w:rsidRPr="007A2B8C">
        <w:rPr>
          <w:rFonts w:ascii="Arial" w:hAnsi="Arial" w:cs="Arial"/>
          <w:noProof/>
          <w:sz w:val="22"/>
          <w:szCs w:val="22"/>
        </w:rPr>
        <w:t>(20,23)</w:t>
      </w:r>
      <w:r w:rsidR="007A2B8C">
        <w:rPr>
          <w:rFonts w:ascii="Arial" w:hAnsi="Arial" w:cs="Arial"/>
          <w:sz w:val="22"/>
          <w:szCs w:val="22"/>
        </w:rPr>
        <w:fldChar w:fldCharType="end"/>
      </w:r>
      <w:r w:rsidR="007A2B8C">
        <w:rPr>
          <w:rFonts w:ascii="Arial" w:hAnsi="Arial" w:cs="Arial"/>
          <w:sz w:val="22"/>
          <w:szCs w:val="22"/>
        </w:rPr>
        <w:t>. Enrichment for anti-PD-1 therapy response was derived from Sade-</w:t>
      </w:r>
      <w:proofErr w:type="spellStart"/>
      <w:r w:rsidR="007A2B8C">
        <w:rPr>
          <w:rFonts w:ascii="Arial" w:hAnsi="Arial" w:cs="Arial"/>
          <w:sz w:val="22"/>
          <w:szCs w:val="22"/>
        </w:rPr>
        <w:t>Feldmen</w:t>
      </w:r>
      <w:proofErr w:type="spellEnd"/>
      <w:r w:rsidR="007A2B8C">
        <w:rPr>
          <w:rFonts w:ascii="Arial" w:hAnsi="Arial" w:cs="Arial"/>
          <w:sz w:val="22"/>
          <w:szCs w:val="22"/>
        </w:rPr>
        <w:t xml:space="preserve"> et alia</w:t>
      </w:r>
      <w:r w:rsidR="00250FBC">
        <w:rPr>
          <w:rFonts w:ascii="Arial" w:hAnsi="Arial" w:cs="Arial"/>
          <w:sz w:val="22"/>
          <w:szCs w:val="22"/>
        </w:rPr>
        <w:t xml:space="preserve"> to develop gene signatures for the CD8_B (nonresponsive) and CD8_G (responsive) single-cell populations</w:t>
      </w:r>
      <w:r w:rsidR="00250FBC">
        <w:rPr>
          <w:rFonts w:ascii="Arial" w:hAnsi="Arial" w:cs="Arial"/>
          <w:sz w:val="22"/>
          <w:szCs w:val="22"/>
        </w:rPr>
        <w:fldChar w:fldCharType="begin" w:fldLock="1"/>
      </w:r>
      <w:r w:rsidR="00250FBC">
        <w:rPr>
          <w:rFonts w:ascii="Arial" w:hAnsi="Arial" w:cs="Arial"/>
          <w:sz w:val="22"/>
          <w:szCs w:val="22"/>
        </w:rPr>
        <w:instrText>ADDIN CSL_CITATION {"citationItems":[{"id":"ITEM-1","itemData":{"DOI":"10.1016/j.cell.2018.10.038","ISSN":"10974172","PMID":"30388456","abstract":"Treatment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-1","issued":{"date-parts":[["2018"]]},"title":"Defining T Cell States Associated with Response to Checkpoint Immunotherapy in Melanoma","type":"article-journal"},"uris":["http://www.mendeley.com/documents/?uuid=a97c59a3-ef47-4172-bbdb-962df07fd5f0"]}],"mendeley":{"formattedCitation":"(20)","plainTextFormattedCitation":"(20)"},"properties":{"noteIndex":0},"schema":"https://github.com/citation-style-language/schema/raw/master/csl-citation.json"}</w:instrText>
      </w:r>
      <w:r w:rsidR="00250FBC">
        <w:rPr>
          <w:rFonts w:ascii="Arial" w:hAnsi="Arial" w:cs="Arial"/>
          <w:sz w:val="22"/>
          <w:szCs w:val="22"/>
        </w:rPr>
        <w:fldChar w:fldCharType="separate"/>
      </w:r>
      <w:r w:rsidR="00250FBC" w:rsidRPr="00250FBC">
        <w:rPr>
          <w:rFonts w:ascii="Arial" w:hAnsi="Arial" w:cs="Arial"/>
          <w:noProof/>
          <w:sz w:val="22"/>
          <w:szCs w:val="22"/>
        </w:rPr>
        <w:t>(20)</w:t>
      </w:r>
      <w:r w:rsidR="00250FBC">
        <w:rPr>
          <w:rFonts w:ascii="Arial" w:hAnsi="Arial" w:cs="Arial"/>
          <w:sz w:val="22"/>
          <w:szCs w:val="22"/>
        </w:rPr>
        <w:fldChar w:fldCharType="end"/>
      </w:r>
      <w:r w:rsidR="00250FBC">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(36)","plainTextFormattedCitation":"(36)","previouslyFormattedCitation":"(36)"},"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(36)</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323FCD">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0070740F">
        <w:rPr>
          <w:rFonts w:ascii="Arial" w:hAnsi="Arial" w:cs="Arial"/>
          <w:sz w:val="22"/>
          <w:szCs w:val="22"/>
        </w:rPr>
        <w:fldChar w:fldCharType="separate"/>
      </w:r>
      <w:r w:rsidR="0070740F" w:rsidRPr="0070740F">
        <w:rPr>
          <w:rFonts w:ascii="Arial" w:hAnsi="Arial" w:cs="Arial"/>
          <w:noProof/>
          <w:sz w:val="22"/>
          <w:szCs w:val="22"/>
        </w:rPr>
        <w:t>(37)</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w:t>
      </w:r>
      <w:r w:rsidR="0070740F">
        <w:rPr>
          <w:rFonts w:ascii="Arial" w:hAnsi="Arial" w:cs="Arial"/>
          <w:sz w:val="22"/>
          <w:szCs w:val="22"/>
        </w:rPr>
        <w:lastRenderedPageBreak/>
        <w:t xml:space="preserve">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9"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5FD5FDD5" w14:textId="77777777" w:rsidR="00250FBC" w:rsidRDefault="00250FBC" w:rsidP="002E4EFB">
      <w:pPr>
        <w:spacing w:line="480" w:lineRule="auto"/>
        <w:jc w:val="both"/>
        <w:rPr>
          <w:rFonts w:ascii="Arial" w:hAnsi="Arial" w:cs="Arial"/>
          <w:sz w:val="22"/>
          <w:szCs w:val="22"/>
        </w:rPr>
      </w:pPr>
    </w:p>
    <w:p w14:paraId="3680F3A4" w14:textId="37F8D37C" w:rsidR="00244E36" w:rsidRPr="002E4EFB" w:rsidRDefault="00CB2EE0" w:rsidP="002E4EFB">
      <w:pPr>
        <w:spacing w:line="480" w:lineRule="auto"/>
        <w:jc w:val="both"/>
        <w:rPr>
          <w:rFonts w:ascii="Arial" w:hAnsi="Arial" w:cs="Arial"/>
          <w:b/>
          <w:color w:val="000000"/>
          <w:sz w:val="22"/>
          <w:szCs w:val="22"/>
        </w:rPr>
      </w:pPr>
      <w:bookmarkStart w:id="0" w:name="_GoBack"/>
      <w:bookmarkEnd w:id="0"/>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lastRenderedPageBreak/>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lastRenderedPageBreak/>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10"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1"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0E488740" w14:textId="412F1DCD" w:rsidR="00250FBC" w:rsidRPr="00250FBC" w:rsidRDefault="002E4EFB" w:rsidP="00250FBC">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250FBC" w:rsidRPr="00250FBC">
        <w:rPr>
          <w:rFonts w:ascii="Arial" w:hAnsi="Arial" w:cs="Arial"/>
          <w:noProof/>
          <w:sz w:val="22"/>
        </w:rPr>
        <w:t xml:space="preserve">1. </w:t>
      </w:r>
      <w:r w:rsidR="00250FBC" w:rsidRPr="00250FBC">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0F796829"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 </w:t>
      </w:r>
      <w:r w:rsidRPr="00250FBC">
        <w:rPr>
          <w:rFonts w:ascii="Arial" w:hAnsi="Arial" w:cs="Arial"/>
          <w:noProof/>
          <w:sz w:val="22"/>
        </w:rPr>
        <w:tab/>
        <w:t xml:space="preserve">Koneru R, Hotte SJ. Role of cytokine therapy for renal cell carcinoma in the era of targeted agents. Curr Oncol. Multimed Inc.; 2009;16:S40. </w:t>
      </w:r>
    </w:p>
    <w:p w14:paraId="3F9DB26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 </w:t>
      </w:r>
      <w:r w:rsidRPr="00250FBC">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1FD2EF05"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4. </w:t>
      </w:r>
      <w:r w:rsidRPr="00250FBC">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7A284A1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5. </w:t>
      </w:r>
      <w:r w:rsidRPr="00250FBC">
        <w:rPr>
          <w:rFonts w:ascii="Arial" w:hAnsi="Arial" w:cs="Arial"/>
          <w:noProof/>
          <w:sz w:val="22"/>
        </w:rPr>
        <w:tab/>
        <w:t xml:space="preserve">Sharma P, Allison JP. Immune checkpoint targeting in cancer therapy: Toward combination strategies with curative potential. Cell. 2015. </w:t>
      </w:r>
    </w:p>
    <w:p w14:paraId="76B0165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6. </w:t>
      </w:r>
      <w:r w:rsidRPr="00250FBC">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5C55354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7. </w:t>
      </w:r>
      <w:r w:rsidRPr="00250FBC">
        <w:rPr>
          <w:rFonts w:ascii="Arial" w:hAnsi="Arial" w:cs="Arial"/>
          <w:noProof/>
          <w:sz w:val="22"/>
        </w:rPr>
        <w:tab/>
        <w:t xml:space="preserve">Tumeh PC, Harview CL, Yearley JH, Shintaku IP, Taylor EJM, Robert L, et al. PD-1 blockade induces responses by inhibiting adaptive immune resistance. Nature. 2014; </w:t>
      </w:r>
    </w:p>
    <w:p w14:paraId="4BE90D5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8. </w:t>
      </w:r>
      <w:r w:rsidRPr="00250FBC">
        <w:rPr>
          <w:rFonts w:ascii="Arial" w:hAnsi="Arial" w:cs="Arial"/>
          <w:noProof/>
          <w:sz w:val="22"/>
        </w:rPr>
        <w:tab/>
        <w:t xml:space="preserve">Galon J, Fox BA, Bifulco CB, Masucci G, Rau T, Botti G, et al. Immunoscore and </w:t>
      </w:r>
      <w:r w:rsidRPr="00250FBC">
        <w:rPr>
          <w:rFonts w:ascii="Arial" w:hAnsi="Arial" w:cs="Arial"/>
          <w:noProof/>
          <w:sz w:val="22"/>
        </w:rPr>
        <w:lastRenderedPageBreak/>
        <w:t xml:space="preserve">Immunoprofiling in cancer: An update from the melanoma and immunotherapy bridge 2015. J Transl Med. 2016; </w:t>
      </w:r>
    </w:p>
    <w:p w14:paraId="46B2108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9. </w:t>
      </w:r>
      <w:r w:rsidRPr="00250FBC">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38302AC3"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10. </w:t>
      </w:r>
      <w:r w:rsidRPr="00250FBC">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2AE54505"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11. </w:t>
      </w:r>
      <w:r w:rsidRPr="00250FBC">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3895A3E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12. </w:t>
      </w:r>
      <w:r w:rsidRPr="00250FBC">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5FBE0C57"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13. </w:t>
      </w:r>
      <w:r w:rsidRPr="00250FBC">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18EC58A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14. </w:t>
      </w:r>
      <w:r w:rsidRPr="00250FBC">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3E109EA2"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15. </w:t>
      </w:r>
      <w:r w:rsidRPr="00250FBC">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1EA282A6"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16. </w:t>
      </w:r>
      <w:r w:rsidRPr="00250FBC">
        <w:rPr>
          <w:rFonts w:ascii="Arial" w:hAnsi="Arial" w:cs="Arial"/>
          <w:noProof/>
          <w:sz w:val="22"/>
        </w:rPr>
        <w:tab/>
        <w:t xml:space="preserve">Chevrier S, Levine JH, Zanotelli VRT, Silina K, Schulz D, Bacac M, et al. An Immune Atlas of Clear Cell Renal Cell Carcinoma. Cell. 2017; </w:t>
      </w:r>
    </w:p>
    <w:p w14:paraId="5B7ACCF4"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lastRenderedPageBreak/>
        <w:t xml:space="preserve">17. </w:t>
      </w:r>
      <w:r w:rsidRPr="00250FBC">
        <w:rPr>
          <w:rFonts w:ascii="Arial" w:hAnsi="Arial" w:cs="Arial"/>
          <w:noProof/>
          <w:sz w:val="22"/>
        </w:rPr>
        <w:tab/>
        <w:t xml:space="preserve">Creighton CJ, Morgan M, Gunaratne PH, Wheeler DA, Gibbs RA, Robertson G, et al. Comprehensivemolecular characterization of clear cell renal cell carcinoma. Nature. 2013; </w:t>
      </w:r>
    </w:p>
    <w:p w14:paraId="1115A4C1"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18. </w:t>
      </w:r>
      <w:r w:rsidRPr="00250FBC">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65E3A1D"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19. </w:t>
      </w:r>
      <w:r w:rsidRPr="00250FBC">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67E80E46"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20. </w:t>
      </w:r>
      <w:r w:rsidRPr="00250FBC">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4C7885EB"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21. </w:t>
      </w:r>
      <w:r w:rsidRPr="00250FBC">
        <w:rPr>
          <w:rFonts w:ascii="Arial" w:hAnsi="Arial" w:cs="Arial"/>
          <w:noProof/>
          <w:sz w:val="22"/>
        </w:rPr>
        <w:tab/>
        <w:t xml:space="preserve">Geissler K, Fornara P, Lautenschläger C, Holzhausen HJ, Seliger B, Riemann D. Immune signature of tumor infiltrating immune cells in renal cancer. Oncoimmunology. 2015; </w:t>
      </w:r>
    </w:p>
    <w:p w14:paraId="46B67731"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22. </w:t>
      </w:r>
      <w:r w:rsidRPr="00250FBC">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61075F13"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23. </w:t>
      </w:r>
      <w:r w:rsidRPr="00250FBC">
        <w:rPr>
          <w:rFonts w:ascii="Arial" w:hAnsi="Arial" w:cs="Arial"/>
          <w:noProof/>
          <w:sz w:val="22"/>
        </w:rPr>
        <w:tab/>
        <w:t xml:space="preserve">Azizi E, Carr AJ, Plitas G, Cornish AE, Konopacki C, Prabhakaran S, et al. Single-Cell Map of Diverse Immune Phenotypes in the Breast Tumor Microenvironment. Cell. 2018; </w:t>
      </w:r>
    </w:p>
    <w:p w14:paraId="72D758A8"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24. </w:t>
      </w:r>
      <w:r w:rsidRPr="00250FBC">
        <w:rPr>
          <w:rFonts w:ascii="Arial" w:hAnsi="Arial" w:cs="Arial"/>
          <w:noProof/>
          <w:sz w:val="22"/>
        </w:rPr>
        <w:tab/>
        <w:t xml:space="preserve">Guo X, Zhang Y, Zheng L, Zheng C, Song J, Zhang Q, et al. Global characterization of T cells in non-small-cell lung cancer by single-cell sequencing. Nat Med. 2018; </w:t>
      </w:r>
    </w:p>
    <w:p w14:paraId="4A710F6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25. </w:t>
      </w:r>
      <w:r w:rsidRPr="00250FBC">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6E69C61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26. </w:t>
      </w:r>
      <w:r w:rsidRPr="00250FBC">
        <w:rPr>
          <w:rFonts w:ascii="Arial" w:hAnsi="Arial" w:cs="Arial"/>
          <w:noProof/>
          <w:sz w:val="22"/>
        </w:rPr>
        <w:tab/>
        <w:t xml:space="preserve">Beausang JF, Wheeler AJ, Chan NH, Hanft VR, Dirbas FM, Jeffrey SS, et al. T cell </w:t>
      </w:r>
      <w:r w:rsidRPr="00250FBC">
        <w:rPr>
          <w:rFonts w:ascii="Arial" w:hAnsi="Arial" w:cs="Arial"/>
          <w:noProof/>
          <w:sz w:val="22"/>
        </w:rPr>
        <w:lastRenderedPageBreak/>
        <w:t xml:space="preserve">receptor sequencing of early-stage breast cancer tumors identifies altered clonal structure of the T cell repertoire. Proc Natl Acad Sci U S A. 2017; </w:t>
      </w:r>
    </w:p>
    <w:p w14:paraId="6AE1B6C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27. </w:t>
      </w:r>
      <w:r w:rsidRPr="00250FBC">
        <w:rPr>
          <w:rFonts w:ascii="Arial" w:hAnsi="Arial" w:cs="Arial"/>
          <w:noProof/>
          <w:sz w:val="22"/>
        </w:rPr>
        <w:tab/>
        <w:t xml:space="preserve">Zheng C, Zheng L, Yoo JK, Guo H, Zhang Y, Guo X, et al. Landscape of Infiltrating T Cells in Liver Cancer Revealed by Single-Cell Sequencing. Cell. 2017; </w:t>
      </w:r>
    </w:p>
    <w:p w14:paraId="702EAAEA"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28. </w:t>
      </w:r>
      <w:r w:rsidRPr="00250FBC">
        <w:rPr>
          <w:rFonts w:ascii="Arial" w:hAnsi="Arial" w:cs="Arial"/>
          <w:noProof/>
          <w:sz w:val="22"/>
        </w:rPr>
        <w:tab/>
        <w:t xml:space="preserve">Baldan V, Griffiths R, Hawkins RE, Gilham DE. Efficient and reproducible generation of tumour-infiltrating lymphocytes for renal cell carcinoma. Br J Cancer. 2015; </w:t>
      </w:r>
    </w:p>
    <w:p w14:paraId="495FC81F"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29. </w:t>
      </w:r>
      <w:r w:rsidRPr="00250FBC">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7A8D238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30. </w:t>
      </w:r>
      <w:r w:rsidRPr="00250FBC">
        <w:rPr>
          <w:rFonts w:ascii="Arial" w:hAnsi="Arial" w:cs="Arial"/>
          <w:noProof/>
          <w:sz w:val="22"/>
        </w:rPr>
        <w:tab/>
        <w:t xml:space="preserve">Stuart T, Butler A, Hoffman P, Hafemeister C, Papalexi E, Mauck WM, et al. Comprehensive Integration of Single-Cell Data. Cell. 2019; </w:t>
      </w:r>
    </w:p>
    <w:p w14:paraId="1397E854"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31. </w:t>
      </w:r>
      <w:r w:rsidRPr="00250FBC">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45B897B0"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32. </w:t>
      </w:r>
      <w:r w:rsidRPr="00250FBC">
        <w:rPr>
          <w:rFonts w:ascii="Arial" w:hAnsi="Arial" w:cs="Arial"/>
          <w:noProof/>
          <w:sz w:val="22"/>
        </w:rPr>
        <w:tab/>
        <w:t xml:space="preserve">Hafemeister C, Satija R. Normalization and variance stabilization of single-cell RNA-seq data using regularized negative binomial regression. Genome Biol. 2019; </w:t>
      </w:r>
    </w:p>
    <w:p w14:paraId="55A0051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33. </w:t>
      </w:r>
      <w:r w:rsidRPr="00250FBC">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76F122FE"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34. </w:t>
      </w:r>
      <w:r w:rsidRPr="00250FBC">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1BD854F9"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35. </w:t>
      </w:r>
      <w:r w:rsidRPr="00250FBC">
        <w:rPr>
          <w:rFonts w:ascii="Arial" w:hAnsi="Arial" w:cs="Arial"/>
          <w:noProof/>
          <w:sz w:val="22"/>
        </w:rPr>
        <w:tab/>
        <w:t xml:space="preserve">Dunham I, Kundaje A, Aldred SF, Collins PJ, Davis CA, Doyle F, et al. An integrated encyclopedia of DNA elements in the human genome. Nature. 2012; </w:t>
      </w:r>
    </w:p>
    <w:p w14:paraId="5540A11C"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36. </w:t>
      </w:r>
      <w:r w:rsidRPr="00250FBC">
        <w:rPr>
          <w:rFonts w:ascii="Arial" w:hAnsi="Arial" w:cs="Arial"/>
          <w:noProof/>
          <w:sz w:val="22"/>
        </w:rPr>
        <w:tab/>
        <w:t xml:space="preserve">Borcherding N, Bormann NL. scRepertoire: An R-based toolkit for single-cell immune receptor analysis. F1000Research. 2020; </w:t>
      </w:r>
    </w:p>
    <w:p w14:paraId="2B71820B" w14:textId="77777777" w:rsidR="00250FBC" w:rsidRPr="00250FBC" w:rsidRDefault="00250FBC" w:rsidP="00250FBC">
      <w:pPr>
        <w:widowControl w:val="0"/>
        <w:autoSpaceDE w:val="0"/>
        <w:autoSpaceDN w:val="0"/>
        <w:adjustRightInd w:val="0"/>
        <w:spacing w:line="480" w:lineRule="auto"/>
        <w:ind w:left="640" w:hanging="640"/>
        <w:rPr>
          <w:rFonts w:ascii="Arial" w:hAnsi="Arial" w:cs="Arial"/>
          <w:noProof/>
          <w:sz w:val="22"/>
        </w:rPr>
      </w:pPr>
      <w:r w:rsidRPr="00250FBC">
        <w:rPr>
          <w:rFonts w:ascii="Arial" w:hAnsi="Arial" w:cs="Arial"/>
          <w:noProof/>
          <w:sz w:val="22"/>
        </w:rPr>
        <w:t xml:space="preserve">37. </w:t>
      </w:r>
      <w:r w:rsidRPr="00250FBC">
        <w:rPr>
          <w:rFonts w:ascii="Arial" w:hAnsi="Arial" w:cs="Arial"/>
          <w:noProof/>
          <w:sz w:val="22"/>
        </w:rPr>
        <w:tab/>
        <w:t xml:space="preserve">Street K, Risso D, Fletcher RB, Das D, Ngai J, Yosef N, et al. Slingshot: Cell lineage and </w:t>
      </w:r>
      <w:r w:rsidRPr="00250FBC">
        <w:rPr>
          <w:rFonts w:ascii="Arial" w:hAnsi="Arial" w:cs="Arial"/>
          <w:noProof/>
          <w:sz w:val="22"/>
        </w:rPr>
        <w:lastRenderedPageBreak/>
        <w:t xml:space="preserve">pseudotime inference for single-cell transcriptomics. BMC Genomics. 2018; </w:t>
      </w:r>
    </w:p>
    <w:p w14:paraId="25CAF47A" w14:textId="3C96B5CA" w:rsidR="002E4EFB" w:rsidRPr="002E4EFB" w:rsidRDefault="002E4EFB" w:rsidP="00250FBC">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4A61FBEF" w14:textId="66DE5C91"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7FA3D516" w:rsidR="009A5803" w:rsidRDefault="002E5D1B" w:rsidP="00276C2F">
      <w:pPr>
        <w:spacing w:line="480" w:lineRule="auto"/>
        <w:rPr>
          <w:rFonts w:ascii="Arial" w:hAnsi="Arial" w:cs="Arial"/>
          <w:sz w:val="22"/>
          <w:szCs w:val="22"/>
        </w:rPr>
      </w:pPr>
      <w:r>
        <w:rPr>
          <w:rFonts w:ascii="Arial" w:hAnsi="Arial" w:cs="Arial"/>
          <w:noProof/>
          <w:sz w:val="22"/>
          <w:szCs w:val="22"/>
        </w:rPr>
        <w:drawing>
          <wp:inline distT="0" distB="0" distL="0" distR="0" wp14:anchorId="4B329DC2" wp14:editId="412C3538">
            <wp:extent cx="5943600" cy="3210560"/>
            <wp:effectExtent l="0" t="0" r="0" b="2540"/>
            <wp:docPr id="4" name="Picture 4" descr="A picture containing sitting, colorful, screen,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416FBDDF"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ANOVA, lack of p-values equates to value &gt; 0.05.</w:t>
      </w:r>
    </w:p>
    <w:p w14:paraId="15B908F4" w14:textId="4F87AB6E" w:rsidR="009E2322" w:rsidRDefault="009E2322" w:rsidP="00276C2F">
      <w:pPr>
        <w:spacing w:line="480" w:lineRule="auto"/>
        <w:rPr>
          <w:rFonts w:ascii="Arial" w:hAnsi="Arial" w:cs="Arial"/>
          <w:sz w:val="22"/>
          <w:szCs w:val="22"/>
        </w:rPr>
      </w:pPr>
    </w:p>
    <w:p w14:paraId="6BFBF397" w14:textId="4C215B93" w:rsidR="00BF0F9E" w:rsidRPr="00BF0F9E" w:rsidRDefault="00BF0F9E" w:rsidP="00BF0F9E">
      <w:pPr>
        <w:pStyle w:val="ListParagraph"/>
        <w:numPr>
          <w:ilvl w:val="0"/>
          <w:numId w:val="1"/>
        </w:numPr>
        <w:spacing w:line="480" w:lineRule="auto"/>
        <w:rPr>
          <w:rFonts w:ascii="Arial" w:hAnsi="Arial" w:cs="Arial"/>
          <w:sz w:val="22"/>
          <w:szCs w:val="22"/>
        </w:rPr>
      </w:pPr>
      <w:r>
        <w:rPr>
          <w:noProof/>
        </w:rPr>
        <w:lastRenderedPageBreak/>
        <w:drawing>
          <wp:inline distT="0" distB="0" distL="0" distR="0" wp14:anchorId="313D8D02" wp14:editId="6E6F527A">
            <wp:extent cx="5943600" cy="4486910"/>
            <wp:effectExtent l="0" t="0" r="0" b="0"/>
            <wp:docPr id="5" name="Picture 5" descr="A picture containing foo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86910"/>
                    </a:xfrm>
                    <a:prstGeom prst="rect">
                      <a:avLst/>
                    </a:prstGeom>
                  </pic:spPr>
                </pic:pic>
              </a:graphicData>
            </a:graphic>
          </wp:inline>
        </w:drawing>
      </w:r>
      <w:r w:rsidRPr="00BF0F9E">
        <w:rPr>
          <w:rFonts w:ascii="Arial" w:hAnsi="Arial" w:cs="Arial"/>
          <w:b/>
          <w:bCs/>
          <w:sz w:val="22"/>
          <w:szCs w:val="22"/>
        </w:rPr>
        <w:t xml:space="preserve">Figure 2: CD8+ T cells in ccRCC tumors exhibit a transcriptional continuum with distinct populations. A. </w:t>
      </w:r>
      <w:r w:rsidRPr="00BF0F9E">
        <w:rPr>
          <w:rFonts w:ascii="Arial" w:hAnsi="Arial" w:cs="Arial"/>
          <w:sz w:val="22"/>
          <w:szCs w:val="22"/>
        </w:rPr>
        <w:t xml:space="preserve">UMAP </w:t>
      </w:r>
      <w:proofErr w:type="spellStart"/>
      <w:r w:rsidRPr="00BF0F9E">
        <w:rPr>
          <w:rFonts w:ascii="Arial" w:hAnsi="Arial" w:cs="Arial"/>
          <w:sz w:val="22"/>
          <w:szCs w:val="22"/>
        </w:rPr>
        <w:t>subclustering</w:t>
      </w:r>
      <w:proofErr w:type="spellEnd"/>
      <w:r w:rsidRPr="00BF0F9E">
        <w:rPr>
          <w:rFonts w:ascii="Arial" w:hAnsi="Arial" w:cs="Arial"/>
          <w:sz w:val="22"/>
          <w:szCs w:val="22"/>
        </w:rPr>
        <w:t xml:space="preserve"> of CD</w:t>
      </w:r>
      <w:r w:rsidR="007A2B8C">
        <w:rPr>
          <w:rFonts w:ascii="Arial" w:hAnsi="Arial" w:cs="Arial"/>
          <w:sz w:val="22"/>
          <w:szCs w:val="22"/>
        </w:rPr>
        <w:t>8</w:t>
      </w:r>
      <w:r w:rsidRPr="00BF0F9E">
        <w:rPr>
          <w:rFonts w:ascii="Arial" w:hAnsi="Arial" w:cs="Arial"/>
          <w:sz w:val="22"/>
          <w:szCs w:val="22"/>
          <w:vertAlign w:val="superscript"/>
        </w:rPr>
        <w:t>+</w:t>
      </w:r>
      <w:r w:rsidRPr="00BF0F9E">
        <w:rPr>
          <w:rFonts w:ascii="Arial" w:hAnsi="Arial" w:cs="Arial"/>
          <w:sz w:val="22"/>
          <w:szCs w:val="22"/>
        </w:rPr>
        <w:t xml:space="preserve"> T cells (original clusters </w:t>
      </w:r>
      <w:r w:rsidRPr="00BF0F9E">
        <w:rPr>
          <w:rFonts w:ascii="Arial" w:hAnsi="Arial" w:cs="Arial"/>
          <w:sz w:val="22"/>
          <w:szCs w:val="22"/>
        </w:rPr>
        <w:t>1, 8 and 9</w:t>
      </w:r>
      <w:r w:rsidRPr="00BF0F9E">
        <w:rPr>
          <w:rFonts w:ascii="Arial" w:hAnsi="Arial" w:cs="Arial"/>
          <w:sz w:val="22"/>
          <w:szCs w:val="22"/>
        </w:rPr>
        <w:t xml:space="preserve">). </w:t>
      </w:r>
      <w:r w:rsidRPr="00BF0F9E">
        <w:rPr>
          <w:rFonts w:ascii="Arial" w:hAnsi="Arial" w:cs="Arial"/>
          <w:b/>
          <w:bCs/>
          <w:sz w:val="22"/>
          <w:szCs w:val="22"/>
        </w:rPr>
        <w:t>B</w:t>
      </w:r>
      <w:r w:rsidRPr="00BF0F9E">
        <w:rPr>
          <w:rFonts w:ascii="Arial" w:hAnsi="Arial" w:cs="Arial"/>
          <w:sz w:val="22"/>
          <w:szCs w:val="22"/>
        </w:rPr>
        <w:t xml:space="preserve">. UMAP distribution of single cells by tissue type with relative percent of cells by tissue in each cluster. </w:t>
      </w:r>
      <w:r w:rsidRPr="00BF0F9E">
        <w:rPr>
          <w:rFonts w:ascii="Arial" w:hAnsi="Arial" w:cs="Arial"/>
          <w:b/>
          <w:bCs/>
          <w:sz w:val="22"/>
          <w:szCs w:val="22"/>
        </w:rPr>
        <w:t>C</w:t>
      </w:r>
      <w:r w:rsidRPr="00BF0F9E">
        <w:rPr>
          <w:rFonts w:ascii="Arial" w:hAnsi="Arial" w:cs="Arial"/>
          <w:sz w:val="22"/>
          <w:szCs w:val="22"/>
        </w:rPr>
        <w:t>. Cell cycle regression assignments for CD8+ T</w:t>
      </w:r>
      <w:r>
        <w:rPr>
          <w:rFonts w:ascii="Arial" w:hAnsi="Arial" w:cs="Arial"/>
          <w:sz w:val="22"/>
          <w:szCs w:val="22"/>
        </w:rPr>
        <w:t xml:space="preserve"> cells by </w:t>
      </w:r>
      <w:proofErr w:type="spellStart"/>
      <w:r>
        <w:rPr>
          <w:rFonts w:ascii="Arial" w:hAnsi="Arial" w:cs="Arial"/>
          <w:sz w:val="22"/>
          <w:szCs w:val="22"/>
        </w:rPr>
        <w:t>subcluster</w:t>
      </w:r>
      <w:proofErr w:type="spellEnd"/>
      <w:r>
        <w:rPr>
          <w:rFonts w:ascii="Arial" w:hAnsi="Arial" w:cs="Arial"/>
          <w:sz w:val="22"/>
          <w:szCs w:val="22"/>
        </w:rPr>
        <w:t xml:space="preserve"> assignment. </w:t>
      </w:r>
      <w:r w:rsidRPr="00BF0F9E">
        <w:rPr>
          <w:rFonts w:ascii="Arial" w:hAnsi="Arial" w:cs="Arial"/>
          <w:b/>
          <w:bCs/>
          <w:sz w:val="22"/>
          <w:szCs w:val="22"/>
        </w:rPr>
        <w:t>D</w:t>
      </w:r>
      <w:r w:rsidRPr="00BF0F9E">
        <w:rPr>
          <w:rFonts w:ascii="Arial" w:hAnsi="Arial" w:cs="Arial"/>
          <w:sz w:val="22"/>
          <w:szCs w:val="22"/>
        </w:rPr>
        <w:t xml:space="preserve">. Percent of cells expressing selected markers for T cell biology. </w:t>
      </w:r>
      <w:r>
        <w:rPr>
          <w:rFonts w:ascii="Arial" w:hAnsi="Arial" w:cs="Arial"/>
          <w:b/>
          <w:bCs/>
          <w:sz w:val="22"/>
          <w:szCs w:val="22"/>
        </w:rPr>
        <w:t>E</w:t>
      </w:r>
      <w:r w:rsidRPr="00BF0F9E">
        <w:rPr>
          <w:rFonts w:ascii="Arial" w:hAnsi="Arial" w:cs="Arial"/>
          <w:sz w:val="22"/>
          <w:szCs w:val="22"/>
        </w:rPr>
        <w:t>.</w:t>
      </w:r>
      <w:r w:rsidR="007A2B8C">
        <w:rPr>
          <w:rFonts w:ascii="Arial" w:hAnsi="Arial" w:cs="Arial"/>
          <w:sz w:val="22"/>
          <w:szCs w:val="22"/>
        </w:rPr>
        <w:t xml:space="preserve"> Z-transformed normalized enrichment scores from</w:t>
      </w:r>
      <w:r>
        <w:rPr>
          <w:rFonts w:ascii="Arial" w:hAnsi="Arial" w:cs="Arial"/>
          <w:sz w:val="22"/>
          <w:szCs w:val="22"/>
        </w:rPr>
        <w:t xml:space="preserve"> ssGSEA  for </w:t>
      </w:r>
      <w:r w:rsidR="007A2B8C">
        <w:rPr>
          <w:rFonts w:ascii="Arial" w:hAnsi="Arial" w:cs="Arial"/>
          <w:sz w:val="22"/>
          <w:szCs w:val="22"/>
        </w:rPr>
        <w:t xml:space="preserve">selected gene sets by </w:t>
      </w:r>
      <w:proofErr w:type="spellStart"/>
      <w:r w:rsidR="007A2B8C">
        <w:rPr>
          <w:rFonts w:ascii="Arial" w:hAnsi="Arial" w:cs="Arial"/>
          <w:sz w:val="22"/>
          <w:szCs w:val="22"/>
        </w:rPr>
        <w:t>subcluster</w:t>
      </w:r>
      <w:proofErr w:type="spellEnd"/>
      <w:r w:rsidR="007A2B8C">
        <w:rPr>
          <w:rFonts w:ascii="Arial" w:hAnsi="Arial" w:cs="Arial"/>
          <w:sz w:val="22"/>
          <w:szCs w:val="22"/>
        </w:rPr>
        <w:t>.</w:t>
      </w:r>
      <w:r w:rsidRPr="00BF0F9E">
        <w:rPr>
          <w:rFonts w:ascii="Arial" w:hAnsi="Arial" w:cs="Arial"/>
          <w:sz w:val="22"/>
          <w:szCs w:val="22"/>
        </w:rPr>
        <w:t xml:space="preserve"> </w:t>
      </w:r>
      <w:r w:rsidR="007A2B8C">
        <w:rPr>
          <w:rFonts w:ascii="Arial" w:hAnsi="Arial" w:cs="Arial"/>
          <w:b/>
          <w:bCs/>
          <w:sz w:val="22"/>
          <w:szCs w:val="22"/>
        </w:rPr>
        <w:t>F</w:t>
      </w:r>
      <w:r w:rsidRPr="00BF0F9E">
        <w:rPr>
          <w:rFonts w:ascii="Arial" w:hAnsi="Arial" w:cs="Arial"/>
          <w:sz w:val="22"/>
          <w:szCs w:val="22"/>
        </w:rPr>
        <w:t xml:space="preserve">. </w:t>
      </w:r>
      <w:r w:rsidR="007A2B8C">
        <w:rPr>
          <w:rFonts w:ascii="Arial" w:hAnsi="Arial" w:cs="Arial"/>
          <w:sz w:val="22"/>
          <w:szCs w:val="22"/>
        </w:rPr>
        <w:t>CD8</w:t>
      </w:r>
      <w:r w:rsidR="007A2B8C" w:rsidRPr="007A2B8C">
        <w:rPr>
          <w:rFonts w:ascii="Arial" w:hAnsi="Arial" w:cs="Arial"/>
          <w:sz w:val="22"/>
          <w:szCs w:val="22"/>
          <w:vertAlign w:val="superscript"/>
        </w:rPr>
        <w:t>+</w:t>
      </w:r>
      <w:r w:rsidR="007A2B8C">
        <w:rPr>
          <w:rFonts w:ascii="Arial" w:hAnsi="Arial" w:cs="Arial"/>
          <w:sz w:val="22"/>
          <w:szCs w:val="22"/>
        </w:rPr>
        <w:t xml:space="preserve"> UMAP of </w:t>
      </w:r>
      <w:proofErr w:type="spellStart"/>
      <w:r w:rsidR="007A2B8C">
        <w:rPr>
          <w:rFonts w:ascii="Arial" w:hAnsi="Arial" w:cs="Arial"/>
          <w:sz w:val="22"/>
          <w:szCs w:val="22"/>
        </w:rPr>
        <w:t>subclusters</w:t>
      </w:r>
      <w:proofErr w:type="spellEnd"/>
      <w:r w:rsidR="007A2B8C">
        <w:rPr>
          <w:rFonts w:ascii="Arial" w:hAnsi="Arial" w:cs="Arial"/>
          <w:sz w:val="22"/>
          <w:szCs w:val="22"/>
        </w:rPr>
        <w:t xml:space="preserve"> (upper panel) and c</w:t>
      </w:r>
      <w:r w:rsidRPr="00BF0F9E">
        <w:rPr>
          <w:rFonts w:ascii="Arial" w:hAnsi="Arial" w:cs="Arial"/>
          <w:sz w:val="22"/>
          <w:szCs w:val="22"/>
        </w:rPr>
        <w:t>lonotype frequency</w:t>
      </w:r>
      <w:r w:rsidR="007A2B8C">
        <w:rPr>
          <w:rFonts w:ascii="Arial" w:hAnsi="Arial" w:cs="Arial"/>
          <w:sz w:val="22"/>
          <w:szCs w:val="22"/>
        </w:rPr>
        <w:t xml:space="preserve"> (lower panel)</w:t>
      </w:r>
      <w:r w:rsidRPr="00BF0F9E">
        <w:rPr>
          <w:rFonts w:ascii="Arial" w:hAnsi="Arial" w:cs="Arial"/>
          <w:sz w:val="22"/>
          <w:szCs w:val="22"/>
        </w:rPr>
        <w:t xml:space="preserve"> </w:t>
      </w:r>
      <w:r w:rsidR="007A2B8C">
        <w:rPr>
          <w:rFonts w:ascii="Arial" w:hAnsi="Arial" w:cs="Arial"/>
          <w:sz w:val="22"/>
          <w:szCs w:val="22"/>
        </w:rPr>
        <w:t xml:space="preserve">overlaid </w:t>
      </w:r>
      <w:r w:rsidRPr="00BF0F9E">
        <w:rPr>
          <w:rFonts w:ascii="Arial" w:hAnsi="Arial" w:cs="Arial"/>
          <w:sz w:val="22"/>
          <w:szCs w:val="22"/>
        </w:rPr>
        <w:t xml:space="preserve">with slingshot-based </w:t>
      </w:r>
      <w:r w:rsidRPr="00BF0F9E">
        <w:rPr>
          <w:rFonts w:ascii="Arial" w:hAnsi="Arial" w:cs="Arial"/>
          <w:sz w:val="22"/>
          <w:szCs w:val="22"/>
        </w:rPr>
        <w:fldChar w:fldCharType="begin" w:fldLock="1"/>
      </w:r>
      <w:r w:rsidR="007A2B8C">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Pr="00BF0F9E">
        <w:rPr>
          <w:rFonts w:ascii="Arial" w:hAnsi="Arial" w:cs="Arial"/>
          <w:sz w:val="22"/>
          <w:szCs w:val="22"/>
        </w:rPr>
        <w:fldChar w:fldCharType="separate"/>
      </w:r>
      <w:r w:rsidRPr="00BF0F9E">
        <w:rPr>
          <w:rFonts w:ascii="Arial" w:hAnsi="Arial" w:cs="Arial"/>
          <w:noProof/>
          <w:sz w:val="22"/>
          <w:szCs w:val="22"/>
        </w:rPr>
        <w:t>(37)</w:t>
      </w:r>
      <w:r w:rsidRPr="00BF0F9E">
        <w:rPr>
          <w:rFonts w:ascii="Arial" w:hAnsi="Arial" w:cs="Arial"/>
          <w:sz w:val="22"/>
          <w:szCs w:val="22"/>
        </w:rPr>
        <w:fldChar w:fldCharType="end"/>
      </w:r>
      <w:r w:rsidRPr="00BF0F9E">
        <w:rPr>
          <w:rFonts w:ascii="Arial" w:hAnsi="Arial" w:cs="Arial"/>
          <w:sz w:val="22"/>
          <w:szCs w:val="22"/>
        </w:rPr>
        <w:t xml:space="preserve"> cell trajectory starting at </w:t>
      </w:r>
      <w:proofErr w:type="spellStart"/>
      <w:r w:rsidR="007A2B8C">
        <w:rPr>
          <w:rFonts w:ascii="Arial" w:hAnsi="Arial" w:cs="Arial"/>
          <w:sz w:val="22"/>
          <w:szCs w:val="22"/>
        </w:rPr>
        <w:t>subcluster</w:t>
      </w:r>
      <w:proofErr w:type="spellEnd"/>
      <w:r w:rsidR="007A2B8C">
        <w:rPr>
          <w:rFonts w:ascii="Arial" w:hAnsi="Arial" w:cs="Arial"/>
          <w:sz w:val="22"/>
          <w:szCs w:val="22"/>
        </w:rPr>
        <w:t xml:space="preserve"> 4 and proceeding into 5 distinct curves: branch 1 (B</w:t>
      </w:r>
      <w:r w:rsidR="007A2B8C" w:rsidRPr="007A2B8C">
        <w:rPr>
          <w:rFonts w:ascii="Arial" w:hAnsi="Arial" w:cs="Arial"/>
          <w:sz w:val="22"/>
          <w:szCs w:val="22"/>
          <w:vertAlign w:val="subscript"/>
        </w:rPr>
        <w:t>1</w:t>
      </w:r>
      <w:r w:rsidR="007A2B8C">
        <w:rPr>
          <w:rFonts w:ascii="Arial" w:hAnsi="Arial" w:cs="Arial"/>
          <w:sz w:val="22"/>
          <w:szCs w:val="22"/>
        </w:rPr>
        <w:t>), B</w:t>
      </w:r>
      <w:r w:rsidR="007A2B8C" w:rsidRPr="007A2B8C">
        <w:rPr>
          <w:rFonts w:ascii="Arial" w:hAnsi="Arial" w:cs="Arial"/>
          <w:sz w:val="22"/>
          <w:szCs w:val="22"/>
          <w:vertAlign w:val="subscript"/>
        </w:rPr>
        <w:t>2</w:t>
      </w:r>
      <w:r w:rsidR="007A2B8C">
        <w:rPr>
          <w:rFonts w:ascii="Arial" w:hAnsi="Arial" w:cs="Arial"/>
          <w:sz w:val="22"/>
          <w:szCs w:val="22"/>
        </w:rPr>
        <w:t>, B</w:t>
      </w:r>
      <w:r w:rsidR="007A2B8C" w:rsidRPr="007A2B8C">
        <w:rPr>
          <w:rFonts w:ascii="Arial" w:hAnsi="Arial" w:cs="Arial"/>
          <w:sz w:val="22"/>
          <w:szCs w:val="22"/>
          <w:vertAlign w:val="subscript"/>
        </w:rPr>
        <w:t>3</w:t>
      </w:r>
      <w:r w:rsidR="007A2B8C">
        <w:rPr>
          <w:rFonts w:ascii="Arial" w:hAnsi="Arial" w:cs="Arial"/>
          <w:sz w:val="22"/>
          <w:szCs w:val="22"/>
        </w:rPr>
        <w:t>, B</w:t>
      </w:r>
      <w:r w:rsidR="007A2B8C" w:rsidRPr="007A2B8C">
        <w:rPr>
          <w:rFonts w:ascii="Arial" w:hAnsi="Arial" w:cs="Arial"/>
          <w:sz w:val="22"/>
          <w:szCs w:val="22"/>
          <w:vertAlign w:val="subscript"/>
        </w:rPr>
        <w:t>4</w:t>
      </w:r>
      <w:r w:rsidR="007A2B8C">
        <w:rPr>
          <w:rFonts w:ascii="Arial" w:hAnsi="Arial" w:cs="Arial"/>
          <w:sz w:val="22"/>
          <w:szCs w:val="22"/>
        </w:rPr>
        <w:t>, and B</w:t>
      </w:r>
      <w:r w:rsidR="007A2B8C" w:rsidRPr="007A2B8C">
        <w:rPr>
          <w:rFonts w:ascii="Arial" w:hAnsi="Arial" w:cs="Arial"/>
          <w:sz w:val="22"/>
          <w:szCs w:val="22"/>
          <w:vertAlign w:val="subscript"/>
        </w:rPr>
        <w:t>5</w:t>
      </w:r>
      <w:r w:rsidR="007A2B8C">
        <w:rPr>
          <w:rFonts w:ascii="Arial" w:hAnsi="Arial" w:cs="Arial"/>
          <w:sz w:val="22"/>
          <w:szCs w:val="22"/>
        </w:rPr>
        <w:t xml:space="preserve">. </w:t>
      </w:r>
      <w:r w:rsidR="007A2B8C">
        <w:rPr>
          <w:rFonts w:ascii="Arial" w:hAnsi="Arial" w:cs="Arial"/>
          <w:b/>
          <w:bCs/>
          <w:sz w:val="22"/>
          <w:szCs w:val="22"/>
        </w:rPr>
        <w:t>G</w:t>
      </w:r>
      <w:r w:rsidRPr="00BF0F9E">
        <w:rPr>
          <w:rFonts w:ascii="Arial" w:hAnsi="Arial" w:cs="Arial"/>
          <w:sz w:val="22"/>
          <w:szCs w:val="22"/>
        </w:rPr>
        <w:t xml:space="preserve">. </w:t>
      </w:r>
      <w:r w:rsidR="007A2B8C">
        <w:rPr>
          <w:rFonts w:ascii="Arial" w:hAnsi="Arial" w:cs="Arial"/>
          <w:sz w:val="22"/>
          <w:szCs w:val="22"/>
        </w:rPr>
        <w:t xml:space="preserve">Normalized enrichment scores for therapeutic response or lack of response to anti-PD-1 </w:t>
      </w:r>
      <w:r w:rsidR="007A2B8C">
        <w:rPr>
          <w:rFonts w:ascii="Arial" w:hAnsi="Arial" w:cs="Arial"/>
          <w:sz w:val="22"/>
          <w:szCs w:val="22"/>
        </w:rPr>
        <w:lastRenderedPageBreak/>
        <w:t>therapy across the CD8+ T cells (upper panel) and by pseudotime of each branch (lower panel).</w:t>
      </w:r>
    </w:p>
    <w:p w14:paraId="22C8775A" w14:textId="3BBCCCEF" w:rsidR="00BF0F9E" w:rsidRDefault="00BF0F9E" w:rsidP="00276C2F">
      <w:pPr>
        <w:spacing w:line="480" w:lineRule="auto"/>
        <w:rPr>
          <w:rFonts w:ascii="Arial" w:hAnsi="Arial" w:cs="Arial"/>
          <w:sz w:val="22"/>
          <w:szCs w:val="22"/>
        </w:rPr>
      </w:pPr>
    </w:p>
    <w:p w14:paraId="6D160E61" w14:textId="28A4F06B" w:rsidR="009E2322" w:rsidRPr="00761DC0" w:rsidRDefault="00014CCE" w:rsidP="00276C2F">
      <w:pPr>
        <w:spacing w:line="480" w:lineRule="auto"/>
        <w:rPr>
          <w:rFonts w:ascii="Arial" w:hAnsi="Arial" w:cs="Arial"/>
          <w:sz w:val="22"/>
          <w:szCs w:val="22"/>
        </w:rPr>
      </w:pPr>
      <w:r>
        <w:rPr>
          <w:rFonts w:ascii="Arial" w:hAnsi="Arial" w:cs="Arial"/>
          <w:b/>
          <w:bCs/>
          <w:noProof/>
          <w:sz w:val="22"/>
          <w:szCs w:val="22"/>
        </w:rPr>
        <w:drawing>
          <wp:inline distT="0" distB="0" distL="0" distR="0" wp14:anchorId="387BD964" wp14:editId="09A979F1">
            <wp:extent cx="5943600" cy="3620135"/>
            <wp:effectExtent l="0" t="0" r="0" b="0"/>
            <wp:docPr id="3" name="Picture 3" descr="A picture containing sitting, holding, colorfu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r w:rsidR="009E2322" w:rsidRPr="009E2322">
        <w:rPr>
          <w:rFonts w:ascii="Arial" w:hAnsi="Arial" w:cs="Arial"/>
          <w:b/>
          <w:bCs/>
          <w:sz w:val="22"/>
          <w:szCs w:val="22"/>
        </w:rPr>
        <w:t xml:space="preserve">Figure </w:t>
      </w:r>
      <w:r w:rsidR="00B7078C">
        <w:rPr>
          <w:rFonts w:ascii="Arial" w:hAnsi="Arial" w:cs="Arial"/>
          <w:b/>
          <w:bCs/>
          <w:sz w:val="22"/>
          <w:szCs w:val="22"/>
        </w:rPr>
        <w:t>3</w:t>
      </w:r>
      <w:r w:rsidR="009E2322" w:rsidRPr="009E2322">
        <w:rPr>
          <w:rFonts w:ascii="Arial" w:hAnsi="Arial" w:cs="Arial"/>
          <w:b/>
          <w:bCs/>
          <w:sz w:val="22"/>
          <w:szCs w:val="22"/>
        </w:rPr>
        <w:t>: CD4 T cell characterization finds disparate intratumoral CD4 populations.</w:t>
      </w:r>
      <w:r w:rsidR="009E2322">
        <w:rPr>
          <w:rFonts w:ascii="Arial" w:hAnsi="Arial" w:cs="Arial"/>
          <w:sz w:val="22"/>
          <w:szCs w:val="22"/>
        </w:rPr>
        <w:t xml:space="preserve"> </w:t>
      </w:r>
      <w:r w:rsidR="009E2322" w:rsidRPr="009E2322">
        <w:rPr>
          <w:rFonts w:ascii="Arial" w:hAnsi="Arial" w:cs="Arial"/>
          <w:b/>
          <w:bCs/>
          <w:sz w:val="22"/>
          <w:szCs w:val="22"/>
        </w:rPr>
        <w:t>A</w:t>
      </w:r>
      <w:r w:rsidR="009E2322">
        <w:rPr>
          <w:rFonts w:ascii="Arial" w:hAnsi="Arial" w:cs="Arial"/>
          <w:sz w:val="22"/>
          <w:szCs w:val="22"/>
        </w:rPr>
        <w:t xml:space="preserve">. UMAP </w:t>
      </w:r>
      <w:proofErr w:type="spellStart"/>
      <w:r w:rsidR="009E2322">
        <w:rPr>
          <w:rFonts w:ascii="Arial" w:hAnsi="Arial" w:cs="Arial"/>
          <w:sz w:val="22"/>
          <w:szCs w:val="22"/>
        </w:rPr>
        <w:t>subclustering</w:t>
      </w:r>
      <w:proofErr w:type="spellEnd"/>
      <w:r w:rsidR="009E2322">
        <w:rPr>
          <w:rFonts w:ascii="Arial" w:hAnsi="Arial" w:cs="Arial"/>
          <w:sz w:val="22"/>
          <w:szCs w:val="22"/>
        </w:rPr>
        <w:t xml:space="preserve"> of CD4</w:t>
      </w:r>
      <w:r w:rsidR="009E2322">
        <w:rPr>
          <w:rFonts w:ascii="Arial" w:hAnsi="Arial" w:cs="Arial"/>
          <w:sz w:val="22"/>
          <w:szCs w:val="22"/>
          <w:vertAlign w:val="superscript"/>
        </w:rPr>
        <w:t>+</w:t>
      </w:r>
      <w:r w:rsidR="009E2322">
        <w:rPr>
          <w:rFonts w:ascii="Arial" w:hAnsi="Arial" w:cs="Arial"/>
          <w:sz w:val="22"/>
          <w:szCs w:val="22"/>
        </w:rPr>
        <w:t xml:space="preserve"> T cells (original clusters 4, 6, 10, 13, 15, and 20). </w:t>
      </w:r>
      <w:r w:rsidR="009E2322" w:rsidRPr="009E2322">
        <w:rPr>
          <w:rFonts w:ascii="Arial" w:hAnsi="Arial" w:cs="Arial"/>
          <w:b/>
          <w:bCs/>
          <w:sz w:val="22"/>
          <w:szCs w:val="22"/>
        </w:rPr>
        <w:t>B</w:t>
      </w:r>
      <w:r w:rsidR="009E2322">
        <w:rPr>
          <w:rFonts w:ascii="Arial" w:hAnsi="Arial" w:cs="Arial"/>
          <w:sz w:val="22"/>
          <w:szCs w:val="22"/>
        </w:rPr>
        <w:t xml:space="preserve">. UMAP distribution of single cells by tissue type with relative percent of cells by tissue in each cluster. </w:t>
      </w:r>
      <w:r w:rsidR="009E2322" w:rsidRPr="009E2322">
        <w:rPr>
          <w:rFonts w:ascii="Arial" w:hAnsi="Arial" w:cs="Arial"/>
          <w:b/>
          <w:bCs/>
          <w:sz w:val="22"/>
          <w:szCs w:val="22"/>
        </w:rPr>
        <w:t>C</w:t>
      </w:r>
      <w:r w:rsidR="009E2322">
        <w:rPr>
          <w:rFonts w:ascii="Arial" w:hAnsi="Arial" w:cs="Arial"/>
          <w:sz w:val="22"/>
          <w:szCs w:val="22"/>
        </w:rPr>
        <w:t xml:space="preserve">. Percent of cells expressing selected markers for T cell biology. </w:t>
      </w:r>
      <w:r w:rsidR="009E2322" w:rsidRPr="00014CCE">
        <w:rPr>
          <w:rFonts w:ascii="Arial" w:hAnsi="Arial" w:cs="Arial"/>
          <w:b/>
          <w:bCs/>
          <w:sz w:val="22"/>
          <w:szCs w:val="22"/>
        </w:rPr>
        <w:t>D</w:t>
      </w:r>
      <w:r w:rsidR="009E2322">
        <w:rPr>
          <w:rFonts w:ascii="Arial" w:hAnsi="Arial" w:cs="Arial"/>
          <w:sz w:val="22"/>
          <w:szCs w:val="22"/>
        </w:rPr>
        <w:t xml:space="preserve">. Percentage difference (∆ </w:t>
      </w:r>
      <w:r>
        <w:rPr>
          <w:rFonts w:ascii="Arial" w:hAnsi="Arial" w:cs="Arial"/>
          <w:sz w:val="22"/>
          <w:szCs w:val="22"/>
        </w:rPr>
        <w:t>percent of cells</w:t>
      </w:r>
      <w:r w:rsidR="009E2322">
        <w:rPr>
          <w:rFonts w:ascii="Arial" w:hAnsi="Arial" w:cs="Arial"/>
          <w:sz w:val="22"/>
          <w:szCs w:val="22"/>
        </w:rPr>
        <w:t>) and log-fold change based on the Wilcoxon rank sum test results for differential gene expression comparing TI to PB CD4</w:t>
      </w:r>
      <w:r w:rsidR="009E2322" w:rsidRPr="00D67B0C">
        <w:rPr>
          <w:rFonts w:ascii="Arial" w:hAnsi="Arial" w:cs="Arial"/>
          <w:sz w:val="22"/>
          <w:szCs w:val="22"/>
          <w:vertAlign w:val="superscript"/>
        </w:rPr>
        <w:t>+</w:t>
      </w:r>
      <w:r w:rsidR="009E2322">
        <w:rPr>
          <w:rFonts w:ascii="Arial" w:hAnsi="Arial" w:cs="Arial"/>
          <w:sz w:val="22"/>
          <w:szCs w:val="22"/>
        </w:rPr>
        <w:t xml:space="preserve"> T cells in ccRCC patients</w:t>
      </w:r>
      <w:r>
        <w:rPr>
          <w:rFonts w:ascii="Arial" w:hAnsi="Arial" w:cs="Arial"/>
          <w:sz w:val="22"/>
          <w:szCs w:val="22"/>
        </w:rPr>
        <w:t xml:space="preserve"> (left panel), colored points indicate adjusted p-values &lt; 0.05. Right panel</w:t>
      </w:r>
      <w:r w:rsidR="009E2322">
        <w:rPr>
          <w:rFonts w:ascii="Arial" w:hAnsi="Arial" w:cs="Arial"/>
          <w:sz w:val="22"/>
          <w:szCs w:val="22"/>
        </w:rPr>
        <w:t xml:space="preserve"> </w:t>
      </w:r>
      <w:r>
        <w:rPr>
          <w:rFonts w:ascii="Arial" w:hAnsi="Arial" w:cs="Arial"/>
          <w:sz w:val="22"/>
          <w:szCs w:val="22"/>
        </w:rPr>
        <w:t>includes</w:t>
      </w:r>
      <w:r w:rsidR="009E2322">
        <w:rPr>
          <w:rFonts w:ascii="Arial" w:hAnsi="Arial" w:cs="Arial"/>
          <w:sz w:val="22"/>
          <w:szCs w:val="22"/>
        </w:rPr>
        <w:t xml:space="preserve"> top 10 markers for TI-predominant CD4</w:t>
      </w:r>
      <w:r w:rsidR="009E2322" w:rsidRPr="00014CCE">
        <w:rPr>
          <w:rFonts w:ascii="Arial" w:hAnsi="Arial" w:cs="Arial"/>
          <w:sz w:val="22"/>
          <w:szCs w:val="22"/>
          <w:vertAlign w:val="superscript"/>
        </w:rPr>
        <w:t>+</w:t>
      </w:r>
      <w:r w:rsidR="009E2322">
        <w:rPr>
          <w:rFonts w:ascii="Arial" w:hAnsi="Arial" w:cs="Arial"/>
          <w:sz w:val="22"/>
          <w:szCs w:val="22"/>
        </w:rPr>
        <w:t xml:space="preserve"> </w:t>
      </w:r>
      <w:proofErr w:type="spellStart"/>
      <w:r w:rsidR="009E2322">
        <w:rPr>
          <w:rFonts w:ascii="Arial" w:hAnsi="Arial" w:cs="Arial"/>
          <w:sz w:val="22"/>
          <w:szCs w:val="22"/>
        </w:rPr>
        <w:t>subclusters</w:t>
      </w:r>
      <w:proofErr w:type="spellEnd"/>
      <w:r w:rsidR="009E2322">
        <w:rPr>
          <w:rFonts w:ascii="Arial" w:hAnsi="Arial" w:cs="Arial"/>
          <w:sz w:val="22"/>
          <w:szCs w:val="22"/>
        </w:rPr>
        <w:t xml:space="preserve">. </w:t>
      </w:r>
      <w:r>
        <w:rPr>
          <w:rFonts w:ascii="Arial" w:hAnsi="Arial" w:cs="Arial"/>
          <w:sz w:val="22"/>
          <w:szCs w:val="22"/>
        </w:rPr>
        <w:t xml:space="preserve">Size of points are relative percent of cells in cluster expressing the indicated mRNA species. </w:t>
      </w:r>
      <w:r w:rsidRPr="00014CCE">
        <w:rPr>
          <w:rFonts w:ascii="Arial" w:hAnsi="Arial" w:cs="Arial"/>
          <w:b/>
          <w:bCs/>
          <w:sz w:val="22"/>
          <w:szCs w:val="22"/>
        </w:rPr>
        <w:t>E</w:t>
      </w:r>
      <w:r>
        <w:rPr>
          <w:rFonts w:ascii="Arial" w:hAnsi="Arial" w:cs="Arial"/>
          <w:sz w:val="22"/>
          <w:szCs w:val="22"/>
        </w:rPr>
        <w:t>. Clonotype frequency overla</w:t>
      </w:r>
      <w:r w:rsidR="00815615">
        <w:rPr>
          <w:rFonts w:ascii="Arial" w:hAnsi="Arial" w:cs="Arial"/>
          <w:sz w:val="22"/>
          <w:szCs w:val="22"/>
        </w:rPr>
        <w:t>i</w:t>
      </w:r>
      <w:r>
        <w:rPr>
          <w:rFonts w:ascii="Arial" w:hAnsi="Arial" w:cs="Arial"/>
          <w:sz w:val="22"/>
          <w:szCs w:val="22"/>
        </w:rPr>
        <w:t xml:space="preserve">d on UMAP embedding with slingshot-based </w:t>
      </w:r>
      <w:r>
        <w:rPr>
          <w:rFonts w:ascii="Arial" w:hAnsi="Arial" w:cs="Arial"/>
          <w:sz w:val="22"/>
          <w:szCs w:val="22"/>
        </w:rPr>
        <w:fldChar w:fldCharType="begin" w:fldLock="1"/>
      </w:r>
      <w:r w:rsidR="007A2B8C">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Pr>
          <w:rFonts w:ascii="Arial" w:hAnsi="Arial" w:cs="Arial"/>
          <w:sz w:val="22"/>
          <w:szCs w:val="22"/>
        </w:rPr>
        <w:fldChar w:fldCharType="separate"/>
      </w:r>
      <w:r w:rsidRPr="00014CCE">
        <w:rPr>
          <w:rFonts w:ascii="Arial" w:hAnsi="Arial" w:cs="Arial"/>
          <w:noProof/>
          <w:sz w:val="22"/>
          <w:szCs w:val="22"/>
        </w:rPr>
        <w:t>(37)</w:t>
      </w:r>
      <w:r>
        <w:rPr>
          <w:rFonts w:ascii="Arial" w:hAnsi="Arial" w:cs="Arial"/>
          <w:sz w:val="22"/>
          <w:szCs w:val="22"/>
        </w:rPr>
        <w:fldChar w:fldCharType="end"/>
      </w:r>
      <w:r>
        <w:rPr>
          <w:rFonts w:ascii="Arial" w:hAnsi="Arial" w:cs="Arial"/>
          <w:sz w:val="22"/>
          <w:szCs w:val="22"/>
        </w:rPr>
        <w:t xml:space="preserve"> cell trajectory starting at Clusters 1 (root 1) and 3 (root 2). </w:t>
      </w:r>
      <w:r w:rsidRPr="00815615">
        <w:rPr>
          <w:rFonts w:ascii="Arial" w:hAnsi="Arial" w:cs="Arial"/>
          <w:b/>
          <w:bCs/>
          <w:sz w:val="22"/>
          <w:szCs w:val="22"/>
        </w:rPr>
        <w:t>F</w:t>
      </w:r>
      <w:r>
        <w:rPr>
          <w:rFonts w:ascii="Arial" w:hAnsi="Arial" w:cs="Arial"/>
          <w:sz w:val="22"/>
          <w:szCs w:val="22"/>
        </w:rPr>
        <w:t xml:space="preserve">. Top 10 ranked genes in pseudotime </w:t>
      </w:r>
      <w:r>
        <w:rPr>
          <w:rFonts w:ascii="Arial" w:hAnsi="Arial" w:cs="Arial"/>
          <w:sz w:val="22"/>
          <w:szCs w:val="22"/>
        </w:rPr>
        <w:lastRenderedPageBreak/>
        <w:t xml:space="preserve">generation for trajectories in E, bolded genes are overlapping between both curves. </w:t>
      </w:r>
      <w:r w:rsidR="00815615">
        <w:rPr>
          <w:rFonts w:ascii="Arial" w:hAnsi="Arial" w:cs="Arial"/>
          <w:b/>
          <w:bCs/>
          <w:sz w:val="22"/>
          <w:szCs w:val="22"/>
        </w:rPr>
        <w:t>G</w:t>
      </w:r>
      <w:r>
        <w:rPr>
          <w:rFonts w:ascii="Arial" w:hAnsi="Arial" w:cs="Arial"/>
          <w:sz w:val="22"/>
          <w:szCs w:val="22"/>
        </w:rPr>
        <w:t xml:space="preserve">. </w:t>
      </w:r>
      <w:proofErr w:type="spellStart"/>
      <w:r>
        <w:rPr>
          <w:rFonts w:ascii="Arial" w:hAnsi="Arial" w:cs="Arial"/>
          <w:sz w:val="22"/>
          <w:szCs w:val="22"/>
        </w:rPr>
        <w:t>Allvuvial</w:t>
      </w:r>
      <w:proofErr w:type="spellEnd"/>
      <w:r>
        <w:rPr>
          <w:rFonts w:ascii="Arial" w:hAnsi="Arial" w:cs="Arial"/>
          <w:sz w:val="22"/>
          <w:szCs w:val="22"/>
        </w:rPr>
        <w:t xml:space="preserve"> graph of </w:t>
      </w:r>
      <w:r w:rsidR="00815615">
        <w:rPr>
          <w:rFonts w:ascii="Arial" w:hAnsi="Arial" w:cs="Arial"/>
          <w:sz w:val="22"/>
          <w:szCs w:val="22"/>
        </w:rPr>
        <w:t>recovered</w:t>
      </w:r>
      <w:r>
        <w:rPr>
          <w:rFonts w:ascii="Arial" w:hAnsi="Arial" w:cs="Arial"/>
          <w:sz w:val="22"/>
          <w:szCs w:val="22"/>
        </w:rPr>
        <w:t xml:space="preserve"> clonotypes across single-cells by tissue type and </w:t>
      </w:r>
      <w:proofErr w:type="spellStart"/>
      <w:r>
        <w:rPr>
          <w:rFonts w:ascii="Arial" w:hAnsi="Arial" w:cs="Arial"/>
          <w:sz w:val="22"/>
          <w:szCs w:val="22"/>
        </w:rPr>
        <w:t>subcluster</w:t>
      </w:r>
      <w:proofErr w:type="spellEnd"/>
      <w:r>
        <w:rPr>
          <w:rFonts w:ascii="Arial" w:hAnsi="Arial" w:cs="Arial"/>
          <w:sz w:val="22"/>
          <w:szCs w:val="22"/>
        </w:rPr>
        <w:t xml:space="preserve">. </w:t>
      </w:r>
    </w:p>
    <w:sectPr w:rsidR="009E2322" w:rsidRPr="00761DC0"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AE73E3"/>
    <w:multiLevelType w:val="hybridMultilevel"/>
    <w:tmpl w:val="245E6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4CCE"/>
    <w:rsid w:val="00015D7C"/>
    <w:rsid w:val="00024358"/>
    <w:rsid w:val="00034385"/>
    <w:rsid w:val="000352EF"/>
    <w:rsid w:val="00040449"/>
    <w:rsid w:val="00045B3F"/>
    <w:rsid w:val="000841A4"/>
    <w:rsid w:val="000928FC"/>
    <w:rsid w:val="000A02B4"/>
    <w:rsid w:val="000B48A9"/>
    <w:rsid w:val="000B5775"/>
    <w:rsid w:val="000C164B"/>
    <w:rsid w:val="000C3E81"/>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206317"/>
    <w:rsid w:val="0021505D"/>
    <w:rsid w:val="0022606C"/>
    <w:rsid w:val="002355A8"/>
    <w:rsid w:val="0024418D"/>
    <w:rsid w:val="00244E36"/>
    <w:rsid w:val="00247762"/>
    <w:rsid w:val="00250FBC"/>
    <w:rsid w:val="00276C2F"/>
    <w:rsid w:val="002A683B"/>
    <w:rsid w:val="002B3EDD"/>
    <w:rsid w:val="002D7320"/>
    <w:rsid w:val="002D7B10"/>
    <w:rsid w:val="002E3B9B"/>
    <w:rsid w:val="002E4EFB"/>
    <w:rsid w:val="002E5D1B"/>
    <w:rsid w:val="002E735E"/>
    <w:rsid w:val="002F2B04"/>
    <w:rsid w:val="002F32A0"/>
    <w:rsid w:val="002F4160"/>
    <w:rsid w:val="003064F8"/>
    <w:rsid w:val="00323FCD"/>
    <w:rsid w:val="003245D3"/>
    <w:rsid w:val="003C4A05"/>
    <w:rsid w:val="003D1299"/>
    <w:rsid w:val="003E5B65"/>
    <w:rsid w:val="003E66F1"/>
    <w:rsid w:val="003F20A7"/>
    <w:rsid w:val="00402629"/>
    <w:rsid w:val="00427BD5"/>
    <w:rsid w:val="00436041"/>
    <w:rsid w:val="00436D1A"/>
    <w:rsid w:val="00441217"/>
    <w:rsid w:val="00477581"/>
    <w:rsid w:val="004838F1"/>
    <w:rsid w:val="004F1798"/>
    <w:rsid w:val="00516F48"/>
    <w:rsid w:val="0052740A"/>
    <w:rsid w:val="00530253"/>
    <w:rsid w:val="00564DB7"/>
    <w:rsid w:val="00570FDC"/>
    <w:rsid w:val="005833F0"/>
    <w:rsid w:val="0059724A"/>
    <w:rsid w:val="005A1358"/>
    <w:rsid w:val="005A169F"/>
    <w:rsid w:val="005B69AC"/>
    <w:rsid w:val="005C418C"/>
    <w:rsid w:val="005D0B49"/>
    <w:rsid w:val="005D2880"/>
    <w:rsid w:val="005E7FEE"/>
    <w:rsid w:val="00617F53"/>
    <w:rsid w:val="006A1B3C"/>
    <w:rsid w:val="006A6770"/>
    <w:rsid w:val="006C01FF"/>
    <w:rsid w:val="006C11C8"/>
    <w:rsid w:val="006F7293"/>
    <w:rsid w:val="0070740F"/>
    <w:rsid w:val="00707C08"/>
    <w:rsid w:val="00725C18"/>
    <w:rsid w:val="007321D6"/>
    <w:rsid w:val="00732B3F"/>
    <w:rsid w:val="00735CE0"/>
    <w:rsid w:val="00745683"/>
    <w:rsid w:val="00755D16"/>
    <w:rsid w:val="00757E7C"/>
    <w:rsid w:val="00761DC0"/>
    <w:rsid w:val="0076231A"/>
    <w:rsid w:val="00762B9A"/>
    <w:rsid w:val="0077001E"/>
    <w:rsid w:val="00783601"/>
    <w:rsid w:val="0079187E"/>
    <w:rsid w:val="007A2B8C"/>
    <w:rsid w:val="007B27AF"/>
    <w:rsid w:val="007C0FFB"/>
    <w:rsid w:val="007C3051"/>
    <w:rsid w:val="007F0BCC"/>
    <w:rsid w:val="00815615"/>
    <w:rsid w:val="00815F39"/>
    <w:rsid w:val="00817EF2"/>
    <w:rsid w:val="008274D0"/>
    <w:rsid w:val="00830CF7"/>
    <w:rsid w:val="00833AB7"/>
    <w:rsid w:val="0084002C"/>
    <w:rsid w:val="008505A9"/>
    <w:rsid w:val="00880D71"/>
    <w:rsid w:val="008A56EF"/>
    <w:rsid w:val="008C1AAF"/>
    <w:rsid w:val="008E746C"/>
    <w:rsid w:val="0091251A"/>
    <w:rsid w:val="00941B00"/>
    <w:rsid w:val="00946B48"/>
    <w:rsid w:val="00951227"/>
    <w:rsid w:val="00952E0E"/>
    <w:rsid w:val="00987A75"/>
    <w:rsid w:val="009A5803"/>
    <w:rsid w:val="009E2322"/>
    <w:rsid w:val="009F2D06"/>
    <w:rsid w:val="00A03655"/>
    <w:rsid w:val="00A75F11"/>
    <w:rsid w:val="00A83491"/>
    <w:rsid w:val="00A938DB"/>
    <w:rsid w:val="00A95847"/>
    <w:rsid w:val="00AD7303"/>
    <w:rsid w:val="00AF4358"/>
    <w:rsid w:val="00AF4A9A"/>
    <w:rsid w:val="00B0496F"/>
    <w:rsid w:val="00B210E6"/>
    <w:rsid w:val="00B23181"/>
    <w:rsid w:val="00B32D66"/>
    <w:rsid w:val="00B7078C"/>
    <w:rsid w:val="00BA583B"/>
    <w:rsid w:val="00BE1078"/>
    <w:rsid w:val="00BF0F9E"/>
    <w:rsid w:val="00BF5FC5"/>
    <w:rsid w:val="00C0682E"/>
    <w:rsid w:val="00C20E2A"/>
    <w:rsid w:val="00C47C17"/>
    <w:rsid w:val="00C62787"/>
    <w:rsid w:val="00C639D3"/>
    <w:rsid w:val="00C65816"/>
    <w:rsid w:val="00C770CF"/>
    <w:rsid w:val="00C9004A"/>
    <w:rsid w:val="00C94FB6"/>
    <w:rsid w:val="00CB2EE0"/>
    <w:rsid w:val="00CB4F3B"/>
    <w:rsid w:val="00CB7EE2"/>
    <w:rsid w:val="00CC3469"/>
    <w:rsid w:val="00CF660B"/>
    <w:rsid w:val="00D07574"/>
    <w:rsid w:val="00D14B8E"/>
    <w:rsid w:val="00D3132E"/>
    <w:rsid w:val="00D470F4"/>
    <w:rsid w:val="00D56BA4"/>
    <w:rsid w:val="00D67B0C"/>
    <w:rsid w:val="00D80E2B"/>
    <w:rsid w:val="00D83882"/>
    <w:rsid w:val="00D852BD"/>
    <w:rsid w:val="00D8789C"/>
    <w:rsid w:val="00D94EFC"/>
    <w:rsid w:val="00DA6D17"/>
    <w:rsid w:val="00DB1892"/>
    <w:rsid w:val="00DC5793"/>
    <w:rsid w:val="00DD07C0"/>
    <w:rsid w:val="00DD1941"/>
    <w:rsid w:val="00DE15B4"/>
    <w:rsid w:val="00DF3E7F"/>
    <w:rsid w:val="00E00C7A"/>
    <w:rsid w:val="00E0780B"/>
    <w:rsid w:val="00E15DF5"/>
    <w:rsid w:val="00E21D97"/>
    <w:rsid w:val="00E26A39"/>
    <w:rsid w:val="00E318BA"/>
    <w:rsid w:val="00E34118"/>
    <w:rsid w:val="00E732EF"/>
    <w:rsid w:val="00EB618C"/>
    <w:rsid w:val="00EB7944"/>
    <w:rsid w:val="00EC70F5"/>
    <w:rsid w:val="00EE3E5B"/>
    <w:rsid w:val="00EF26C0"/>
    <w:rsid w:val="00F518EE"/>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 w:type="paragraph" w:styleId="ListParagraph">
    <w:name w:val="List Paragraph"/>
    <w:basedOn w:val="Normal"/>
    <w:uiPriority w:val="34"/>
    <w:qFormat/>
    <w:rsid w:val="00BF0F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usef-zakharia@uiowa.edu"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hangw@ufl.edu"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wjenkins@partners.org" TargetMode="External"/><Relationship Id="rId11" Type="http://schemas.openxmlformats.org/officeDocument/2006/relationships/hyperlink" Target="https://github.com/ncborcherding/ccRCC"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ncbi.nlm.nih.gov/geo/query/acc.cgi?acc=GSE121638" TargetMode="External"/><Relationship Id="rId4" Type="http://schemas.openxmlformats.org/officeDocument/2006/relationships/settings" Target="settings.xml"/><Relationship Id="rId9" Type="http://schemas.openxmlformats.org/officeDocument/2006/relationships/hyperlink" Target="https://github.com/ncborcherding/ccRCC"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65D5C-07CB-2845-8C5F-B2876FE1F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18</Pages>
  <Words>41086</Words>
  <Characters>234192</Characters>
  <Application>Microsoft Office Word</Application>
  <DocSecurity>0</DocSecurity>
  <Lines>1951</Lines>
  <Paragraphs>549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26</cp:revision>
  <dcterms:created xsi:type="dcterms:W3CDTF">2020-06-24T12:58:00Z</dcterms:created>
  <dcterms:modified xsi:type="dcterms:W3CDTF">2020-07-09T13:01:00Z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