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ADA94" w14:textId="5C736D01" w:rsidR="008274D0" w:rsidRPr="00761DC0" w:rsidRDefault="008274D0" w:rsidP="008274D0">
      <w:pPr>
        <w:pStyle w:val="Paragraph"/>
        <w:snapToGrid w:val="0"/>
        <w:ind w:firstLine="0"/>
        <w:rPr>
          <w:rFonts w:ascii="Arial" w:hAnsi="Arial" w:cs="Arial"/>
          <w:b/>
          <w:bCs/>
          <w:sz w:val="22"/>
          <w:szCs w:val="22"/>
        </w:rPr>
      </w:pPr>
      <w:bookmarkStart w:id="0" w:name="_GoBack"/>
      <w:bookmarkEnd w:id="0"/>
      <w:r w:rsidRPr="00761DC0">
        <w:rPr>
          <w:rFonts w:ascii="Arial" w:hAnsi="Arial" w:cs="Arial"/>
          <w:b/>
          <w:bCs/>
          <w:color w:val="000000"/>
          <w:sz w:val="22"/>
          <w:szCs w:val="22"/>
        </w:rPr>
        <w:t>Methods</w:t>
      </w:r>
    </w:p>
    <w:p w14:paraId="2A4D38D4"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Subject Details and Tissue Collection</w:t>
      </w:r>
    </w:p>
    <w:p w14:paraId="1CDDCF17" w14:textId="71C0BD51" w:rsidR="00761DC0" w:rsidRPr="005E7FEE" w:rsidRDefault="008274D0" w:rsidP="005E7FEE">
      <w:pPr>
        <w:spacing w:line="480" w:lineRule="auto"/>
        <w:jc w:val="both"/>
        <w:rPr>
          <w:rFonts w:ascii="Arial" w:hAnsi="Arial" w:cs="Arial"/>
          <w:color w:val="000000"/>
          <w:sz w:val="22"/>
          <w:szCs w:val="22"/>
        </w:rPr>
      </w:pPr>
      <w:r w:rsidRPr="00761DC0">
        <w:rPr>
          <w:rFonts w:ascii="Arial" w:hAnsi="Arial" w:cs="Arial"/>
          <w:color w:val="000000"/>
          <w:sz w:val="22"/>
          <w:szCs w:val="22"/>
        </w:rPr>
        <w:t>Fresh blood and primary clear cell renal cell carcinoma (ccRCC)</w:t>
      </w:r>
      <w:r w:rsidRPr="00761DC0">
        <w:rPr>
          <w:rFonts w:ascii="Arial" w:hAnsi="Arial" w:cs="Arial"/>
          <w:color w:val="000000"/>
          <w:sz w:val="22"/>
          <w:szCs w:val="22"/>
        </w:rPr>
        <w:t xml:space="preserve"> </w:t>
      </w:r>
      <w:r w:rsidRPr="00761DC0">
        <w:rPr>
          <w:rFonts w:ascii="Arial" w:hAnsi="Arial" w:cs="Arial"/>
          <w:color w:val="000000"/>
          <w:sz w:val="22"/>
          <w:szCs w:val="22"/>
        </w:rPr>
        <w:t xml:space="preserve">samples were obtained from the University of Iowa Tissue Procurement Core and GUMER repository through the Holden Comprehensive Cancer Center from subjects providing written consent approved by the University of Iowa ethics board committee. The patients ranged from 67 to 74 years old; the tumor samples were of diverse tumor stages and sourced from male subjects. Tumor grades were histologically determined by a pathologist. Three ccRCC tumor specimens paired with individual blood samples were used in the study. </w:t>
      </w:r>
      <w:r w:rsidRPr="00761DC0">
        <w:rPr>
          <w:rFonts w:ascii="Arial" w:hAnsi="Arial" w:cs="Arial"/>
          <w:color w:val="000000"/>
          <w:sz w:val="22"/>
          <w:szCs w:val="22"/>
          <w:highlight w:val="yellow"/>
        </w:rPr>
        <w:t>Will need IRB FOR publication</w:t>
      </w:r>
      <w:r w:rsidRPr="00761DC0">
        <w:rPr>
          <w:rFonts w:ascii="Arial" w:hAnsi="Arial" w:cs="Arial"/>
          <w:color w:val="000000"/>
          <w:sz w:val="22"/>
          <w:szCs w:val="22"/>
        </w:rPr>
        <w:t xml:space="preserve"> </w:t>
      </w:r>
    </w:p>
    <w:p w14:paraId="37C2B6C4" w14:textId="77777777" w:rsidR="008274D0" w:rsidRPr="00761DC0" w:rsidRDefault="008274D0" w:rsidP="00761DC0">
      <w:pPr>
        <w:spacing w:line="480" w:lineRule="auto"/>
        <w:jc w:val="both"/>
        <w:rPr>
          <w:rFonts w:ascii="Arial" w:hAnsi="Arial" w:cs="Arial"/>
          <w:color w:val="000000"/>
          <w:sz w:val="22"/>
          <w:szCs w:val="22"/>
        </w:rPr>
      </w:pPr>
    </w:p>
    <w:p w14:paraId="4FD14BD8"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Tumor Dissociation and Isolation of Mononuclear Cells</w:t>
      </w:r>
    </w:p>
    <w:p w14:paraId="43EA3CE4" w14:textId="682AB300"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Renal tumor samples were dissociated into single cells by a semi-automated combined mechanical/enzymatic process. The tumor tissue was cut into pieces of (2-3mm) in size and transferred to C Tubes (Miltenyi Biotech</w:t>
      </w:r>
      <w:r w:rsidR="00761DC0">
        <w:rPr>
          <w:rFonts w:ascii="Arial" w:hAnsi="Arial" w:cs="Arial"/>
          <w:color w:val="000000"/>
          <w:sz w:val="22"/>
          <w:szCs w:val="22"/>
        </w:rPr>
        <w:t xml:space="preserve">, </w:t>
      </w:r>
      <w:proofErr w:type="spellStart"/>
      <w:r w:rsidR="00761DC0">
        <w:rPr>
          <w:rFonts w:ascii="Arial" w:hAnsi="Arial" w:cs="Arial"/>
          <w:color w:val="000000"/>
          <w:sz w:val="22"/>
          <w:szCs w:val="22"/>
        </w:rPr>
        <w:t>Bergisch</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Gladbach</w:t>
      </w:r>
      <w:proofErr w:type="spellEnd"/>
      <w:r w:rsidR="00761DC0">
        <w:rPr>
          <w:rFonts w:ascii="Arial" w:hAnsi="Arial" w:cs="Arial"/>
          <w:color w:val="000000"/>
          <w:sz w:val="22"/>
          <w:szCs w:val="22"/>
        </w:rPr>
        <w:t>, Germany</w:t>
      </w:r>
      <w:r w:rsidRPr="00761DC0">
        <w:rPr>
          <w:rFonts w:ascii="Arial" w:hAnsi="Arial" w:cs="Arial"/>
          <w:color w:val="000000"/>
          <w:sz w:val="22"/>
          <w:szCs w:val="22"/>
        </w:rPr>
        <w:t xml:space="preserve">) containing a mix of Enzymes H, R and A (Tumor Dissociation Kit, human; Miltenyi Biotech). Mechanical dissociation was accomplished by performing three consecutive automated steps on the gentleMACS </w:t>
      </w:r>
      <w:proofErr w:type="spellStart"/>
      <w:r w:rsidRPr="00761DC0">
        <w:rPr>
          <w:rFonts w:ascii="Arial" w:hAnsi="Arial" w:cs="Arial"/>
          <w:color w:val="000000"/>
          <w:sz w:val="22"/>
          <w:szCs w:val="22"/>
        </w:rPr>
        <w:t>Dissociator</w:t>
      </w:r>
      <w:proofErr w:type="spellEnd"/>
      <w:r w:rsidRPr="00761DC0">
        <w:rPr>
          <w:rFonts w:ascii="Arial" w:hAnsi="Arial" w:cs="Arial"/>
          <w:color w:val="000000"/>
          <w:sz w:val="22"/>
          <w:szCs w:val="22"/>
        </w:rPr>
        <w:t xml:space="preserve"> (h_tumor_01, h_tumor_02 and h_tumor_03). To allow for enzymatic digestion, the C tube was rotated continuously for 30 min at 3</w:t>
      </w:r>
      <w:r w:rsidR="0012679D">
        <w:rPr>
          <w:rFonts w:ascii="Arial" w:hAnsi="Arial" w:cs="Arial"/>
          <w:color w:val="000000"/>
          <w:sz w:val="22"/>
          <w:szCs w:val="22"/>
        </w:rPr>
        <w:t>7°</w:t>
      </w:r>
      <w:r w:rsidRPr="00761DC0">
        <w:rPr>
          <w:rFonts w:ascii="Arial" w:hAnsi="Arial" w:cs="Arial"/>
          <w:color w:val="000000"/>
          <w:sz w:val="22"/>
          <w:szCs w:val="22"/>
        </w:rPr>
        <w:t>C, after the first and second mechanical dissociation step</w:t>
      </w:r>
      <w:r w:rsidR="005E7FEE">
        <w:rPr>
          <w:rFonts w:ascii="Arial" w:hAnsi="Arial" w:cs="Arial"/>
          <w:color w:val="000000"/>
          <w:sz w:val="22"/>
          <w:szCs w:val="22"/>
        </w:rPr>
        <w:t xml:space="preserve"> (cite </w:t>
      </w:r>
      <w:hyperlink r:id="rId4" w:history="1">
        <w:r w:rsidR="005E7FEE" w:rsidRPr="005E7FEE">
          <w:rPr>
            <w:rStyle w:val="Hyperlink"/>
            <w:rFonts w:ascii="Arial" w:hAnsi="Arial" w:cs="Arial"/>
            <w:sz w:val="22"/>
            <w:szCs w:val="22"/>
          </w:rPr>
          <w:t>here</w:t>
        </w:r>
      </w:hyperlink>
      <w:r w:rsidR="005E7FEE">
        <w:rPr>
          <w:rFonts w:ascii="Arial" w:hAnsi="Arial" w:cs="Arial"/>
          <w:color w:val="000000"/>
          <w:sz w:val="22"/>
          <w:szCs w:val="22"/>
        </w:rPr>
        <w:t>)</w:t>
      </w:r>
      <w:r w:rsidRPr="00761DC0">
        <w:rPr>
          <w:rFonts w:ascii="Arial" w:hAnsi="Arial" w:cs="Arial"/>
          <w:color w:val="000000"/>
          <w:sz w:val="22"/>
          <w:szCs w:val="22"/>
        </w:rPr>
        <w:t xml:space="preserve">. Cells from fresh tumor specimens were incubated with </w:t>
      </w:r>
      <w:proofErr w:type="spellStart"/>
      <w:r w:rsidRPr="00761DC0">
        <w:rPr>
          <w:rFonts w:ascii="Arial" w:hAnsi="Arial" w:cs="Arial"/>
          <w:color w:val="000000"/>
          <w:sz w:val="22"/>
          <w:szCs w:val="22"/>
        </w:rPr>
        <w:t>FcR</w:t>
      </w:r>
      <w:proofErr w:type="spellEnd"/>
      <w:r w:rsidRPr="00761DC0">
        <w:rPr>
          <w:rFonts w:ascii="Arial" w:hAnsi="Arial" w:cs="Arial"/>
          <w:color w:val="000000"/>
          <w:sz w:val="22"/>
          <w:szCs w:val="22"/>
        </w:rPr>
        <w:t xml:space="preserve"> blocking reagent (StemCell Technologies</w:t>
      </w:r>
      <w:r w:rsidR="005E7FEE">
        <w:rPr>
          <w:rFonts w:ascii="Arial" w:hAnsi="Arial" w:cs="Arial"/>
          <w:color w:val="000000"/>
          <w:sz w:val="22"/>
          <w:szCs w:val="22"/>
        </w:rPr>
        <w:t>, Vancouver, Canada</w:t>
      </w:r>
      <w:r w:rsidRPr="00761DC0">
        <w:rPr>
          <w:rFonts w:ascii="Arial" w:hAnsi="Arial" w:cs="Arial"/>
          <w:color w:val="000000"/>
          <w:sz w:val="22"/>
          <w:szCs w:val="22"/>
        </w:rPr>
        <w:t>) for 10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and labelled with 1ug/ml of the FITC anti-human CD45 antibody (</w:t>
      </w:r>
      <w:proofErr w:type="spellStart"/>
      <w:r w:rsidRPr="00761DC0">
        <w:rPr>
          <w:rFonts w:ascii="Arial" w:hAnsi="Arial" w:cs="Arial"/>
          <w:color w:val="000000"/>
          <w:sz w:val="22"/>
          <w:szCs w:val="22"/>
        </w:rPr>
        <w:t>BioLegend</w:t>
      </w:r>
      <w:proofErr w:type="spellEnd"/>
      <w:r w:rsidR="005E7FEE">
        <w:rPr>
          <w:rFonts w:ascii="Arial" w:hAnsi="Arial" w:cs="Arial"/>
          <w:color w:val="000000"/>
          <w:sz w:val="22"/>
          <w:szCs w:val="22"/>
        </w:rPr>
        <w:t>, San Diego, CA</w:t>
      </w:r>
      <w:r w:rsidRPr="00761DC0">
        <w:rPr>
          <w:rFonts w:ascii="Arial" w:hAnsi="Arial" w:cs="Arial"/>
          <w:color w:val="000000"/>
          <w:sz w:val="22"/>
          <w:szCs w:val="22"/>
        </w:rPr>
        <w:t>) per 10</w:t>
      </w:r>
      <w:r w:rsidRPr="00761DC0">
        <w:rPr>
          <w:rFonts w:ascii="Arial" w:hAnsi="Arial" w:cs="Arial"/>
          <w:color w:val="000000"/>
          <w:sz w:val="22"/>
          <w:szCs w:val="22"/>
          <w:vertAlign w:val="superscript"/>
        </w:rPr>
        <w:t xml:space="preserve">7 </w:t>
      </w:r>
      <w:r w:rsidRPr="00761DC0">
        <w:rPr>
          <w:rFonts w:ascii="Arial" w:hAnsi="Arial" w:cs="Arial"/>
          <w:color w:val="000000"/>
          <w:sz w:val="22"/>
          <w:szCs w:val="22"/>
        </w:rPr>
        <w:t>cells for 20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CD45</w:t>
      </w:r>
      <w:r w:rsidRPr="005E7FEE">
        <w:rPr>
          <w:rFonts w:ascii="Arial" w:hAnsi="Arial" w:cs="Arial"/>
          <w:color w:val="000000"/>
          <w:sz w:val="22"/>
          <w:szCs w:val="22"/>
          <w:vertAlign w:val="superscript"/>
        </w:rPr>
        <w:t>+</w:t>
      </w:r>
      <w:r w:rsidRPr="00761DC0">
        <w:rPr>
          <w:rFonts w:ascii="Arial" w:hAnsi="Arial" w:cs="Arial"/>
          <w:color w:val="000000"/>
          <w:sz w:val="22"/>
          <w:szCs w:val="22"/>
        </w:rPr>
        <w:t xml:space="preserve"> cells were isolated using the </w:t>
      </w:r>
      <w:proofErr w:type="spellStart"/>
      <w:r w:rsidRPr="00761DC0">
        <w:rPr>
          <w:rFonts w:ascii="Arial" w:hAnsi="Arial" w:cs="Arial"/>
          <w:color w:val="000000"/>
          <w:sz w:val="22"/>
          <w:szCs w:val="22"/>
        </w:rPr>
        <w:t>EasySep</w:t>
      </w:r>
      <w:r w:rsidRPr="00761DC0">
        <w:rPr>
          <w:rFonts w:ascii="Arial" w:hAnsi="Arial" w:cs="Arial"/>
          <w:color w:val="000000"/>
          <w:sz w:val="22"/>
          <w:szCs w:val="22"/>
          <w:vertAlign w:val="superscript"/>
        </w:rPr>
        <w:t>TM</w:t>
      </w:r>
      <w:proofErr w:type="spellEnd"/>
      <w:r w:rsidRPr="00761DC0">
        <w:rPr>
          <w:rFonts w:ascii="Arial" w:hAnsi="Arial" w:cs="Arial"/>
          <w:color w:val="000000"/>
          <w:sz w:val="22"/>
          <w:szCs w:val="22"/>
          <w:vertAlign w:val="superscript"/>
        </w:rPr>
        <w:t xml:space="preserve"> </w:t>
      </w:r>
      <w:r w:rsidRPr="00761DC0">
        <w:rPr>
          <w:rFonts w:ascii="Arial" w:hAnsi="Arial" w:cs="Arial"/>
          <w:color w:val="000000"/>
          <w:sz w:val="22"/>
          <w:szCs w:val="22"/>
        </w:rPr>
        <w:t xml:space="preserve">FITC Positive Selection Kit (StemCell Technologies). Alternatively, mononuclear cells (MNCs) from whole peripheral blood of paired subjects were isolated using SepMate Tubes (StemCell Technologies) by density gradient centrifugation. Cells were then viably frozen in 5% DMSO in RPMI complemented with 95% FBS. </w:t>
      </w:r>
      <w:r w:rsidRPr="00761DC0">
        <w:rPr>
          <w:rFonts w:ascii="Arial" w:hAnsi="Arial" w:cs="Arial"/>
          <w:color w:val="000000"/>
          <w:sz w:val="22"/>
          <w:szCs w:val="22"/>
        </w:rPr>
        <w:lastRenderedPageBreak/>
        <w:t>Cryopreserved cells were resuscitated for flow cytometry analyses by rapid thawing and slow dilution.</w:t>
      </w:r>
    </w:p>
    <w:p w14:paraId="0C2EDFCE" w14:textId="77777777" w:rsidR="008274D0" w:rsidRPr="00761DC0" w:rsidRDefault="008274D0" w:rsidP="00761DC0">
      <w:pPr>
        <w:spacing w:line="480" w:lineRule="auto"/>
        <w:jc w:val="both"/>
        <w:rPr>
          <w:rFonts w:ascii="Arial" w:hAnsi="Arial" w:cs="Arial"/>
          <w:color w:val="000000"/>
          <w:sz w:val="22"/>
          <w:szCs w:val="22"/>
        </w:rPr>
      </w:pPr>
    </w:p>
    <w:p w14:paraId="3B7D6802" w14:textId="52912D1D"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Cell Sorting for Single</w:t>
      </w:r>
      <w:r w:rsidR="00761DC0">
        <w:rPr>
          <w:rFonts w:ascii="Arial" w:hAnsi="Arial" w:cs="Arial"/>
          <w:i/>
          <w:iCs/>
          <w:color w:val="000000"/>
          <w:sz w:val="22"/>
          <w:szCs w:val="22"/>
        </w:rPr>
        <w:t>-</w:t>
      </w:r>
      <w:r w:rsidRPr="00761DC0">
        <w:rPr>
          <w:rFonts w:ascii="Arial" w:hAnsi="Arial" w:cs="Arial"/>
          <w:i/>
          <w:iCs/>
          <w:color w:val="000000"/>
          <w:sz w:val="22"/>
          <w:szCs w:val="22"/>
        </w:rPr>
        <w:t>Cell RNA</w:t>
      </w:r>
      <w:r w:rsidR="00761DC0">
        <w:rPr>
          <w:rFonts w:ascii="Arial" w:hAnsi="Arial" w:cs="Arial"/>
          <w:i/>
          <w:iCs/>
          <w:color w:val="000000"/>
          <w:sz w:val="22"/>
          <w:szCs w:val="22"/>
        </w:rPr>
        <w:t xml:space="preserve"> </w:t>
      </w:r>
      <w:r w:rsidRPr="00761DC0">
        <w:rPr>
          <w:rFonts w:ascii="Arial" w:hAnsi="Arial" w:cs="Arial"/>
          <w:i/>
          <w:iCs/>
          <w:color w:val="000000"/>
          <w:sz w:val="22"/>
          <w:szCs w:val="22"/>
        </w:rPr>
        <w:t>sequencing</w:t>
      </w:r>
    </w:p>
    <w:p w14:paraId="7D4CA7AA" w14:textId="2F0F4FD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Viable immune (CD45</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Hoechst</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single cell suspensions generated from three ccRCC tumor samples and blood were FACS sorted on a FACS ARIA sorter (BD Biosciences) for lymphoid and myeloid cells (Ratio 3:1). The cells were sorted into ice cold Dulbecco’s PBS + 0.04% non-acetylated BSA (New England </w:t>
      </w:r>
      <w:proofErr w:type="spellStart"/>
      <w:r w:rsidRPr="00761DC0">
        <w:rPr>
          <w:rFonts w:ascii="Arial" w:hAnsi="Arial" w:cs="Arial"/>
          <w:color w:val="000000"/>
          <w:sz w:val="22"/>
          <w:szCs w:val="22"/>
        </w:rPr>
        <w:t>BioLabs</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Ipswitch</w:t>
      </w:r>
      <w:proofErr w:type="spellEnd"/>
      <w:r w:rsidR="00761DC0">
        <w:rPr>
          <w:rFonts w:ascii="Arial" w:hAnsi="Arial" w:cs="Arial"/>
          <w:color w:val="000000"/>
          <w:sz w:val="22"/>
          <w:szCs w:val="22"/>
        </w:rPr>
        <w:t>, MA</w:t>
      </w:r>
      <w:r w:rsidRPr="00761DC0">
        <w:rPr>
          <w:rFonts w:ascii="Arial" w:hAnsi="Arial" w:cs="Arial"/>
          <w:color w:val="000000"/>
          <w:sz w:val="22"/>
          <w:szCs w:val="22"/>
        </w:rPr>
        <w:t xml:space="preserve">). Sorted cells were then counted and assessed viability </w:t>
      </w:r>
      <w:proofErr w:type="spellStart"/>
      <w:r w:rsidRPr="00761DC0">
        <w:rPr>
          <w:rFonts w:ascii="Arial" w:hAnsi="Arial" w:cs="Arial"/>
          <w:color w:val="000000"/>
          <w:sz w:val="22"/>
          <w:szCs w:val="22"/>
        </w:rPr>
        <w:t>MoxiGoII</w:t>
      </w:r>
      <w:proofErr w:type="spellEnd"/>
      <w:r w:rsidRPr="00761DC0">
        <w:rPr>
          <w:rFonts w:ascii="Arial" w:hAnsi="Arial" w:cs="Arial"/>
          <w:color w:val="000000"/>
          <w:sz w:val="22"/>
          <w:szCs w:val="22"/>
        </w:rPr>
        <w:t xml:space="preserve"> counter (</w:t>
      </w:r>
      <w:proofErr w:type="spellStart"/>
      <w:r w:rsidRPr="00761DC0">
        <w:rPr>
          <w:rFonts w:ascii="Arial" w:hAnsi="Arial" w:cs="Arial"/>
          <w:color w:val="000000"/>
          <w:sz w:val="22"/>
          <w:szCs w:val="22"/>
        </w:rPr>
        <w:t>Orflo</w:t>
      </w:r>
      <w:proofErr w:type="spellEnd"/>
      <w:r w:rsidRPr="00761DC0">
        <w:rPr>
          <w:rFonts w:ascii="Arial" w:hAnsi="Arial" w:cs="Arial"/>
          <w:color w:val="000000"/>
          <w:sz w:val="22"/>
          <w:szCs w:val="22"/>
        </w:rPr>
        <w:t xml:space="preserve"> Technologies</w:t>
      </w:r>
      <w:r w:rsidR="00761DC0">
        <w:rPr>
          <w:rFonts w:ascii="Arial" w:hAnsi="Arial" w:cs="Arial"/>
          <w:color w:val="000000"/>
          <w:sz w:val="22"/>
          <w:szCs w:val="22"/>
        </w:rPr>
        <w:t>, Ketchum, ID</w:t>
      </w:r>
      <w:r w:rsidRPr="00761DC0">
        <w:rPr>
          <w:rFonts w:ascii="Arial" w:hAnsi="Arial" w:cs="Arial"/>
          <w:color w:val="000000"/>
          <w:sz w:val="22"/>
          <w:szCs w:val="22"/>
        </w:rPr>
        <w:t>) ensuring that cells were re-suspended at 1000</w:t>
      </w:r>
      <w:r w:rsidR="005E7FEE">
        <w:rPr>
          <w:rFonts w:ascii="Arial" w:hAnsi="Arial" w:cs="Arial"/>
          <w:color w:val="000000"/>
          <w:sz w:val="22"/>
          <w:szCs w:val="22"/>
        </w:rPr>
        <w:t xml:space="preserve"> </w:t>
      </w:r>
      <w:r w:rsidRPr="00761DC0">
        <w:rPr>
          <w:rFonts w:ascii="Arial" w:hAnsi="Arial" w:cs="Arial"/>
          <w:color w:val="000000"/>
          <w:sz w:val="22"/>
          <w:szCs w:val="22"/>
        </w:rPr>
        <w:t xml:space="preserve">cells/ul with a viability &gt;90%. </w:t>
      </w:r>
    </w:p>
    <w:p w14:paraId="00C9300E" w14:textId="77777777" w:rsidR="008274D0" w:rsidRPr="00761DC0" w:rsidRDefault="008274D0" w:rsidP="00761DC0">
      <w:pPr>
        <w:spacing w:line="480" w:lineRule="auto"/>
        <w:jc w:val="both"/>
        <w:rPr>
          <w:rFonts w:ascii="Arial" w:hAnsi="Arial" w:cs="Arial"/>
          <w:color w:val="000000"/>
          <w:sz w:val="22"/>
          <w:szCs w:val="22"/>
        </w:rPr>
      </w:pPr>
    </w:p>
    <w:p w14:paraId="50D8115D" w14:textId="44FAEA4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Library Preparation, Single</w:t>
      </w:r>
      <w:r w:rsidR="00761DC0">
        <w:rPr>
          <w:rFonts w:ascii="Arial" w:hAnsi="Arial" w:cs="Arial"/>
          <w:color w:val="000000"/>
          <w:sz w:val="22"/>
          <w:szCs w:val="22"/>
        </w:rPr>
        <w:t>-</w:t>
      </w:r>
      <w:r w:rsidRPr="00761DC0">
        <w:rPr>
          <w:rFonts w:ascii="Arial" w:hAnsi="Arial" w:cs="Arial"/>
          <w:color w:val="000000"/>
          <w:sz w:val="22"/>
          <w:szCs w:val="22"/>
        </w:rPr>
        <w:t>Cell 5’ and TCR Sequencing</w:t>
      </w:r>
    </w:p>
    <w:p w14:paraId="362B1490" w14:textId="580910BF"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Single-cell library preparation was carried out as per the 10X Genomics Chromium Single Cell 5' Library and Gel Bead Kit v2 #1000014 (10</w:t>
      </w:r>
      <w:r w:rsidR="00761DC0">
        <w:rPr>
          <w:rFonts w:ascii="Arial" w:hAnsi="Arial" w:cs="Arial"/>
          <w:color w:val="000000"/>
          <w:sz w:val="22"/>
          <w:szCs w:val="22"/>
        </w:rPr>
        <w:t>x</w:t>
      </w:r>
      <w:r w:rsidRPr="00761DC0">
        <w:rPr>
          <w:rFonts w:ascii="Arial" w:hAnsi="Arial" w:cs="Arial"/>
          <w:color w:val="000000"/>
          <w:sz w:val="22"/>
          <w:szCs w:val="22"/>
        </w:rPr>
        <w:t xml:space="preserve"> Genomics, Pleasanton, CA).</w:t>
      </w:r>
      <w:r w:rsidRPr="00761DC0">
        <w:rPr>
          <w:rFonts w:ascii="Arial" w:eastAsia="MS Mincho" w:hAnsi="Arial" w:cs="Arial"/>
          <w:color w:val="000000"/>
          <w:sz w:val="22"/>
          <w:szCs w:val="22"/>
        </w:rPr>
        <w:t xml:space="preserve"> </w:t>
      </w:r>
      <w:r w:rsidRPr="00761DC0">
        <w:rPr>
          <w:rFonts w:ascii="Arial" w:hAnsi="Arial" w:cs="Arial"/>
          <w:color w:val="000000"/>
          <w:sz w:val="22"/>
          <w:szCs w:val="22"/>
        </w:rPr>
        <w:t>Cell suspensions were loaded onto a Chromium Single-Cell Chip along</w:t>
      </w:r>
      <w:r w:rsidRPr="00761DC0">
        <w:rPr>
          <w:rFonts w:ascii="Arial" w:eastAsia="MS Mincho" w:hAnsi="Arial" w:cs="Arial"/>
          <w:color w:val="000000"/>
          <w:sz w:val="22"/>
          <w:szCs w:val="22"/>
        </w:rPr>
        <w:t xml:space="preserve"> </w:t>
      </w:r>
      <w:r w:rsidRPr="00761DC0">
        <w:rPr>
          <w:rFonts w:ascii="Arial" w:hAnsi="Arial" w:cs="Arial"/>
          <w:color w:val="000000"/>
          <w:sz w:val="22"/>
          <w:szCs w:val="22"/>
        </w:rPr>
        <w:t>with the reverse transcription (RT) master mix and single cell 5</w:t>
      </w:r>
      <w:r w:rsidRPr="00761DC0">
        <w:rPr>
          <w:rFonts w:ascii="Arial" w:eastAsia="Calibri" w:hAnsi="Arial" w:cs="Arial"/>
          <w:color w:val="000000"/>
          <w:sz w:val="22"/>
          <w:szCs w:val="22"/>
        </w:rPr>
        <w:t>′</w:t>
      </w:r>
      <w:r w:rsidRPr="00761DC0">
        <w:rPr>
          <w:rFonts w:ascii="Arial" w:hAnsi="Arial" w:cs="Arial"/>
          <w:color w:val="000000"/>
          <w:sz w:val="22"/>
          <w:szCs w:val="22"/>
        </w:rPr>
        <w:t xml:space="preserve"> gel beads, aiming for 7,500 cells per channel. Following generation of single-cell</w:t>
      </w:r>
      <w:r w:rsidRPr="00761DC0">
        <w:rPr>
          <w:rFonts w:ascii="Arial" w:eastAsia="MS Mincho" w:hAnsi="Arial" w:cs="Arial"/>
          <w:color w:val="000000"/>
          <w:sz w:val="22"/>
          <w:szCs w:val="22"/>
        </w:rPr>
        <w:t xml:space="preserve"> </w:t>
      </w:r>
      <w:r w:rsidRPr="00761DC0">
        <w:rPr>
          <w:rFonts w:ascii="Arial" w:hAnsi="Arial" w:cs="Arial"/>
          <w:color w:val="000000"/>
          <w:sz w:val="22"/>
          <w:szCs w:val="22"/>
        </w:rPr>
        <w:t>gel bead-in-emulsions (GEMs), reverse transcription was performed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using a C1000 Touch Thermal Cycler (Bio-Rad Laboratories, Hercules, CA)</w:t>
      </w:r>
      <w:r w:rsidR="005E7FEE">
        <w:rPr>
          <w:rFonts w:ascii="Arial" w:hAnsi="Arial" w:cs="Arial"/>
          <w:color w:val="000000"/>
          <w:sz w:val="22"/>
          <w:szCs w:val="22"/>
        </w:rPr>
        <w:t xml:space="preserve">; </w:t>
      </w:r>
      <w:r w:rsidRPr="00761DC0">
        <w:rPr>
          <w:rFonts w:ascii="Arial" w:hAnsi="Arial" w:cs="Arial"/>
          <w:color w:val="000000"/>
          <w:sz w:val="22"/>
          <w:szCs w:val="22"/>
        </w:rPr>
        <w:t xml:space="preserve">13 cycles </w:t>
      </w:r>
      <w:r w:rsidR="005E7FEE">
        <w:rPr>
          <w:rFonts w:ascii="Arial" w:hAnsi="Arial" w:cs="Arial"/>
          <w:color w:val="000000"/>
          <w:sz w:val="22"/>
          <w:szCs w:val="22"/>
        </w:rPr>
        <w:t xml:space="preserve">were </w:t>
      </w:r>
      <w:r w:rsidRPr="00761DC0">
        <w:rPr>
          <w:rFonts w:ascii="Arial" w:hAnsi="Arial" w:cs="Arial"/>
          <w:color w:val="000000"/>
          <w:sz w:val="22"/>
          <w:szCs w:val="22"/>
        </w:rPr>
        <w:t>used for cDNA amplification. Amplified cDNA was purified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 xml:space="preserve">using </w:t>
      </w:r>
      <w:proofErr w:type="spellStart"/>
      <w:r w:rsidRPr="00761DC0">
        <w:rPr>
          <w:rFonts w:ascii="Arial" w:hAnsi="Arial" w:cs="Arial"/>
          <w:color w:val="000000"/>
          <w:sz w:val="22"/>
          <w:szCs w:val="22"/>
        </w:rPr>
        <w:t>SPRIselect</w:t>
      </w:r>
      <w:proofErr w:type="spellEnd"/>
      <w:r w:rsidRPr="00761DC0">
        <w:rPr>
          <w:rFonts w:ascii="Arial" w:hAnsi="Arial" w:cs="Arial"/>
          <w:color w:val="000000"/>
          <w:sz w:val="22"/>
          <w:szCs w:val="22"/>
        </w:rPr>
        <w:t xml:space="preserve">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w:t>
      </w:r>
      <w:r w:rsidR="00761DC0">
        <w:rPr>
          <w:rFonts w:ascii="Arial" w:hAnsi="Arial" w:cs="Arial"/>
          <w:color w:val="000000"/>
          <w:sz w:val="22"/>
          <w:szCs w:val="22"/>
        </w:rPr>
        <w:t xml:space="preserve">x </w:t>
      </w:r>
      <w:r w:rsidRPr="00761DC0">
        <w:rPr>
          <w:rFonts w:ascii="Arial" w:hAnsi="Arial" w:cs="Arial"/>
          <w:color w:val="000000"/>
          <w:sz w:val="22"/>
          <w:szCs w:val="22"/>
        </w:rPr>
        <w:t>Genomics) using the same input sample. Sequencing libraries were generated with unique sample indices (SI) for each sample and quantified. Libraries were sequenced on an Illumina HiSeq 4000 using a 150</w:t>
      </w:r>
      <w:r w:rsidR="00761DC0">
        <w:rPr>
          <w:rFonts w:ascii="Arial" w:hAnsi="Arial" w:cs="Arial"/>
          <w:color w:val="000000"/>
          <w:sz w:val="22"/>
          <w:szCs w:val="22"/>
        </w:rPr>
        <w:t>-</w:t>
      </w:r>
      <w:r w:rsidR="00761DC0">
        <w:rPr>
          <w:rFonts w:ascii="Arial" w:hAnsi="Arial" w:cs="Arial"/>
          <w:color w:val="000000"/>
          <w:sz w:val="22"/>
          <w:szCs w:val="22"/>
        </w:rPr>
        <w:lastRenderedPageBreak/>
        <w:t>pair-end</w:t>
      </w:r>
      <w:r w:rsidRPr="00761DC0">
        <w:rPr>
          <w:rFonts w:ascii="Arial" w:hAnsi="Arial" w:cs="Arial"/>
          <w:color w:val="000000"/>
          <w:sz w:val="22"/>
          <w:szCs w:val="22"/>
        </w:rPr>
        <w:t xml:space="preserve"> sequencing kit.</w:t>
      </w:r>
      <w:r w:rsidRPr="00761DC0">
        <w:rPr>
          <w:rFonts w:ascii="Arial" w:hAnsi="Arial" w:cs="Arial"/>
          <w:color w:val="000000"/>
          <w:sz w:val="22"/>
          <w:szCs w:val="22"/>
        </w:rPr>
        <w:t xml:space="preserve"> </w:t>
      </w:r>
      <w:r w:rsidRPr="00761DC0">
        <w:rPr>
          <w:rFonts w:ascii="Arial" w:hAnsi="Arial" w:cs="Arial"/>
          <w:sz w:val="22"/>
          <w:szCs w:val="22"/>
        </w:rPr>
        <w:t xml:space="preserve">Gene expression </w:t>
      </w:r>
      <w:r w:rsidRPr="00761DC0">
        <w:rPr>
          <w:rFonts w:ascii="Arial" w:hAnsi="Arial" w:cs="Arial"/>
          <w:color w:val="000000"/>
          <w:sz w:val="22"/>
          <w:szCs w:val="22"/>
        </w:rPr>
        <w:t>FASTQ files were aligned to the human genome (GRCh38) using the CellRanger v</w:t>
      </w:r>
      <w:r w:rsidRPr="00761DC0">
        <w:rPr>
          <w:rFonts w:ascii="Arial" w:hAnsi="Arial" w:cs="Arial"/>
          <w:color w:val="000000"/>
          <w:sz w:val="22"/>
          <w:szCs w:val="22"/>
        </w:rPr>
        <w:t xml:space="preserve">2.2 </w:t>
      </w:r>
      <w:r w:rsidRPr="00761DC0">
        <w:rPr>
          <w:rFonts w:ascii="Arial" w:hAnsi="Arial" w:cs="Arial"/>
          <w:color w:val="000000"/>
          <w:sz w:val="22"/>
          <w:szCs w:val="22"/>
        </w:rPr>
        <w:t xml:space="preserve">pipeline, while clonotype sequencing was aligned to the </w:t>
      </w:r>
      <w:r w:rsidRPr="00761DC0">
        <w:rPr>
          <w:rFonts w:ascii="Arial" w:hAnsi="Arial" w:cs="Arial"/>
          <w:color w:val="000000" w:themeColor="text1"/>
          <w:sz w:val="22"/>
          <w:szCs w:val="22"/>
        </w:rPr>
        <w:t>vdj_GRCh38_alts_ensembl genome build provided by the manufacturer</w:t>
      </w:r>
      <w:r w:rsidRPr="00761DC0">
        <w:rPr>
          <w:rFonts w:ascii="Arial" w:hAnsi="Arial" w:cs="Arial"/>
          <w:color w:val="000000" w:themeColor="text1"/>
          <w:sz w:val="22"/>
          <w:szCs w:val="22"/>
        </w:rPr>
        <w:t xml:space="preserve">. </w:t>
      </w:r>
    </w:p>
    <w:p w14:paraId="3F9B9EAB" w14:textId="77777777" w:rsidR="002355A8" w:rsidRPr="00761DC0" w:rsidRDefault="002355A8" w:rsidP="00761DC0">
      <w:pPr>
        <w:spacing w:line="480" w:lineRule="auto"/>
        <w:jc w:val="both"/>
        <w:rPr>
          <w:rFonts w:ascii="Arial" w:hAnsi="Arial" w:cs="Arial"/>
          <w:sz w:val="22"/>
          <w:szCs w:val="22"/>
        </w:rPr>
      </w:pPr>
    </w:p>
    <w:p w14:paraId="5022DB64" w14:textId="0A8547F6" w:rsidR="002355A8" w:rsidRPr="00761DC0" w:rsidRDefault="002355A8" w:rsidP="00276C2F">
      <w:pPr>
        <w:spacing w:line="480" w:lineRule="auto"/>
        <w:jc w:val="both"/>
        <w:rPr>
          <w:rFonts w:ascii="Arial" w:hAnsi="Arial" w:cs="Arial"/>
          <w:i/>
          <w:sz w:val="22"/>
          <w:szCs w:val="22"/>
        </w:rPr>
      </w:pPr>
      <w:r w:rsidRPr="00761DC0">
        <w:rPr>
          <w:rFonts w:ascii="Arial" w:hAnsi="Arial" w:cs="Arial"/>
          <w:i/>
          <w:sz w:val="22"/>
          <w:szCs w:val="22"/>
        </w:rPr>
        <w:t xml:space="preserve">Single-cell </w:t>
      </w:r>
      <w:r w:rsidR="005E7FEE">
        <w:rPr>
          <w:rFonts w:ascii="Arial" w:hAnsi="Arial" w:cs="Arial"/>
          <w:i/>
          <w:sz w:val="22"/>
          <w:szCs w:val="22"/>
        </w:rPr>
        <w:t>Data A</w:t>
      </w:r>
      <w:r w:rsidRPr="00761DC0">
        <w:rPr>
          <w:rFonts w:ascii="Arial" w:hAnsi="Arial" w:cs="Arial"/>
          <w:i/>
          <w:sz w:val="22"/>
          <w:szCs w:val="22"/>
        </w:rPr>
        <w:t>nalysis</w:t>
      </w:r>
    </w:p>
    <w:p w14:paraId="180C97A4" w14:textId="4BFF190E" w:rsidR="003064F8" w:rsidRPr="00761DC0" w:rsidRDefault="002355A8" w:rsidP="00276C2F">
      <w:pPr>
        <w:spacing w:line="480" w:lineRule="auto"/>
        <w:jc w:val="both"/>
        <w:rPr>
          <w:rFonts w:ascii="Arial" w:hAnsi="Arial" w:cs="Arial"/>
          <w:sz w:val="22"/>
          <w:szCs w:val="22"/>
        </w:rPr>
      </w:pPr>
      <w:r w:rsidRPr="00761DC0">
        <w:rPr>
          <w:rFonts w:ascii="Arial" w:hAnsi="Arial" w:cs="Arial"/>
          <w:sz w:val="22"/>
          <w:szCs w:val="22"/>
        </w:rPr>
        <w:t xml:space="preserve">Initial processing of </w:t>
      </w:r>
      <w:r w:rsidR="00C0682E" w:rsidRPr="00761DC0">
        <w:rPr>
          <w:rFonts w:ascii="Arial" w:hAnsi="Arial" w:cs="Arial"/>
          <w:sz w:val="22"/>
          <w:szCs w:val="22"/>
        </w:rPr>
        <w:t>cells isolated form the heart in</w:t>
      </w:r>
      <w:r w:rsidRPr="00761DC0">
        <w:rPr>
          <w:rFonts w:ascii="Arial" w:hAnsi="Arial" w:cs="Arial"/>
          <w:sz w:val="22"/>
          <w:szCs w:val="22"/>
        </w:rPr>
        <w:t xml:space="preserve"> </w:t>
      </w:r>
      <w:r w:rsidR="00C0682E" w:rsidRPr="00761DC0">
        <w:rPr>
          <w:rFonts w:ascii="Arial" w:hAnsi="Arial" w:cs="Arial"/>
          <w:sz w:val="22"/>
          <w:szCs w:val="22"/>
        </w:rPr>
        <w:t xml:space="preserve">myocarditis run 1 </w:t>
      </w:r>
      <w:r w:rsidRPr="00761DC0">
        <w:rPr>
          <w:rFonts w:ascii="Arial" w:hAnsi="Arial" w:cs="Arial"/>
          <w:sz w:val="22"/>
          <w:szCs w:val="22"/>
        </w:rPr>
        <w:t>(n=</w:t>
      </w:r>
      <w:r w:rsidR="00C0682E" w:rsidRPr="00761DC0">
        <w:rPr>
          <w:rFonts w:ascii="Arial" w:hAnsi="Arial" w:cs="Arial"/>
          <w:sz w:val="22"/>
          <w:szCs w:val="22"/>
        </w:rPr>
        <w:t>2,617</w:t>
      </w:r>
      <w:r w:rsidRPr="00761DC0">
        <w:rPr>
          <w:rFonts w:ascii="Arial" w:hAnsi="Arial" w:cs="Arial"/>
          <w:sz w:val="22"/>
          <w:szCs w:val="22"/>
        </w:rPr>
        <w:t xml:space="preserve">), </w:t>
      </w:r>
      <w:r w:rsidR="00C0682E" w:rsidRPr="00761DC0">
        <w:rPr>
          <w:rFonts w:ascii="Arial" w:hAnsi="Arial" w:cs="Arial"/>
          <w:sz w:val="22"/>
          <w:szCs w:val="22"/>
        </w:rPr>
        <w:t xml:space="preserve">myocarditis run 2 </w:t>
      </w:r>
      <w:r w:rsidRPr="00761DC0">
        <w:rPr>
          <w:rFonts w:ascii="Arial" w:hAnsi="Arial" w:cs="Arial"/>
          <w:sz w:val="22"/>
          <w:szCs w:val="22"/>
        </w:rPr>
        <w:t>(n=</w:t>
      </w:r>
      <w:r w:rsidR="00C0682E" w:rsidRPr="00761DC0">
        <w:rPr>
          <w:rFonts w:ascii="Arial" w:hAnsi="Arial" w:cs="Arial"/>
          <w:sz w:val="22"/>
          <w:szCs w:val="22"/>
        </w:rPr>
        <w:t>10,618</w:t>
      </w:r>
      <w:r w:rsidRPr="00761DC0">
        <w:rPr>
          <w:rFonts w:ascii="Arial" w:hAnsi="Arial" w:cs="Arial"/>
          <w:sz w:val="22"/>
          <w:szCs w:val="22"/>
        </w:rPr>
        <w:t xml:space="preserve">), </w:t>
      </w:r>
      <w:r w:rsidR="00C0682E" w:rsidRPr="00761DC0">
        <w:rPr>
          <w:rFonts w:ascii="Arial" w:hAnsi="Arial" w:cs="Arial"/>
          <w:sz w:val="22"/>
          <w:szCs w:val="22"/>
        </w:rPr>
        <w:t>control run1</w:t>
      </w:r>
      <w:r w:rsidRPr="00761DC0">
        <w:rPr>
          <w:rFonts w:ascii="Arial" w:hAnsi="Arial" w:cs="Arial"/>
          <w:sz w:val="22"/>
          <w:szCs w:val="22"/>
        </w:rPr>
        <w:t xml:space="preserve"> (n=</w:t>
      </w:r>
      <w:r w:rsidR="00C0682E" w:rsidRPr="00761DC0">
        <w:rPr>
          <w:rFonts w:ascii="Arial" w:hAnsi="Arial" w:cs="Arial"/>
          <w:sz w:val="22"/>
          <w:szCs w:val="22"/>
        </w:rPr>
        <w:t>1,528</w:t>
      </w:r>
      <w:r w:rsidRPr="00761DC0">
        <w:rPr>
          <w:rFonts w:ascii="Arial" w:hAnsi="Arial" w:cs="Arial"/>
          <w:sz w:val="22"/>
          <w:szCs w:val="22"/>
        </w:rPr>
        <w:t xml:space="preserve">), and </w:t>
      </w:r>
      <w:r w:rsidR="00C0682E" w:rsidRPr="00761DC0">
        <w:rPr>
          <w:rFonts w:ascii="Arial" w:hAnsi="Arial" w:cs="Arial"/>
          <w:sz w:val="22"/>
          <w:szCs w:val="22"/>
        </w:rPr>
        <w:t>control run 2</w:t>
      </w:r>
      <w:r w:rsidRPr="00761DC0">
        <w:rPr>
          <w:rFonts w:ascii="Arial" w:hAnsi="Arial" w:cs="Arial"/>
          <w:sz w:val="22"/>
          <w:szCs w:val="22"/>
        </w:rPr>
        <w:t xml:space="preserve"> (n=</w:t>
      </w:r>
      <w:r w:rsidR="00C0682E" w:rsidRPr="00761DC0">
        <w:rPr>
          <w:rFonts w:ascii="Arial" w:hAnsi="Arial" w:cs="Arial"/>
          <w:sz w:val="22"/>
          <w:szCs w:val="22"/>
        </w:rPr>
        <w:t>8,201</w:t>
      </w:r>
      <w:r w:rsidRPr="00761DC0">
        <w:rPr>
          <w:rFonts w:ascii="Arial" w:hAnsi="Arial" w:cs="Arial"/>
          <w:sz w:val="22"/>
          <w:szCs w:val="22"/>
        </w:rPr>
        <w:t xml:space="preserve">) was performed using the Seurat R </w:t>
      </w:r>
      <w:r w:rsidR="003E66F1" w:rsidRPr="00761DC0">
        <w:rPr>
          <w:rFonts w:ascii="Arial" w:hAnsi="Arial" w:cs="Arial"/>
          <w:sz w:val="22"/>
          <w:szCs w:val="22"/>
        </w:rPr>
        <w:t>p</w:t>
      </w:r>
      <w:r w:rsidRPr="00761DC0">
        <w:rPr>
          <w:rFonts w:ascii="Arial" w:hAnsi="Arial" w:cs="Arial"/>
          <w:sz w:val="22"/>
          <w:szCs w:val="22"/>
        </w:rPr>
        <w:t xml:space="preserve">ackage (v3.0.2) (cite </w:t>
      </w:r>
      <w:hyperlink r:id="rId5" w:history="1">
        <w:r w:rsidRPr="00761DC0">
          <w:rPr>
            <w:rStyle w:val="Hyperlink"/>
            <w:rFonts w:ascii="Arial" w:hAnsi="Arial" w:cs="Arial"/>
            <w:sz w:val="22"/>
            <w:szCs w:val="22"/>
          </w:rPr>
          <w:t>here</w:t>
        </w:r>
      </w:hyperlink>
      <w:r w:rsidR="003064F8" w:rsidRPr="00761DC0">
        <w:rPr>
          <w:rFonts w:ascii="Arial" w:hAnsi="Arial" w:cs="Arial"/>
          <w:sz w:val="22"/>
          <w:szCs w:val="22"/>
        </w:rPr>
        <w:t xml:space="preserve"> and </w:t>
      </w:r>
      <w:hyperlink r:id="rId6" w:history="1">
        <w:r w:rsidR="003064F8" w:rsidRPr="00761DC0">
          <w:rPr>
            <w:rStyle w:val="Hyperlink"/>
            <w:rFonts w:ascii="Arial" w:hAnsi="Arial" w:cs="Arial"/>
            <w:sz w:val="22"/>
            <w:szCs w:val="22"/>
          </w:rPr>
          <w:t>here</w:t>
        </w:r>
      </w:hyperlink>
      <w:r w:rsidRPr="00761DC0">
        <w:rPr>
          <w:rFonts w:ascii="Arial" w:hAnsi="Arial" w:cs="Arial"/>
          <w:sz w:val="22"/>
          <w:szCs w:val="22"/>
        </w:rPr>
        <w:t xml:space="preserve">). Samples were </w:t>
      </w:r>
      <w:r w:rsidR="003064F8" w:rsidRPr="00761DC0">
        <w:rPr>
          <w:rFonts w:ascii="Arial" w:hAnsi="Arial" w:cs="Arial"/>
          <w:sz w:val="22"/>
          <w:szCs w:val="22"/>
        </w:rPr>
        <w:t xml:space="preserve">normalized using the </w:t>
      </w:r>
      <w:proofErr w:type="spellStart"/>
      <w:r w:rsidR="003064F8" w:rsidRPr="005E7FEE">
        <w:rPr>
          <w:rFonts w:ascii="Arial" w:hAnsi="Arial" w:cs="Arial"/>
          <w:i/>
          <w:iCs/>
          <w:sz w:val="22"/>
          <w:szCs w:val="22"/>
        </w:rPr>
        <w:t>SCTtransform</w:t>
      </w:r>
      <w:proofErr w:type="spellEnd"/>
      <w:r w:rsidR="003064F8" w:rsidRPr="00761DC0">
        <w:rPr>
          <w:rFonts w:ascii="Arial" w:hAnsi="Arial" w:cs="Arial"/>
          <w:sz w:val="22"/>
          <w:szCs w:val="22"/>
        </w:rPr>
        <w:t xml:space="preserve"> approach (cite </w:t>
      </w:r>
      <w:hyperlink r:id="rId7" w:history="1">
        <w:r w:rsidR="003064F8" w:rsidRPr="00761DC0">
          <w:rPr>
            <w:rStyle w:val="Hyperlink"/>
            <w:rFonts w:ascii="Arial" w:hAnsi="Arial" w:cs="Arial"/>
            <w:sz w:val="22"/>
            <w:szCs w:val="22"/>
          </w:rPr>
          <w:t>here</w:t>
        </w:r>
      </w:hyperlink>
      <w:r w:rsidR="003064F8" w:rsidRPr="00761DC0">
        <w:rPr>
          <w:rFonts w:ascii="Arial" w:hAnsi="Arial" w:cs="Arial"/>
          <w:sz w:val="22"/>
          <w:szCs w:val="22"/>
        </w:rPr>
        <w:t>) with default settings</w:t>
      </w:r>
      <w:r w:rsidR="005E7FEE">
        <w:rPr>
          <w:rFonts w:ascii="Arial" w:hAnsi="Arial" w:cs="Arial"/>
          <w:sz w:val="22"/>
          <w:szCs w:val="22"/>
        </w:rPr>
        <w:t xml:space="preserve">. </w:t>
      </w:r>
      <w:proofErr w:type="spellStart"/>
      <w:r w:rsidR="005E7FEE">
        <w:rPr>
          <w:rFonts w:ascii="Arial" w:hAnsi="Arial" w:cs="Arial"/>
          <w:sz w:val="22"/>
          <w:szCs w:val="22"/>
        </w:rPr>
        <w:t>Preperation</w:t>
      </w:r>
      <w:proofErr w:type="spellEnd"/>
      <w:r w:rsidR="005E7FEE">
        <w:rPr>
          <w:rFonts w:ascii="Arial" w:hAnsi="Arial" w:cs="Arial"/>
          <w:sz w:val="22"/>
          <w:szCs w:val="22"/>
        </w:rPr>
        <w:t xml:space="preserve"> for integration used 3,000 anchor features and </w:t>
      </w:r>
      <w:proofErr w:type="spellStart"/>
      <w:r w:rsidR="005E7FEE" w:rsidRPr="005E7FEE">
        <w:rPr>
          <w:rFonts w:ascii="Arial" w:hAnsi="Arial" w:cs="Arial"/>
          <w:i/>
          <w:iCs/>
          <w:sz w:val="22"/>
          <w:szCs w:val="22"/>
        </w:rPr>
        <w:t>PrepSCTIntegration</w:t>
      </w:r>
      <w:proofErr w:type="spellEnd"/>
      <w:r w:rsidR="005E7FEE">
        <w:rPr>
          <w:rFonts w:ascii="Arial" w:hAnsi="Arial" w:cs="Arial"/>
          <w:sz w:val="22"/>
          <w:szCs w:val="22"/>
        </w:rPr>
        <w:t>. The integration of sequencing runs occurred with the SCT-transformed data. The d</w:t>
      </w:r>
      <w:r w:rsidRPr="00761DC0">
        <w:rPr>
          <w:rFonts w:ascii="Arial" w:hAnsi="Arial" w:cs="Arial"/>
          <w:sz w:val="22"/>
          <w:szCs w:val="22"/>
        </w:rPr>
        <w:t>imensional reduction to form the</w:t>
      </w:r>
      <w:r w:rsidR="003064F8" w:rsidRPr="00761DC0">
        <w:rPr>
          <w:rFonts w:ascii="Arial" w:hAnsi="Arial" w:cs="Arial"/>
          <w:sz w:val="22"/>
          <w:szCs w:val="22"/>
        </w:rPr>
        <w:t xml:space="preserve"> uniform manifold approximation and project (UMAP) </w:t>
      </w:r>
      <w:r w:rsidRPr="00761DC0">
        <w:rPr>
          <w:rFonts w:ascii="Arial" w:hAnsi="Arial" w:cs="Arial"/>
          <w:sz w:val="22"/>
          <w:szCs w:val="22"/>
        </w:rPr>
        <w:t>utilized the top 30 calculated dimensions and a resolution of 0.</w:t>
      </w:r>
      <w:r w:rsidR="005E7FEE">
        <w:rPr>
          <w:rFonts w:ascii="Arial" w:hAnsi="Arial" w:cs="Arial"/>
          <w:sz w:val="22"/>
          <w:szCs w:val="22"/>
        </w:rPr>
        <w:t>7</w:t>
      </w:r>
      <w:r w:rsidRPr="00761DC0">
        <w:rPr>
          <w:rFonts w:ascii="Arial" w:hAnsi="Arial" w:cs="Arial"/>
          <w:sz w:val="22"/>
          <w:szCs w:val="22"/>
        </w:rPr>
        <w:t>.</w:t>
      </w:r>
      <w:r w:rsidR="003064F8" w:rsidRPr="00761DC0">
        <w:rPr>
          <w:rFonts w:ascii="Arial" w:hAnsi="Arial" w:cs="Arial"/>
          <w:sz w:val="22"/>
          <w:szCs w:val="22"/>
        </w:rPr>
        <w:t xml:space="preserve"> </w:t>
      </w:r>
      <w:r w:rsidR="003E66F1" w:rsidRPr="00761DC0">
        <w:rPr>
          <w:rFonts w:ascii="Arial" w:hAnsi="Arial" w:cs="Arial"/>
          <w:sz w:val="22"/>
          <w:szCs w:val="22"/>
        </w:rPr>
        <w:t xml:space="preserve">The </w:t>
      </w:r>
      <w:proofErr w:type="spellStart"/>
      <w:r w:rsidR="003E66F1" w:rsidRPr="00761DC0">
        <w:rPr>
          <w:rFonts w:ascii="Arial" w:hAnsi="Arial" w:cs="Arial"/>
          <w:sz w:val="22"/>
          <w:szCs w:val="22"/>
        </w:rPr>
        <w:t>schex</w:t>
      </w:r>
      <w:proofErr w:type="spellEnd"/>
      <w:r w:rsidR="003E66F1" w:rsidRPr="00761DC0">
        <w:rPr>
          <w:rFonts w:ascii="Arial" w:hAnsi="Arial" w:cs="Arial"/>
          <w:sz w:val="22"/>
          <w:szCs w:val="22"/>
        </w:rPr>
        <w:t xml:space="preserve"> R package (v1.1.5) was used to visualize mRNA expression of lineage-specific or highly differential markers by converting the UMAP manifold into </w:t>
      </w:r>
      <w:proofErr w:type="spellStart"/>
      <w:r w:rsidR="003E66F1" w:rsidRPr="00761DC0">
        <w:rPr>
          <w:rFonts w:ascii="Arial" w:hAnsi="Arial" w:cs="Arial"/>
          <w:sz w:val="22"/>
          <w:szCs w:val="22"/>
        </w:rPr>
        <w:t>hexbin</w:t>
      </w:r>
      <w:proofErr w:type="spellEnd"/>
      <w:r w:rsidR="003E66F1" w:rsidRPr="00761DC0">
        <w:rPr>
          <w:rFonts w:ascii="Arial" w:hAnsi="Arial" w:cs="Arial"/>
          <w:sz w:val="22"/>
          <w:szCs w:val="22"/>
        </w:rPr>
        <w:t xml:space="preserve"> quantifications of the proportion of single-cells with the indicated gene expressed. Default binning was set at 80, unless otherwise indicated in the figure legend.</w:t>
      </w:r>
    </w:p>
    <w:p w14:paraId="325682B8" w14:textId="3BE19500" w:rsidR="003064F8" w:rsidRPr="00761DC0" w:rsidRDefault="003064F8" w:rsidP="00276C2F">
      <w:pPr>
        <w:spacing w:line="480" w:lineRule="auto"/>
        <w:jc w:val="both"/>
        <w:rPr>
          <w:rFonts w:ascii="Arial" w:hAnsi="Arial" w:cs="Arial"/>
          <w:sz w:val="22"/>
          <w:szCs w:val="22"/>
        </w:rPr>
      </w:pPr>
    </w:p>
    <w:p w14:paraId="43E158F4" w14:textId="5CEAD492" w:rsidR="003E66F1" w:rsidRPr="00761DC0" w:rsidRDefault="003064F8" w:rsidP="00276C2F">
      <w:pPr>
        <w:spacing w:line="480" w:lineRule="auto"/>
        <w:jc w:val="both"/>
        <w:rPr>
          <w:rFonts w:ascii="Arial" w:hAnsi="Arial" w:cs="Arial"/>
          <w:sz w:val="22"/>
          <w:szCs w:val="22"/>
        </w:rPr>
      </w:pPr>
      <w:r w:rsidRPr="00761DC0">
        <w:rPr>
          <w:rFonts w:ascii="Arial" w:hAnsi="Arial" w:cs="Arial"/>
          <w:sz w:val="22"/>
          <w:szCs w:val="22"/>
        </w:rPr>
        <w:t>Cell type identification utilized the SingleR (v1.0.1) R package</w:t>
      </w:r>
      <w:r w:rsidR="003E66F1" w:rsidRPr="00761DC0">
        <w:rPr>
          <w:rFonts w:ascii="Arial" w:hAnsi="Arial" w:cs="Arial"/>
          <w:sz w:val="22"/>
          <w:szCs w:val="22"/>
        </w:rPr>
        <w:t xml:space="preserve"> (cite </w:t>
      </w:r>
      <w:hyperlink r:id="rId8" w:history="1">
        <w:r w:rsidR="003E66F1" w:rsidRPr="00761DC0">
          <w:rPr>
            <w:rStyle w:val="Hyperlink"/>
            <w:rFonts w:ascii="Arial" w:hAnsi="Arial" w:cs="Arial"/>
            <w:sz w:val="22"/>
            <w:szCs w:val="22"/>
          </w:rPr>
          <w:t>here</w:t>
        </w:r>
      </w:hyperlink>
      <w:r w:rsidR="003E66F1" w:rsidRPr="00761DC0">
        <w:rPr>
          <w:rFonts w:ascii="Arial" w:hAnsi="Arial" w:cs="Arial"/>
          <w:sz w:val="22"/>
          <w:szCs w:val="22"/>
        </w:rPr>
        <w:t xml:space="preserve">) with </w:t>
      </w:r>
      <w:r w:rsidRPr="00761DC0">
        <w:rPr>
          <w:rFonts w:ascii="Arial" w:hAnsi="Arial" w:cs="Arial"/>
          <w:sz w:val="22"/>
          <w:szCs w:val="22"/>
        </w:rPr>
        <w:t>correlations</w:t>
      </w:r>
      <w:r w:rsidR="003E66F1" w:rsidRPr="00761DC0">
        <w:rPr>
          <w:rFonts w:ascii="Arial" w:hAnsi="Arial" w:cs="Arial"/>
          <w:sz w:val="22"/>
          <w:szCs w:val="22"/>
        </w:rPr>
        <w:t xml:space="preserve"> of the single-</w:t>
      </w:r>
      <w:r w:rsidRPr="00761DC0">
        <w:rPr>
          <w:rFonts w:ascii="Arial" w:hAnsi="Arial" w:cs="Arial"/>
          <w:sz w:val="22"/>
          <w:szCs w:val="22"/>
        </w:rPr>
        <w:t xml:space="preserve">cell expression values </w:t>
      </w:r>
      <w:r w:rsidR="003E66F1" w:rsidRPr="00761DC0">
        <w:rPr>
          <w:rFonts w:ascii="Arial" w:hAnsi="Arial" w:cs="Arial"/>
          <w:sz w:val="22"/>
          <w:szCs w:val="22"/>
        </w:rPr>
        <w:t>with</w:t>
      </w:r>
      <w:r w:rsidRPr="00761DC0">
        <w:rPr>
          <w:rFonts w:ascii="Arial" w:hAnsi="Arial" w:cs="Arial"/>
          <w:sz w:val="22"/>
          <w:szCs w:val="22"/>
        </w:rPr>
        <w:t xml:space="preserve"> transcriptional profiles from pure cell populations in </w:t>
      </w:r>
      <w:r w:rsidR="008274D0" w:rsidRPr="00761DC0">
        <w:rPr>
          <w:rFonts w:ascii="Arial" w:hAnsi="Arial" w:cs="Arial"/>
          <w:sz w:val="22"/>
          <w:szCs w:val="22"/>
        </w:rPr>
        <w:t>the ENCODE</w:t>
      </w:r>
      <w:r w:rsidRPr="00761DC0">
        <w:rPr>
          <w:rFonts w:ascii="Arial" w:hAnsi="Arial" w:cs="Arial"/>
          <w:sz w:val="22"/>
          <w:szCs w:val="22"/>
        </w:rPr>
        <w:t xml:space="preserve"> (cite </w:t>
      </w:r>
      <w:hyperlink r:id="rId9" w:history="1">
        <w:r w:rsidRPr="00761DC0">
          <w:rPr>
            <w:rStyle w:val="Hyperlink"/>
            <w:rFonts w:ascii="Arial" w:hAnsi="Arial" w:cs="Arial"/>
            <w:sz w:val="22"/>
            <w:szCs w:val="22"/>
          </w:rPr>
          <w:t>here</w:t>
        </w:r>
      </w:hyperlink>
      <w:r w:rsidRPr="00761DC0">
        <w:rPr>
          <w:rFonts w:ascii="Arial" w:hAnsi="Arial" w:cs="Arial"/>
          <w:sz w:val="22"/>
          <w:szCs w:val="22"/>
        </w:rPr>
        <w:t>).</w:t>
      </w:r>
      <w:r w:rsidR="003E66F1" w:rsidRPr="00761DC0">
        <w:rPr>
          <w:rFonts w:ascii="Arial" w:hAnsi="Arial" w:cs="Arial"/>
          <w:sz w:val="22"/>
          <w:szCs w:val="22"/>
        </w:rPr>
        <w:t xml:space="preserve"> In addition to correlations, canonical markers for cell lineages </w:t>
      </w:r>
      <w:r w:rsidR="008274D0" w:rsidRPr="00761DC0">
        <w:rPr>
          <w:rFonts w:ascii="Arial" w:hAnsi="Arial" w:cs="Arial"/>
          <w:sz w:val="22"/>
          <w:szCs w:val="22"/>
        </w:rPr>
        <w:t>(</w:t>
      </w:r>
      <w:r w:rsidR="003E66F1" w:rsidRPr="00761DC0">
        <w:rPr>
          <w:rFonts w:ascii="Arial" w:hAnsi="Arial" w:cs="Arial"/>
          <w:sz w:val="22"/>
          <w:szCs w:val="22"/>
          <w:highlight w:val="yellow"/>
        </w:rPr>
        <w:t>Supplemental Table X</w:t>
      </w:r>
      <w:r w:rsidR="008274D0" w:rsidRPr="00761DC0">
        <w:rPr>
          <w:rFonts w:ascii="Arial" w:hAnsi="Arial" w:cs="Arial"/>
          <w:sz w:val="22"/>
          <w:szCs w:val="22"/>
        </w:rPr>
        <w:t xml:space="preserve">) and </w:t>
      </w:r>
      <w:r w:rsidR="00761DC0" w:rsidRPr="00761DC0">
        <w:rPr>
          <w:rFonts w:ascii="Arial" w:hAnsi="Arial" w:cs="Arial"/>
          <w:sz w:val="22"/>
          <w:szCs w:val="22"/>
        </w:rPr>
        <w:t>corresponding TCR sequences were used</w:t>
      </w:r>
      <w:r w:rsidR="003E66F1" w:rsidRPr="00761DC0">
        <w:rPr>
          <w:rFonts w:ascii="Arial" w:hAnsi="Arial" w:cs="Arial"/>
          <w:sz w:val="22"/>
          <w:szCs w:val="22"/>
        </w:rPr>
        <w:t>. Differential gene expression utilized the Wilcoxon rank sum test on count-level mRNA data. For</w:t>
      </w:r>
      <w:r w:rsidR="00C0682E" w:rsidRPr="00761DC0">
        <w:rPr>
          <w:rFonts w:ascii="Arial" w:hAnsi="Arial" w:cs="Arial"/>
          <w:sz w:val="22"/>
          <w:szCs w:val="22"/>
        </w:rPr>
        <w:t xml:space="preserve"> </w:t>
      </w:r>
      <w:r w:rsidR="003E66F1" w:rsidRPr="00761DC0">
        <w:rPr>
          <w:rFonts w:ascii="Arial" w:hAnsi="Arial" w:cs="Arial"/>
          <w:sz w:val="22"/>
          <w:szCs w:val="22"/>
        </w:rPr>
        <w:t xml:space="preserve">differential gene expression across clusters or </w:t>
      </w:r>
      <w:proofErr w:type="spellStart"/>
      <w:r w:rsidR="003E66F1" w:rsidRPr="00761DC0">
        <w:rPr>
          <w:rFonts w:ascii="Arial" w:hAnsi="Arial" w:cs="Arial"/>
          <w:sz w:val="22"/>
          <w:szCs w:val="22"/>
        </w:rPr>
        <w:t>subclusters</w:t>
      </w:r>
      <w:proofErr w:type="spellEnd"/>
      <w:r w:rsidR="003E66F1" w:rsidRPr="00761DC0">
        <w:rPr>
          <w:rFonts w:ascii="Arial" w:hAnsi="Arial" w:cs="Arial"/>
          <w:sz w:val="22"/>
          <w:szCs w:val="22"/>
        </w:rPr>
        <w:t xml:space="preserve">, </w:t>
      </w:r>
      <w:proofErr w:type="spellStart"/>
      <w:r w:rsidR="003E66F1" w:rsidRPr="00761DC0">
        <w:rPr>
          <w:rFonts w:ascii="Arial" w:hAnsi="Arial" w:cs="Arial"/>
          <w:i/>
          <w:iCs/>
          <w:sz w:val="22"/>
          <w:szCs w:val="22"/>
        </w:rPr>
        <w:t>FindAllMarkers</w:t>
      </w:r>
      <w:proofErr w:type="spellEnd"/>
      <w:r w:rsidR="003E66F1" w:rsidRPr="00761DC0">
        <w:rPr>
          <w:rFonts w:ascii="Arial" w:hAnsi="Arial" w:cs="Arial"/>
          <w:sz w:val="22"/>
          <w:szCs w:val="22"/>
        </w:rPr>
        <w:t xml:space="preserve"> function in the Seurat package using the log-fold change threshold &gt; 0.25</w:t>
      </w:r>
      <w:r w:rsidR="00C0682E" w:rsidRPr="00761DC0">
        <w:rPr>
          <w:rFonts w:ascii="Arial" w:hAnsi="Arial" w:cs="Arial"/>
          <w:sz w:val="22"/>
          <w:szCs w:val="22"/>
        </w:rPr>
        <w:t xml:space="preserve">, minimum group percentage = 10%, and the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Differential comparisons between condition utilized the </w:t>
      </w:r>
      <w:proofErr w:type="spellStart"/>
      <w:r w:rsidR="00C0682E" w:rsidRPr="00761DC0">
        <w:rPr>
          <w:rFonts w:ascii="Arial" w:hAnsi="Arial" w:cs="Arial"/>
          <w:i/>
          <w:iCs/>
          <w:sz w:val="22"/>
          <w:szCs w:val="22"/>
        </w:rPr>
        <w:t>FindMarkers</w:t>
      </w:r>
      <w:proofErr w:type="spellEnd"/>
      <w:r w:rsidR="00C0682E" w:rsidRPr="00761DC0">
        <w:rPr>
          <w:rFonts w:ascii="Arial" w:hAnsi="Arial" w:cs="Arial"/>
          <w:sz w:val="22"/>
          <w:szCs w:val="22"/>
        </w:rPr>
        <w:t xml:space="preserve"> function in Seurat, without filtering and a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Multiple hypothesis correction was reported using the </w:t>
      </w:r>
      <w:r w:rsidR="00C0682E" w:rsidRPr="00761DC0">
        <w:rPr>
          <w:rFonts w:ascii="Arial" w:hAnsi="Arial" w:cs="Arial"/>
          <w:sz w:val="22"/>
          <w:szCs w:val="22"/>
        </w:rPr>
        <w:lastRenderedPageBreak/>
        <w:t xml:space="preserve">Bonferroni method. </w:t>
      </w:r>
      <w:r w:rsidR="00CC3469" w:rsidRPr="00761DC0">
        <w:rPr>
          <w:rFonts w:ascii="Arial" w:hAnsi="Arial" w:cs="Arial"/>
          <w:sz w:val="22"/>
          <w:szCs w:val="22"/>
        </w:rPr>
        <w:t xml:space="preserve">Cell cycle regression was performed in Seurat using the </w:t>
      </w:r>
      <w:proofErr w:type="spellStart"/>
      <w:r w:rsidR="00CC3469" w:rsidRPr="00761DC0">
        <w:rPr>
          <w:rFonts w:ascii="Arial" w:hAnsi="Arial" w:cs="Arial"/>
          <w:i/>
          <w:iCs/>
          <w:sz w:val="22"/>
          <w:szCs w:val="22"/>
        </w:rPr>
        <w:t>CellCycleScoring</w:t>
      </w:r>
      <w:proofErr w:type="spellEnd"/>
      <w:r w:rsidR="00CC3469" w:rsidRPr="00761DC0">
        <w:rPr>
          <w:rFonts w:ascii="Arial" w:hAnsi="Arial" w:cs="Arial"/>
          <w:sz w:val="22"/>
          <w:szCs w:val="22"/>
        </w:rPr>
        <w:t xml:space="preserve"> function and genes derived from </w:t>
      </w:r>
      <w:proofErr w:type="spellStart"/>
      <w:r w:rsidR="00CC3469" w:rsidRPr="00761DC0">
        <w:rPr>
          <w:rFonts w:ascii="Arial" w:hAnsi="Arial" w:cs="Arial"/>
          <w:sz w:val="22"/>
          <w:szCs w:val="22"/>
        </w:rPr>
        <w:t>Nestorowa</w:t>
      </w:r>
      <w:proofErr w:type="spellEnd"/>
      <w:r w:rsidR="00CC3469" w:rsidRPr="00761DC0">
        <w:rPr>
          <w:rFonts w:ascii="Arial" w:hAnsi="Arial" w:cs="Arial"/>
          <w:sz w:val="22"/>
          <w:szCs w:val="22"/>
        </w:rPr>
        <w:t xml:space="preserve"> et alia (cite </w:t>
      </w:r>
      <w:hyperlink r:id="rId10" w:history="1">
        <w:r w:rsidR="00CC3469" w:rsidRPr="00761DC0">
          <w:rPr>
            <w:rStyle w:val="Hyperlink"/>
            <w:rFonts w:ascii="Arial" w:hAnsi="Arial" w:cs="Arial"/>
            <w:sz w:val="22"/>
            <w:szCs w:val="22"/>
          </w:rPr>
          <w:t>here</w:t>
        </w:r>
      </w:hyperlink>
      <w:r w:rsidR="00CC3469" w:rsidRPr="00761DC0">
        <w:rPr>
          <w:rFonts w:ascii="Arial" w:hAnsi="Arial" w:cs="Arial"/>
          <w:sz w:val="22"/>
          <w:szCs w:val="22"/>
        </w:rPr>
        <w:t xml:space="preserve">). Genes were isolated by calling </w:t>
      </w:r>
      <w:r w:rsidR="00CC3469" w:rsidRPr="00761DC0">
        <w:rPr>
          <w:rFonts w:ascii="Arial" w:hAnsi="Arial" w:cs="Arial"/>
          <w:i/>
          <w:iCs/>
          <w:sz w:val="22"/>
          <w:szCs w:val="22"/>
        </w:rPr>
        <w:t>cc.genes.updated.2019</w:t>
      </w:r>
      <w:r w:rsidR="00CC3469" w:rsidRPr="00761DC0">
        <w:rPr>
          <w:rFonts w:ascii="Arial" w:hAnsi="Arial" w:cs="Arial"/>
          <w:sz w:val="22"/>
          <w:szCs w:val="22"/>
        </w:rPr>
        <w:t xml:space="preserve"> in R.</w:t>
      </w:r>
      <w:r w:rsidR="00CC3469" w:rsidRPr="00761DC0">
        <w:rPr>
          <w:rFonts w:ascii="Arial" w:hAnsi="Arial" w:cs="Arial"/>
          <w:i/>
          <w:iCs/>
          <w:sz w:val="22"/>
          <w:szCs w:val="22"/>
        </w:rPr>
        <w:t xml:space="preserve"> </w:t>
      </w:r>
      <w:r w:rsidR="00C0682E" w:rsidRPr="00761DC0">
        <w:rPr>
          <w:rFonts w:ascii="Arial" w:hAnsi="Arial" w:cs="Arial"/>
          <w:sz w:val="22"/>
          <w:szCs w:val="22"/>
        </w:rPr>
        <w:t>Gene set enrichment analysis was performed using the escape R package (v0.99.0).</w:t>
      </w:r>
      <w:r w:rsidR="00732B3F" w:rsidRPr="00761DC0">
        <w:rPr>
          <w:rFonts w:ascii="Arial" w:hAnsi="Arial" w:cs="Arial"/>
          <w:sz w:val="22"/>
          <w:szCs w:val="22"/>
        </w:rPr>
        <w:t xml:space="preserve"> Differential enrichment analysis was performed using the </w:t>
      </w:r>
      <w:proofErr w:type="spellStart"/>
      <w:r w:rsidR="00732B3F" w:rsidRPr="00761DC0">
        <w:rPr>
          <w:rFonts w:ascii="Arial" w:hAnsi="Arial" w:cs="Arial"/>
          <w:i/>
          <w:iCs/>
          <w:sz w:val="22"/>
          <w:szCs w:val="22"/>
        </w:rPr>
        <w:t>getSignificance</w:t>
      </w:r>
      <w:proofErr w:type="spellEnd"/>
      <w:r w:rsidR="00732B3F" w:rsidRPr="00761DC0">
        <w:rPr>
          <w:rFonts w:ascii="Arial" w:hAnsi="Arial" w:cs="Arial"/>
          <w:sz w:val="22"/>
          <w:szCs w:val="22"/>
        </w:rPr>
        <w:t xml:space="preserve"> function in escape that is based on the </w:t>
      </w:r>
      <w:proofErr w:type="spellStart"/>
      <w:r w:rsidR="00732B3F" w:rsidRPr="00761DC0">
        <w:rPr>
          <w:rFonts w:ascii="Arial" w:hAnsi="Arial" w:cs="Arial"/>
          <w:sz w:val="22"/>
          <w:szCs w:val="22"/>
        </w:rPr>
        <w:t>limma</w:t>
      </w:r>
      <w:proofErr w:type="spellEnd"/>
      <w:r w:rsidR="00732B3F" w:rsidRPr="00761DC0">
        <w:rPr>
          <w:rFonts w:ascii="Arial" w:hAnsi="Arial" w:cs="Arial"/>
          <w:sz w:val="22"/>
          <w:szCs w:val="22"/>
        </w:rPr>
        <w:t xml:space="preserve"> R package linear fit model.</w:t>
      </w:r>
      <w:r w:rsidR="00CC3469" w:rsidRPr="00761DC0">
        <w:rPr>
          <w:rFonts w:ascii="Arial" w:hAnsi="Arial" w:cs="Arial"/>
          <w:sz w:val="22"/>
          <w:szCs w:val="22"/>
        </w:rPr>
        <w:t xml:space="preserve"> </w:t>
      </w:r>
      <w:r w:rsidR="00A83491" w:rsidRPr="00761DC0">
        <w:rPr>
          <w:rFonts w:ascii="Arial" w:hAnsi="Arial" w:cs="Arial"/>
          <w:sz w:val="22"/>
          <w:szCs w:val="22"/>
          <w:highlight w:val="yellow"/>
        </w:rPr>
        <w:t>Cell trajectory</w:t>
      </w:r>
      <w:r w:rsidR="00A83491" w:rsidRPr="00761DC0">
        <w:rPr>
          <w:rFonts w:ascii="Arial" w:hAnsi="Arial" w:cs="Arial"/>
          <w:sz w:val="22"/>
          <w:szCs w:val="22"/>
        </w:rPr>
        <w:t xml:space="preserve"> </w:t>
      </w:r>
      <w:r w:rsidR="00CC3469" w:rsidRPr="00761DC0">
        <w:rPr>
          <w:rFonts w:ascii="Arial" w:hAnsi="Arial" w:cs="Arial"/>
          <w:sz w:val="22"/>
          <w:szCs w:val="22"/>
        </w:rPr>
        <w:t xml:space="preserve">The code for all analysis is available at </w:t>
      </w:r>
      <w:hyperlink r:id="rId11" w:history="1">
        <w:r w:rsidR="00761DC0" w:rsidRPr="00761DC0">
          <w:rPr>
            <w:rStyle w:val="Hyperlink"/>
            <w:rFonts w:ascii="Arial" w:hAnsi="Arial" w:cs="Arial"/>
            <w:sz w:val="22"/>
            <w:szCs w:val="22"/>
          </w:rPr>
          <w:t>https://github.com/ncborcherding/ccRCC</w:t>
        </w:r>
      </w:hyperlink>
      <w:r w:rsidR="00761DC0" w:rsidRPr="00761DC0">
        <w:rPr>
          <w:rFonts w:ascii="Arial" w:hAnsi="Arial" w:cs="Arial"/>
          <w:sz w:val="22"/>
          <w:szCs w:val="22"/>
        </w:rPr>
        <w:t xml:space="preserve"> </w:t>
      </w:r>
      <w:r w:rsidR="00CC3469" w:rsidRPr="0012679D">
        <w:rPr>
          <w:rFonts w:ascii="Arial" w:hAnsi="Arial" w:cs="Arial"/>
          <w:sz w:val="22"/>
          <w:szCs w:val="22"/>
          <w:highlight w:val="yellow"/>
        </w:rPr>
        <w:t>(this link is private until publication).</w:t>
      </w:r>
    </w:p>
    <w:p w14:paraId="29CB23D0" w14:textId="7129A52C" w:rsidR="00CC3469" w:rsidRPr="00761DC0" w:rsidRDefault="00CC3469" w:rsidP="00276C2F">
      <w:pPr>
        <w:spacing w:line="480" w:lineRule="auto"/>
        <w:jc w:val="both"/>
        <w:rPr>
          <w:rFonts w:ascii="Arial" w:hAnsi="Arial" w:cs="Arial"/>
          <w:sz w:val="22"/>
          <w:szCs w:val="22"/>
        </w:rPr>
      </w:pPr>
    </w:p>
    <w:p w14:paraId="0A464AA5" w14:textId="77777777" w:rsidR="00CC3469" w:rsidRPr="00761DC0" w:rsidRDefault="00CC3469" w:rsidP="00276C2F">
      <w:pPr>
        <w:spacing w:line="480" w:lineRule="auto"/>
        <w:rPr>
          <w:rFonts w:ascii="Arial" w:hAnsi="Arial" w:cs="Arial"/>
          <w:i/>
          <w:color w:val="000000"/>
          <w:sz w:val="22"/>
          <w:szCs w:val="22"/>
        </w:rPr>
      </w:pPr>
      <w:r w:rsidRPr="00761DC0">
        <w:rPr>
          <w:rFonts w:ascii="Arial" w:hAnsi="Arial" w:cs="Arial"/>
          <w:i/>
          <w:color w:val="000000"/>
          <w:sz w:val="22"/>
          <w:szCs w:val="22"/>
        </w:rPr>
        <w:t>Statistical Analysis</w:t>
      </w:r>
    </w:p>
    <w:p w14:paraId="45AA42C1" w14:textId="6A2ABA88" w:rsidR="00CC3469" w:rsidRPr="00761DC0" w:rsidRDefault="00CC3469" w:rsidP="00276C2F">
      <w:pPr>
        <w:spacing w:line="480" w:lineRule="auto"/>
        <w:jc w:val="both"/>
        <w:rPr>
          <w:rFonts w:ascii="Arial" w:hAnsi="Arial" w:cs="Arial"/>
          <w:color w:val="000000"/>
          <w:sz w:val="22"/>
          <w:szCs w:val="22"/>
        </w:rPr>
      </w:pPr>
      <w:r w:rsidRPr="00761DC0">
        <w:rPr>
          <w:rFonts w:ascii="Arial" w:hAnsi="Arial" w:cs="Arial"/>
          <w:color w:val="000000"/>
          <w:sz w:val="22"/>
          <w:szCs w:val="22"/>
        </w:rPr>
        <w:t>Statistical Analyses were performed in R (v3.</w:t>
      </w:r>
      <w:r w:rsidR="00732B3F" w:rsidRPr="00761DC0">
        <w:rPr>
          <w:rFonts w:ascii="Arial" w:hAnsi="Arial" w:cs="Arial"/>
          <w:color w:val="000000"/>
          <w:sz w:val="22"/>
          <w:szCs w:val="22"/>
        </w:rPr>
        <w:t>6</w:t>
      </w:r>
      <w:r w:rsidRPr="00761DC0">
        <w:rPr>
          <w:rFonts w:ascii="Arial" w:hAnsi="Arial" w:cs="Arial"/>
          <w:color w:val="000000"/>
          <w:sz w:val="22"/>
          <w:szCs w:val="22"/>
        </w:rPr>
        <w:t>.</w:t>
      </w:r>
      <w:r w:rsidR="00732B3F" w:rsidRPr="00761DC0">
        <w:rPr>
          <w:rFonts w:ascii="Arial" w:hAnsi="Arial" w:cs="Arial"/>
          <w:color w:val="000000"/>
          <w:sz w:val="22"/>
          <w:szCs w:val="22"/>
        </w:rPr>
        <w:t>3</w:t>
      </w:r>
      <w:r w:rsidRPr="00761DC0">
        <w:rPr>
          <w:rFonts w:ascii="Arial" w:hAnsi="Arial" w:cs="Arial"/>
          <w:color w:val="000000"/>
          <w:sz w:val="22"/>
          <w:szCs w:val="22"/>
        </w:rPr>
        <w:t xml:space="preserve">). Two-sample significance testing utilized Welch’s T test, with significance testing for more than three samples utilizing one-way analysis of variance (ANOVA) with Tukey honest significance determination for correcting multiple comparisons. Two-proportion Z-tests was performed </w:t>
      </w:r>
      <w:r w:rsidR="00732B3F" w:rsidRPr="00761DC0">
        <w:rPr>
          <w:rFonts w:ascii="Arial" w:hAnsi="Arial" w:cs="Arial"/>
          <w:color w:val="000000"/>
          <w:sz w:val="22"/>
          <w:szCs w:val="22"/>
        </w:rPr>
        <w:t>using the total number of cells in each condition as the number of trials and without a prior for proportion.</w:t>
      </w:r>
    </w:p>
    <w:p w14:paraId="65B2752E" w14:textId="77777777" w:rsidR="00CC3469" w:rsidRPr="00761DC0" w:rsidRDefault="00CC3469" w:rsidP="00276C2F">
      <w:pPr>
        <w:spacing w:line="480" w:lineRule="auto"/>
        <w:jc w:val="both"/>
        <w:rPr>
          <w:rFonts w:ascii="Arial" w:hAnsi="Arial" w:cs="Arial"/>
          <w:sz w:val="22"/>
          <w:szCs w:val="22"/>
        </w:rPr>
      </w:pPr>
    </w:p>
    <w:p w14:paraId="3C2F2FD2" w14:textId="77777777" w:rsidR="003064F8" w:rsidRPr="00761DC0" w:rsidRDefault="003064F8" w:rsidP="00276C2F">
      <w:pPr>
        <w:spacing w:line="480" w:lineRule="auto"/>
        <w:jc w:val="both"/>
        <w:rPr>
          <w:rFonts w:ascii="Arial" w:hAnsi="Arial" w:cs="Arial"/>
          <w:sz w:val="22"/>
          <w:szCs w:val="22"/>
        </w:rPr>
      </w:pPr>
    </w:p>
    <w:p w14:paraId="3FB81D2C" w14:textId="77777777" w:rsidR="003064F8" w:rsidRPr="00761DC0" w:rsidRDefault="003064F8" w:rsidP="00276C2F">
      <w:pPr>
        <w:spacing w:line="480" w:lineRule="auto"/>
        <w:jc w:val="both"/>
        <w:rPr>
          <w:rFonts w:ascii="Arial" w:hAnsi="Arial" w:cs="Arial"/>
          <w:sz w:val="22"/>
          <w:szCs w:val="22"/>
        </w:rPr>
      </w:pPr>
    </w:p>
    <w:p w14:paraId="4A61FBEF" w14:textId="77777777" w:rsidR="00707C08" w:rsidRPr="00761DC0" w:rsidRDefault="00707C08" w:rsidP="00276C2F">
      <w:pPr>
        <w:spacing w:line="480" w:lineRule="auto"/>
        <w:rPr>
          <w:rFonts w:ascii="Arial" w:hAnsi="Arial" w:cs="Arial"/>
          <w:sz w:val="22"/>
          <w:szCs w:val="22"/>
        </w:rPr>
      </w:pPr>
    </w:p>
    <w:sectPr w:rsidR="00707C08" w:rsidRPr="00761DC0"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15D7C"/>
    <w:rsid w:val="00024358"/>
    <w:rsid w:val="00034385"/>
    <w:rsid w:val="000352EF"/>
    <w:rsid w:val="00040449"/>
    <w:rsid w:val="000841A4"/>
    <w:rsid w:val="000928FC"/>
    <w:rsid w:val="000A02B4"/>
    <w:rsid w:val="000B48A9"/>
    <w:rsid w:val="000B5775"/>
    <w:rsid w:val="000C164B"/>
    <w:rsid w:val="000C3E81"/>
    <w:rsid w:val="001120F3"/>
    <w:rsid w:val="0011339F"/>
    <w:rsid w:val="00114BEA"/>
    <w:rsid w:val="0012402E"/>
    <w:rsid w:val="0012448E"/>
    <w:rsid w:val="0012679D"/>
    <w:rsid w:val="00142008"/>
    <w:rsid w:val="00185803"/>
    <w:rsid w:val="00194EF3"/>
    <w:rsid w:val="00196F01"/>
    <w:rsid w:val="001A6DCD"/>
    <w:rsid w:val="001C7A5D"/>
    <w:rsid w:val="001C7E66"/>
    <w:rsid w:val="00206317"/>
    <w:rsid w:val="0021505D"/>
    <w:rsid w:val="0022606C"/>
    <w:rsid w:val="002355A8"/>
    <w:rsid w:val="0024418D"/>
    <w:rsid w:val="00247762"/>
    <w:rsid w:val="00276C2F"/>
    <w:rsid w:val="002A683B"/>
    <w:rsid w:val="002B3EDD"/>
    <w:rsid w:val="002D7320"/>
    <w:rsid w:val="002D7B10"/>
    <w:rsid w:val="002E3B9B"/>
    <w:rsid w:val="002E735E"/>
    <w:rsid w:val="002F2B04"/>
    <w:rsid w:val="002F32A0"/>
    <w:rsid w:val="002F4160"/>
    <w:rsid w:val="003064F8"/>
    <w:rsid w:val="003C4A05"/>
    <w:rsid w:val="003D1299"/>
    <w:rsid w:val="003E5B65"/>
    <w:rsid w:val="003E66F1"/>
    <w:rsid w:val="003F20A7"/>
    <w:rsid w:val="00402629"/>
    <w:rsid w:val="00436041"/>
    <w:rsid w:val="00436D1A"/>
    <w:rsid w:val="00441217"/>
    <w:rsid w:val="00477581"/>
    <w:rsid w:val="004838F1"/>
    <w:rsid w:val="00516F48"/>
    <w:rsid w:val="0052740A"/>
    <w:rsid w:val="00530253"/>
    <w:rsid w:val="005833F0"/>
    <w:rsid w:val="0059724A"/>
    <w:rsid w:val="005A169F"/>
    <w:rsid w:val="005B69AC"/>
    <w:rsid w:val="005C418C"/>
    <w:rsid w:val="005D0B49"/>
    <w:rsid w:val="005D2880"/>
    <w:rsid w:val="005E7FEE"/>
    <w:rsid w:val="00617F53"/>
    <w:rsid w:val="006A6770"/>
    <w:rsid w:val="006C01FF"/>
    <w:rsid w:val="006C11C8"/>
    <w:rsid w:val="00707C08"/>
    <w:rsid w:val="00725C18"/>
    <w:rsid w:val="007321D6"/>
    <w:rsid w:val="00732B3F"/>
    <w:rsid w:val="00735CE0"/>
    <w:rsid w:val="00745683"/>
    <w:rsid w:val="00755D16"/>
    <w:rsid w:val="00757E7C"/>
    <w:rsid w:val="00761DC0"/>
    <w:rsid w:val="00762B9A"/>
    <w:rsid w:val="0077001E"/>
    <w:rsid w:val="00783601"/>
    <w:rsid w:val="007B27AF"/>
    <w:rsid w:val="007F0BCC"/>
    <w:rsid w:val="00815F39"/>
    <w:rsid w:val="00817EF2"/>
    <w:rsid w:val="008274D0"/>
    <w:rsid w:val="00830CF7"/>
    <w:rsid w:val="00833AB7"/>
    <w:rsid w:val="0084002C"/>
    <w:rsid w:val="00880D71"/>
    <w:rsid w:val="008A56EF"/>
    <w:rsid w:val="008C1AAF"/>
    <w:rsid w:val="008E746C"/>
    <w:rsid w:val="0091251A"/>
    <w:rsid w:val="00941B00"/>
    <w:rsid w:val="00946B48"/>
    <w:rsid w:val="009F2D06"/>
    <w:rsid w:val="00A03655"/>
    <w:rsid w:val="00A83491"/>
    <w:rsid w:val="00AD7303"/>
    <w:rsid w:val="00AF4358"/>
    <w:rsid w:val="00AF4A9A"/>
    <w:rsid w:val="00B0496F"/>
    <w:rsid w:val="00B210E6"/>
    <w:rsid w:val="00B23181"/>
    <w:rsid w:val="00B32D66"/>
    <w:rsid w:val="00BA583B"/>
    <w:rsid w:val="00BE1078"/>
    <w:rsid w:val="00BF5FC5"/>
    <w:rsid w:val="00C0682E"/>
    <w:rsid w:val="00C47C17"/>
    <w:rsid w:val="00C62787"/>
    <w:rsid w:val="00C639D3"/>
    <w:rsid w:val="00C65816"/>
    <w:rsid w:val="00C770CF"/>
    <w:rsid w:val="00C9004A"/>
    <w:rsid w:val="00C94FB6"/>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B1892"/>
    <w:rsid w:val="00DC5793"/>
    <w:rsid w:val="00DD07C0"/>
    <w:rsid w:val="00DD1941"/>
    <w:rsid w:val="00DE15B4"/>
    <w:rsid w:val="00DF3E7F"/>
    <w:rsid w:val="00E0780B"/>
    <w:rsid w:val="00E21D97"/>
    <w:rsid w:val="00E26A39"/>
    <w:rsid w:val="00E318BA"/>
    <w:rsid w:val="00E34118"/>
    <w:rsid w:val="00E732EF"/>
    <w:rsid w:val="00EB7944"/>
    <w:rsid w:val="00EE3E5B"/>
    <w:rsid w:val="00EF26C0"/>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D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0-018-0276-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enomebiology.biomedcentral.com/articles/10.1186/s13059-019-1874-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ll.com/cell/fulltext/S0092-8674(19)30559-8" TargetMode="External"/><Relationship Id="rId11" Type="http://schemas.openxmlformats.org/officeDocument/2006/relationships/hyperlink" Target="https://github.com/ncborcherding/ccRCC" TargetMode="External"/><Relationship Id="rId5" Type="http://schemas.openxmlformats.org/officeDocument/2006/relationships/hyperlink" Target="https://www.nature.com/articles/nbt.4096" TargetMode="External"/><Relationship Id="rId10" Type="http://schemas.openxmlformats.org/officeDocument/2006/relationships/hyperlink" Target="https://ashpublications.org/blood/article/128/8/e20/35749/A-single-cell-resolution-map-of-mouse" TargetMode="External"/><Relationship Id="rId4" Type="http://schemas.openxmlformats.org/officeDocument/2006/relationships/hyperlink" Target="https://pubmed.ncbi.nlm.nih.gov/25867267/" TargetMode="External"/><Relationship Id="rId9" Type="http://schemas.openxmlformats.org/officeDocument/2006/relationships/hyperlink" Target="https://www.nature.com/articles/nature11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3</cp:revision>
  <dcterms:created xsi:type="dcterms:W3CDTF">2020-06-14T05:38:00Z</dcterms:created>
  <dcterms:modified xsi:type="dcterms:W3CDTF">2020-06-24T12:58:00Z</dcterms:modified>
</cp:coreProperties>
</file>