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CF0ED" w14:textId="05509070" w:rsidR="00707C08" w:rsidRDefault="00EB5F12">
      <w:r>
        <w:rPr>
          <w:noProof/>
        </w:rPr>
        <w:drawing>
          <wp:inline distT="0" distB="0" distL="0" distR="0" wp14:anchorId="1712A19C" wp14:editId="03715A82">
            <wp:extent cx="5943600" cy="3600450"/>
            <wp:effectExtent l="0" t="0" r="0" b="6350"/>
            <wp:docPr id="1" name="Picture 1" descr="A picture containing many, person, bunch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Figur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0BA5" w14:textId="0B1F56CE" w:rsidR="0031051D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>Supplemental Figure 1</w:t>
      </w:r>
      <w:r w:rsidR="00A75365">
        <w:rPr>
          <w:rFonts w:ascii="Arial" w:hAnsi="Arial" w:cs="Arial"/>
          <w:b/>
          <w:bCs/>
          <w:sz w:val="22"/>
          <w:szCs w:val="22"/>
        </w:rPr>
        <w:t>:</w:t>
      </w:r>
      <w:r w:rsidRPr="00EB5F12">
        <w:rPr>
          <w:rFonts w:ascii="Arial" w:hAnsi="Arial" w:cs="Arial"/>
          <w:b/>
          <w:bCs/>
          <w:sz w:val="22"/>
          <w:szCs w:val="22"/>
        </w:rPr>
        <w:t xml:space="preserve"> </w:t>
      </w:r>
      <w:r w:rsidRPr="00EB5F12">
        <w:rPr>
          <w:rFonts w:ascii="Arial" w:hAnsi="Arial" w:cs="Arial"/>
          <w:sz w:val="22"/>
          <w:szCs w:val="22"/>
        </w:rPr>
        <w:t xml:space="preserve">Workflow for SCRS of isolated lymphoid and myeloid immune cell populations from ccRCC subjects and computational analysis. SCRS data across ccRCC and data derived from 10x Genomics and </w:t>
      </w:r>
      <w:r w:rsidRPr="00EB5F1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EGAS00001002325 were</w:t>
      </w:r>
      <w:r w:rsidRPr="00EB5F12">
        <w:rPr>
          <w:rFonts w:ascii="Arial" w:hAnsi="Arial" w:cs="Arial"/>
          <w:sz w:val="22"/>
          <w:szCs w:val="22"/>
        </w:rPr>
        <w:t xml:space="preserve"> integrated using SCTtransform approach to form a UMAP of 37,055</w:t>
      </w:r>
      <w:r w:rsidR="00B609EF">
        <w:rPr>
          <w:rFonts w:ascii="Arial" w:hAnsi="Arial" w:cs="Arial"/>
          <w:sz w:val="22"/>
          <w:szCs w:val="22"/>
        </w:rPr>
        <w:t xml:space="preserve"> from 7 different samples and</w:t>
      </w:r>
      <w:r w:rsidRPr="00EB5F12">
        <w:rPr>
          <w:rFonts w:ascii="Arial" w:hAnsi="Arial" w:cs="Arial"/>
          <w:sz w:val="22"/>
          <w:szCs w:val="22"/>
        </w:rPr>
        <w:t xml:space="preserve"> acting as a basis for subclustering and further analysis by cell type.</w:t>
      </w:r>
    </w:p>
    <w:p w14:paraId="7EC1C45E" w14:textId="79138C37" w:rsidR="00EB5F12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1F52D0" wp14:editId="5BF14394">
            <wp:extent cx="5943600" cy="346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6E81" w14:textId="19CCFACF" w:rsidR="0031051D" w:rsidRDefault="0031051D" w:rsidP="0031051D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>
        <w:rPr>
          <w:rFonts w:ascii="Arial" w:hAnsi="Arial" w:cs="Arial"/>
          <w:b/>
          <w:bCs/>
          <w:sz w:val="22"/>
          <w:szCs w:val="22"/>
        </w:rPr>
        <w:t xml:space="preserve">2: </w:t>
      </w:r>
      <w:r>
        <w:rPr>
          <w:rFonts w:ascii="Arial" w:hAnsi="Arial" w:cs="Arial"/>
          <w:sz w:val="22"/>
          <w:szCs w:val="22"/>
        </w:rPr>
        <w:t xml:space="preserve">Immunohistochemical results for T cell staining in </w:t>
      </w:r>
      <w:r w:rsidR="00E94BB2">
        <w:rPr>
          <w:rFonts w:ascii="Arial" w:hAnsi="Arial" w:cs="Arial"/>
          <w:sz w:val="22"/>
          <w:szCs w:val="22"/>
        </w:rPr>
        <w:t>paired</w:t>
      </w:r>
      <w:r>
        <w:rPr>
          <w:rFonts w:ascii="Arial" w:hAnsi="Arial" w:cs="Arial"/>
          <w:sz w:val="22"/>
          <w:szCs w:val="22"/>
        </w:rPr>
        <w:t xml:space="preserve"> normal and tumor ti</w:t>
      </w:r>
      <w:r w:rsidR="00E94BB2">
        <w:rPr>
          <w:rFonts w:ascii="Arial" w:hAnsi="Arial" w:cs="Arial"/>
          <w:sz w:val="22"/>
          <w:szCs w:val="22"/>
        </w:rPr>
        <w:t xml:space="preserve">ssue with quantified ratios of counts per unit area. </w:t>
      </w:r>
    </w:p>
    <w:p w14:paraId="63E4F0EC" w14:textId="60FB87F1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C9B0C35" w14:textId="77777777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93C13A8" w14:textId="70CB094B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830665A" w14:textId="33D357F3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DE1C32B" w14:textId="4A65C4C4" w:rsidR="00EB5F12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EDB833" wp14:editId="347A1433">
            <wp:extent cx="5943600" cy="3674110"/>
            <wp:effectExtent l="0" t="0" r="0" b="0"/>
            <wp:docPr id="2" name="Picture 2" descr="A picture containing implement, stationary, colorfu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Figur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1A8F" w14:textId="0DE46FF0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3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>
        <w:rPr>
          <w:rFonts w:ascii="Arial" w:hAnsi="Arial" w:cs="Arial"/>
          <w:sz w:val="22"/>
          <w:szCs w:val="22"/>
        </w:rPr>
        <w:t>Top clonotypes for CD8</w:t>
      </w:r>
      <w:r w:rsidRPr="00A75365"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 xml:space="preserve"> T cells for each patient by proportion in each subcluster.</w:t>
      </w:r>
    </w:p>
    <w:p w14:paraId="14EEDDF6" w14:textId="2AC5ED1A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625C3E8" w14:textId="7777777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D3A5DAF" w14:textId="79172B3F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54865FA" wp14:editId="4B2DBA1B">
            <wp:extent cx="3975100" cy="4965700"/>
            <wp:effectExtent l="0" t="0" r="0" b="0"/>
            <wp:docPr id="3" name="Picture 3" descr="A picture containing sitting, table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Figur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98A1" w14:textId="119F1BBC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4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b/>
          <w:bCs/>
          <w:sz w:val="22"/>
          <w:szCs w:val="22"/>
        </w:rPr>
        <w:t>A</w:t>
      </w:r>
      <w:r w:rsidRPr="0002326A">
        <w:rPr>
          <w:rFonts w:ascii="Arial" w:hAnsi="Arial" w:cs="Arial"/>
          <w:sz w:val="22"/>
          <w:szCs w:val="22"/>
        </w:rPr>
        <w:t xml:space="preserve">. UMAP subclustering of </w:t>
      </w:r>
      <w:r w:rsidR="00B609EF">
        <w:rPr>
          <w:rFonts w:ascii="Arial" w:hAnsi="Arial" w:cs="Arial"/>
          <w:sz w:val="22"/>
          <w:szCs w:val="22"/>
        </w:rPr>
        <w:t>myeloid</w:t>
      </w:r>
      <w:r w:rsidRPr="0002326A">
        <w:rPr>
          <w:rFonts w:ascii="Arial" w:hAnsi="Arial" w:cs="Arial"/>
          <w:sz w:val="22"/>
          <w:szCs w:val="22"/>
        </w:rPr>
        <w:t xml:space="preserve"> cells (original clusters 4, 6, 10, 13, 15, and 20).</w:t>
      </w:r>
      <w:r>
        <w:rPr>
          <w:rFonts w:ascii="Arial" w:hAnsi="Arial" w:cs="Arial"/>
          <w:sz w:val="22"/>
          <w:szCs w:val="22"/>
        </w:rPr>
        <w:t xml:space="preserve"> </w:t>
      </w:r>
      <w:r w:rsidRPr="00C068B3">
        <w:rPr>
          <w:rFonts w:ascii="Arial" w:hAnsi="Arial" w:cs="Arial"/>
          <w:b/>
          <w:bCs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. </w:t>
      </w:r>
      <w:r w:rsidRPr="0002326A">
        <w:rPr>
          <w:rFonts w:ascii="Arial" w:hAnsi="Arial" w:cs="Arial"/>
          <w:sz w:val="22"/>
          <w:szCs w:val="22"/>
        </w:rPr>
        <w:t xml:space="preserve">Normalized correlation values for predicted immune cell phenotypes based on the SingleR R package for </w:t>
      </w:r>
      <w:r>
        <w:rPr>
          <w:rFonts w:ascii="Arial" w:hAnsi="Arial" w:cs="Arial"/>
          <w:sz w:val="22"/>
          <w:szCs w:val="22"/>
        </w:rPr>
        <w:t xml:space="preserve">selected subclusters. </w:t>
      </w:r>
      <w:r w:rsidRPr="00C068B3">
        <w:rPr>
          <w:rFonts w:ascii="Arial" w:hAnsi="Arial" w:cs="Arial"/>
          <w:b/>
          <w:bCs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.</w:t>
      </w:r>
      <w:r w:rsidRPr="0002326A">
        <w:rPr>
          <w:rFonts w:ascii="Arial" w:hAnsi="Arial" w:cs="Arial"/>
          <w:sz w:val="22"/>
          <w:szCs w:val="22"/>
        </w:rPr>
        <w:t xml:space="preserve"> Percent of cells expressing canonical immune cell markers across the UMAP.</w:t>
      </w:r>
    </w:p>
    <w:p w14:paraId="35A25C97" w14:textId="78BC3C9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686DFDBE" w14:textId="5EAC508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139ABB44" w14:textId="15B9A8A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87ED9B" wp14:editId="67E5A3ED">
            <wp:extent cx="5943600" cy="3218180"/>
            <wp:effectExtent l="0" t="0" r="0" b="0"/>
            <wp:docPr id="5" name="Picture 5" descr="A picture containing television, screen, monit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Figur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E0D" w14:textId="4FA7D9E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5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sz w:val="22"/>
          <w:szCs w:val="22"/>
        </w:rPr>
        <w:t xml:space="preserve">Z-transformed normalized enrichment scores from ssGSEA for </w:t>
      </w:r>
      <w:r>
        <w:rPr>
          <w:rFonts w:ascii="Arial" w:hAnsi="Arial" w:cs="Arial"/>
          <w:sz w:val="22"/>
          <w:szCs w:val="22"/>
        </w:rPr>
        <w:t>MHC-related gene sets in the C5 library of the Molecular Signature Database by APC/Myeloid subcluster.</w:t>
      </w:r>
    </w:p>
    <w:p w14:paraId="755F706C" w14:textId="6968C296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2FDEF4C" w14:textId="12D22BA7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3E14EA8" w14:textId="15934439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4DACF33B" w14:textId="7EFC04EF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556313F" w14:textId="6DF96EC5" w:rsidR="00E42974" w:rsidRDefault="00282118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51B7B19" wp14:editId="03503247">
            <wp:extent cx="4381500" cy="43434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BC4" w14:textId="27534A8C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CBDAFFB" w14:textId="5F85F1E6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42974">
        <w:rPr>
          <w:rFonts w:ascii="Arial" w:hAnsi="Arial" w:cs="Arial"/>
          <w:b/>
          <w:bCs/>
          <w:sz w:val="22"/>
          <w:szCs w:val="22"/>
        </w:rPr>
        <w:t>Supplemental Figure 6</w:t>
      </w:r>
      <w:r>
        <w:rPr>
          <w:rFonts w:ascii="Arial" w:hAnsi="Arial" w:cs="Arial"/>
          <w:sz w:val="22"/>
          <w:szCs w:val="22"/>
        </w:rPr>
        <w:t>: A. mRNA expression of signature genes for CD8_6 (upper panel) and TAM_3 (lower</w:t>
      </w:r>
      <w:r w:rsidR="00E4297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panel</w:t>
      </w:r>
      <w:r w:rsidR="00E42974">
        <w:rPr>
          <w:rFonts w:ascii="Arial" w:hAnsi="Arial" w:cs="Arial"/>
          <w:sz w:val="22"/>
          <w:szCs w:val="22"/>
        </w:rPr>
        <w:t xml:space="preserve">) by histological grade (x-axis) and </w:t>
      </w:r>
      <w:r w:rsidR="00B609EF">
        <w:rPr>
          <w:rFonts w:ascii="Arial" w:hAnsi="Arial" w:cs="Arial"/>
          <w:sz w:val="22"/>
          <w:szCs w:val="22"/>
        </w:rPr>
        <w:t xml:space="preserve">k-nearest neighbor model </w:t>
      </w:r>
      <w:r w:rsidR="00E42974">
        <w:rPr>
          <w:rFonts w:ascii="Arial" w:hAnsi="Arial" w:cs="Arial"/>
          <w:sz w:val="22"/>
          <w:szCs w:val="22"/>
        </w:rPr>
        <w:t xml:space="preserve">prediction. </w:t>
      </w:r>
    </w:p>
    <w:p w14:paraId="6729E14C" w14:textId="77777777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08E2FAE3" w14:textId="55618F6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AC755E3" w14:textId="6C36956B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50F0D4E" w14:textId="7063CC3D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F9F2C48" w14:textId="5872A431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11C411" w14:textId="619B98F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9481EF0" w14:textId="4ED7A38B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A9FAD7" w14:textId="3108E0CC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CA4D205" w14:textId="7777777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A5DA6A6" w14:textId="55CF0200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18C8FB9" w14:textId="087257E5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5A29BB3" w14:textId="6A3BE725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71F7915" w14:textId="3F79C47D" w:rsidR="004142F7" w:rsidRPr="0031051D" w:rsidRDefault="004142F7" w:rsidP="00EB5F12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31051D">
        <w:rPr>
          <w:rFonts w:ascii="Arial" w:hAnsi="Arial" w:cs="Arial"/>
          <w:b/>
          <w:bCs/>
          <w:sz w:val="22"/>
          <w:szCs w:val="22"/>
        </w:rPr>
        <w:t>Supplemental Methods</w:t>
      </w:r>
    </w:p>
    <w:p w14:paraId="3D73CEA5" w14:textId="1756C96A" w:rsidR="0031051D" w:rsidRPr="0031051D" w:rsidRDefault="0031051D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 w:rsidRPr="0031051D">
        <w:rPr>
          <w:rFonts w:ascii="Arial" w:hAnsi="Arial" w:cs="Arial"/>
          <w:i/>
          <w:iCs/>
          <w:sz w:val="22"/>
          <w:szCs w:val="22"/>
        </w:rPr>
        <w:t>Highthroughput IHC quantification</w:t>
      </w:r>
    </w:p>
    <w:p w14:paraId="6C49C90C" w14:textId="76AC116E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Normal and ccRCC tumor samples from the 3 patients were formalin-fixed and paraffin-embedded samples. After antigen-retrieval</w:t>
      </w:r>
      <w:r w:rsidR="0031051D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samples were stained </w:t>
      </w:r>
      <w:r w:rsidRPr="002126F5">
        <w:rPr>
          <w:rFonts w:ascii="Arial" w:hAnsi="Arial" w:cs="Arial"/>
          <w:sz w:val="22"/>
          <w:szCs w:val="22"/>
          <w:highlight w:val="yellow"/>
        </w:rPr>
        <w:t>for the following antibodies:</w:t>
      </w:r>
      <w:r>
        <w:rPr>
          <w:rFonts w:ascii="Arial" w:hAnsi="Arial" w:cs="Arial"/>
          <w:sz w:val="22"/>
          <w:szCs w:val="22"/>
        </w:rPr>
        <w:t xml:space="preserve"> . Digital images of 24 IHC-stained slides were obtained using the 3DHistech P</w:t>
      </w:r>
      <w:r w:rsidR="002126F5">
        <w:rPr>
          <w:rFonts w:ascii="Arial" w:hAnsi="Arial" w:cs="Arial"/>
          <w:sz w:val="22"/>
          <w:szCs w:val="22"/>
        </w:rPr>
        <w:t xml:space="preserve">1000 </w:t>
      </w:r>
      <w:r w:rsidR="0031051D">
        <w:rPr>
          <w:rFonts w:ascii="Arial" w:hAnsi="Arial" w:cs="Arial"/>
          <w:sz w:val="22"/>
          <w:szCs w:val="22"/>
        </w:rPr>
        <w:t>Panoramic</w:t>
      </w:r>
      <w:r w:rsidR="002126F5">
        <w:rPr>
          <w:rFonts w:ascii="Arial" w:hAnsi="Arial" w:cs="Arial"/>
          <w:sz w:val="22"/>
          <w:szCs w:val="22"/>
        </w:rPr>
        <w:t xml:space="preserve"> Scanner</w:t>
      </w:r>
      <w:r w:rsidR="0031051D">
        <w:rPr>
          <w:rFonts w:ascii="Arial" w:hAnsi="Arial" w:cs="Arial"/>
          <w:sz w:val="22"/>
          <w:szCs w:val="22"/>
        </w:rPr>
        <w:t xml:space="preserve"> (3DHistech, Budapest, Hungary)</w:t>
      </w:r>
      <w:r w:rsidR="002126F5">
        <w:rPr>
          <w:rFonts w:ascii="Arial" w:hAnsi="Arial" w:cs="Arial"/>
          <w:sz w:val="22"/>
          <w:szCs w:val="22"/>
        </w:rPr>
        <w:t xml:space="preserve">. Each slide was annotated in </w:t>
      </w:r>
      <w:proofErr w:type="spellStart"/>
      <w:r w:rsidR="002126F5">
        <w:rPr>
          <w:rFonts w:ascii="Arial" w:hAnsi="Arial" w:cs="Arial"/>
          <w:sz w:val="22"/>
          <w:szCs w:val="22"/>
        </w:rPr>
        <w:t>CaseViewer</w:t>
      </w:r>
      <w:proofErr w:type="spellEnd"/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for tumor and or normal tissue. Areas with abundant artifact were annotated and subtracted. Image-based </w:t>
      </w:r>
      <w:r w:rsidR="0031051D">
        <w:rPr>
          <w:rFonts w:ascii="Arial" w:hAnsi="Arial" w:cs="Arial"/>
          <w:sz w:val="22"/>
          <w:szCs w:val="22"/>
        </w:rPr>
        <w:t>algorithms</w:t>
      </w:r>
      <w:r w:rsidR="002126F5">
        <w:rPr>
          <w:rFonts w:ascii="Arial" w:hAnsi="Arial" w:cs="Arial"/>
          <w:sz w:val="22"/>
          <w:szCs w:val="22"/>
        </w:rPr>
        <w:t xml:space="preserve"> were created for detecting positive cells based on stain intensity using </w:t>
      </w:r>
      <w:proofErr w:type="spellStart"/>
      <w:r w:rsidR="002126F5">
        <w:rPr>
          <w:rFonts w:ascii="Arial" w:hAnsi="Arial" w:cs="Arial"/>
          <w:sz w:val="22"/>
          <w:szCs w:val="22"/>
        </w:rPr>
        <w:t>QuantCenter</w:t>
      </w:r>
      <w:proofErr w:type="spellEnd"/>
      <w:r w:rsidR="002126F5">
        <w:rPr>
          <w:rFonts w:ascii="Arial" w:hAnsi="Arial" w:cs="Arial"/>
          <w:sz w:val="22"/>
          <w:szCs w:val="22"/>
        </w:rPr>
        <w:t xml:space="preserve"> Image Analysis Framework software</w:t>
      </w:r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and normalized per area analyzed. </w:t>
      </w:r>
    </w:p>
    <w:p w14:paraId="4225971B" w14:textId="3722C13F" w:rsidR="00E42974" w:rsidRDefault="00E42974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B5C70F1" w14:textId="5DD7E894" w:rsidR="00E42974" w:rsidRDefault="00E42974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 w:rsidRPr="00E42974">
        <w:rPr>
          <w:rFonts w:ascii="Arial" w:hAnsi="Arial" w:cs="Arial"/>
          <w:i/>
          <w:iCs/>
          <w:sz w:val="22"/>
          <w:szCs w:val="22"/>
        </w:rPr>
        <w:t>Normal Renal SCRS</w:t>
      </w:r>
    </w:p>
    <w:p w14:paraId="3F025C0B" w14:textId="071F5F73" w:rsidR="00E42974" w:rsidRDefault="00E42974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Normal renal SCRS was derived from previously published work </w:t>
      </w:r>
      <w:r>
        <w:rPr>
          <w:rFonts w:ascii="Arial" w:hAnsi="Arial" w:cs="Arial"/>
          <w:sz w:val="22"/>
          <w:szCs w:val="22"/>
        </w:rPr>
        <w:fldChar w:fldCharType="begin" w:fldLock="1"/>
      </w:r>
      <w:r>
        <w:rPr>
          <w:rFonts w:ascii="Arial" w:hAnsi="Arial" w:cs="Arial"/>
          <w:sz w:val="22"/>
          <w:szCs w:val="22"/>
        </w:rPr>
        <w:instrText>ADDIN CSL_CITATION {"citationItems":[{"id":"ITEM-1","itemData":{"ISSN":"2052-4463","author":[{"dropping-particle":"","family":"Liao","given":"Jinling","non-dropping-particle":"","parse-names":false,"suffix":""},{"dropping-particle":"","family":"Yu","given":"Zhenyuan","non-dropping-particle":"","parse-names":false,"suffix":""},{"dropping-particle":"","family":"Chen","given":"Yang","non-dropping-particle":"","parse-names":false,"suffix":""},{"dropping-particle":"","family":"Bao","given":"Mengying","non-dropping-particle":"","parse-names":false,"suffix":""},{"dropping-particle":"","family":"Zou","given":"Chunlin","non-dropping-particle":"","parse-names":false,"suffix":""},{"dropping-particle":"","family":"Zhang","given":"Haiying","non-dropping-particle":"","parse-names":false,"suffix":""},{"dropping-particle":"","family":"Liu","given":"Deyun","non-dropping-particle":"","parse-names":false,"suffix":""},{"dropping-particle":"","family":"Li","given":"Tianyu","non-dropping-particle":"","parse-names":false,"suffix":""},{"dropping-particle":"","family":"Zhang","given":"Qingyun","non-dropping-particle":"","parse-names":false,"suffix":""},{"dropping-particle":"","family":"Li","given":"Jiaping","non-dropping-particle":"","parse-names":false,"suffix":""}],"container-title":"Scientific data","id":"ITEM-1","issue":"1","issued":{"date-parts":[["2020"]]},"page":"1-9","publisher":"Nature Publishing Group","title":"Single-cell RNA sequencing of human kidney","type":"article-journal","volume":"7"},"uris":["http://www.mendeley.com/documents/?uuid=650386c8-cea4-4e86-8cbb-213165341389"]}],"mendeley":{"formattedCitation":"(1)","plainTextFormattedCitation":"(1)","previouslyFormattedCitation":"(1)"},"properties":{"noteIndex":0},"schema":"https://github.com/citation-style-language/schema/raw/master/csl-citation.json"}</w:instrText>
      </w:r>
      <w:r>
        <w:rPr>
          <w:rFonts w:ascii="Arial" w:hAnsi="Arial" w:cs="Arial"/>
          <w:sz w:val="22"/>
          <w:szCs w:val="22"/>
        </w:rPr>
        <w:fldChar w:fldCharType="separate"/>
      </w:r>
      <w:r w:rsidRPr="00E42974">
        <w:rPr>
          <w:rFonts w:ascii="Arial" w:hAnsi="Arial" w:cs="Arial"/>
          <w:noProof/>
          <w:sz w:val="22"/>
          <w:szCs w:val="22"/>
        </w:rPr>
        <w:t>(1)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 xml:space="preserve"> and downloaded from the GEO Omnibus under the accession GSE131685.  Data was processed and integrated as described in the manuscript. </w:t>
      </w:r>
      <w:r w:rsidRPr="0002326A">
        <w:rPr>
          <w:rFonts w:ascii="Arial" w:hAnsi="Arial" w:cs="Arial"/>
          <w:sz w:val="22"/>
          <w:szCs w:val="22"/>
        </w:rPr>
        <w:t xml:space="preserve">The dimensional reduction to form the UMAP utilized the top </w:t>
      </w:r>
      <w:r>
        <w:rPr>
          <w:rFonts w:ascii="Arial" w:hAnsi="Arial" w:cs="Arial"/>
          <w:sz w:val="22"/>
          <w:szCs w:val="22"/>
        </w:rPr>
        <w:t>4</w:t>
      </w:r>
      <w:r w:rsidRPr="0002326A">
        <w:rPr>
          <w:rFonts w:ascii="Arial" w:hAnsi="Arial" w:cs="Arial"/>
          <w:sz w:val="22"/>
          <w:szCs w:val="22"/>
        </w:rPr>
        <w:t>0 calculated dimensions and a resolution of 0.7.</w:t>
      </w:r>
    </w:p>
    <w:p w14:paraId="5B3B16EB" w14:textId="04EB2073" w:rsidR="00E42974" w:rsidRDefault="00E42974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B487E8B" w14:textId="5A220532" w:rsidR="00E42974" w:rsidRPr="00E42974" w:rsidRDefault="00E42974" w:rsidP="00EB5F12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E42974">
        <w:rPr>
          <w:rFonts w:ascii="Arial" w:hAnsi="Arial" w:cs="Arial"/>
          <w:b/>
          <w:bCs/>
          <w:sz w:val="22"/>
          <w:szCs w:val="22"/>
        </w:rPr>
        <w:t>References</w:t>
      </w:r>
    </w:p>
    <w:p w14:paraId="04713D97" w14:textId="4E2C7216" w:rsidR="00E42974" w:rsidRPr="00E42974" w:rsidRDefault="00E42974" w:rsidP="00E42974">
      <w:pPr>
        <w:widowControl w:val="0"/>
        <w:autoSpaceDE w:val="0"/>
        <w:autoSpaceDN w:val="0"/>
        <w:adjustRightInd w:val="0"/>
        <w:spacing w:line="480" w:lineRule="auto"/>
        <w:ind w:left="640" w:hanging="640"/>
        <w:rPr>
          <w:rFonts w:ascii="Arial" w:hAnsi="Arial" w:cs="Arial"/>
          <w:noProof/>
          <w:sz w:val="22"/>
        </w:rPr>
      </w:pPr>
      <w:r>
        <w:rPr>
          <w:rFonts w:ascii="Arial" w:hAnsi="Arial" w:cs="Arial"/>
          <w:i/>
          <w:iCs/>
          <w:sz w:val="22"/>
          <w:szCs w:val="22"/>
        </w:rPr>
        <w:fldChar w:fldCharType="begin" w:fldLock="1"/>
      </w:r>
      <w:r>
        <w:rPr>
          <w:rFonts w:ascii="Arial" w:hAnsi="Arial" w:cs="Arial"/>
          <w:i/>
          <w:iCs/>
          <w:sz w:val="22"/>
          <w:szCs w:val="22"/>
        </w:rPr>
        <w:instrText xml:space="preserve">ADDIN Mendeley Bibliography CSL_BIBLIOGRAPHY </w:instrText>
      </w:r>
      <w:r>
        <w:rPr>
          <w:rFonts w:ascii="Arial" w:hAnsi="Arial" w:cs="Arial"/>
          <w:i/>
          <w:iCs/>
          <w:sz w:val="22"/>
          <w:szCs w:val="22"/>
        </w:rPr>
        <w:fldChar w:fldCharType="separate"/>
      </w:r>
      <w:r w:rsidRPr="00E42974">
        <w:rPr>
          <w:rFonts w:ascii="Arial" w:hAnsi="Arial" w:cs="Arial"/>
          <w:noProof/>
          <w:sz w:val="22"/>
        </w:rPr>
        <w:t xml:space="preserve">1. </w:t>
      </w:r>
      <w:r w:rsidRPr="00E42974">
        <w:rPr>
          <w:rFonts w:ascii="Arial" w:hAnsi="Arial" w:cs="Arial"/>
          <w:noProof/>
          <w:sz w:val="22"/>
        </w:rPr>
        <w:tab/>
        <w:t xml:space="preserve">Liao J, Yu Z, Chen Y, Bao M, Zou C, Zhang H, et al. Single-cell RNA sequencing of human kidney. Sci data. Nature Publishing Group; 2020;7:1–9. </w:t>
      </w:r>
    </w:p>
    <w:p w14:paraId="662E3AFC" w14:textId="075487FA" w:rsidR="00E42974" w:rsidRPr="00E42974" w:rsidRDefault="00E42974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fldChar w:fldCharType="end"/>
      </w:r>
    </w:p>
    <w:p w14:paraId="2F66F503" w14:textId="77777777" w:rsidR="004142F7" w:rsidRPr="00A75365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sectPr w:rsidR="004142F7" w:rsidRPr="00A75365" w:rsidSect="00597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12"/>
    <w:rsid w:val="00007A4E"/>
    <w:rsid w:val="00024358"/>
    <w:rsid w:val="00034385"/>
    <w:rsid w:val="00040449"/>
    <w:rsid w:val="00042D54"/>
    <w:rsid w:val="000841A4"/>
    <w:rsid w:val="000928FC"/>
    <w:rsid w:val="000A02B4"/>
    <w:rsid w:val="000B48A9"/>
    <w:rsid w:val="000B5775"/>
    <w:rsid w:val="000C164B"/>
    <w:rsid w:val="000C3E81"/>
    <w:rsid w:val="001120F3"/>
    <w:rsid w:val="0011339F"/>
    <w:rsid w:val="00114BEA"/>
    <w:rsid w:val="0012402E"/>
    <w:rsid w:val="0012448E"/>
    <w:rsid w:val="00142008"/>
    <w:rsid w:val="00185803"/>
    <w:rsid w:val="00194EF3"/>
    <w:rsid w:val="00196F01"/>
    <w:rsid w:val="001A6DCD"/>
    <w:rsid w:val="001C7A5D"/>
    <w:rsid w:val="001C7E66"/>
    <w:rsid w:val="00206317"/>
    <w:rsid w:val="002126F5"/>
    <w:rsid w:val="0021505D"/>
    <w:rsid w:val="0022606C"/>
    <w:rsid w:val="0024418D"/>
    <w:rsid w:val="00247762"/>
    <w:rsid w:val="00282118"/>
    <w:rsid w:val="002A683B"/>
    <w:rsid w:val="002B3EDD"/>
    <w:rsid w:val="002D7320"/>
    <w:rsid w:val="002D7B10"/>
    <w:rsid w:val="002E3B9B"/>
    <w:rsid w:val="002E735E"/>
    <w:rsid w:val="002F2B04"/>
    <w:rsid w:val="002F32A0"/>
    <w:rsid w:val="002F4160"/>
    <w:rsid w:val="0031051D"/>
    <w:rsid w:val="003C4A05"/>
    <w:rsid w:val="003D1299"/>
    <w:rsid w:val="003E5B65"/>
    <w:rsid w:val="00402629"/>
    <w:rsid w:val="004142F7"/>
    <w:rsid w:val="00436041"/>
    <w:rsid w:val="00436D1A"/>
    <w:rsid w:val="00441217"/>
    <w:rsid w:val="00477581"/>
    <w:rsid w:val="004838F1"/>
    <w:rsid w:val="00516F48"/>
    <w:rsid w:val="0052740A"/>
    <w:rsid w:val="00530253"/>
    <w:rsid w:val="005833F0"/>
    <w:rsid w:val="0059724A"/>
    <w:rsid w:val="005A169F"/>
    <w:rsid w:val="005B69AC"/>
    <w:rsid w:val="005C418C"/>
    <w:rsid w:val="005D0B49"/>
    <w:rsid w:val="005D2880"/>
    <w:rsid w:val="00617F53"/>
    <w:rsid w:val="006A6770"/>
    <w:rsid w:val="006C01FF"/>
    <w:rsid w:val="006C11C8"/>
    <w:rsid w:val="00707C08"/>
    <w:rsid w:val="00725C18"/>
    <w:rsid w:val="007321D6"/>
    <w:rsid w:val="00735CE0"/>
    <w:rsid w:val="00745683"/>
    <w:rsid w:val="00755D16"/>
    <w:rsid w:val="00757E7C"/>
    <w:rsid w:val="0077001E"/>
    <w:rsid w:val="00783601"/>
    <w:rsid w:val="007B27AF"/>
    <w:rsid w:val="007F0BCC"/>
    <w:rsid w:val="00815F39"/>
    <w:rsid w:val="00817EF2"/>
    <w:rsid w:val="00830CF7"/>
    <w:rsid w:val="00833AB7"/>
    <w:rsid w:val="0084002C"/>
    <w:rsid w:val="008A56EF"/>
    <w:rsid w:val="008E746C"/>
    <w:rsid w:val="0091251A"/>
    <w:rsid w:val="00941B00"/>
    <w:rsid w:val="00946B48"/>
    <w:rsid w:val="009F2D06"/>
    <w:rsid w:val="00A03655"/>
    <w:rsid w:val="00A75365"/>
    <w:rsid w:val="00AD7303"/>
    <w:rsid w:val="00AF4358"/>
    <w:rsid w:val="00AF4A9A"/>
    <w:rsid w:val="00B0496F"/>
    <w:rsid w:val="00B210E6"/>
    <w:rsid w:val="00B23181"/>
    <w:rsid w:val="00B32D66"/>
    <w:rsid w:val="00B609EF"/>
    <w:rsid w:val="00BA583B"/>
    <w:rsid w:val="00BE1078"/>
    <w:rsid w:val="00BF5FC5"/>
    <w:rsid w:val="00C068B3"/>
    <w:rsid w:val="00C639D3"/>
    <w:rsid w:val="00C65816"/>
    <w:rsid w:val="00C770CF"/>
    <w:rsid w:val="00C9004A"/>
    <w:rsid w:val="00C94FB6"/>
    <w:rsid w:val="00CA2912"/>
    <w:rsid w:val="00CB4F3B"/>
    <w:rsid w:val="00CB7EE2"/>
    <w:rsid w:val="00CF660B"/>
    <w:rsid w:val="00D07574"/>
    <w:rsid w:val="00D13CD6"/>
    <w:rsid w:val="00D14B8E"/>
    <w:rsid w:val="00D3132E"/>
    <w:rsid w:val="00D470F4"/>
    <w:rsid w:val="00D56BA4"/>
    <w:rsid w:val="00D80E2B"/>
    <w:rsid w:val="00D83882"/>
    <w:rsid w:val="00D852BD"/>
    <w:rsid w:val="00D8789C"/>
    <w:rsid w:val="00D94EFC"/>
    <w:rsid w:val="00DB1892"/>
    <w:rsid w:val="00DC5793"/>
    <w:rsid w:val="00DD07C0"/>
    <w:rsid w:val="00DD1941"/>
    <w:rsid w:val="00DE15B4"/>
    <w:rsid w:val="00DF3E7F"/>
    <w:rsid w:val="00E0780B"/>
    <w:rsid w:val="00E21D97"/>
    <w:rsid w:val="00E26A39"/>
    <w:rsid w:val="00E42974"/>
    <w:rsid w:val="00E732EF"/>
    <w:rsid w:val="00E94BB2"/>
    <w:rsid w:val="00EB5F12"/>
    <w:rsid w:val="00EB7944"/>
    <w:rsid w:val="00EE3E5B"/>
    <w:rsid w:val="00EE476D"/>
    <w:rsid w:val="00EF26C0"/>
    <w:rsid w:val="00F73F0E"/>
    <w:rsid w:val="00F8273D"/>
    <w:rsid w:val="00F9685A"/>
    <w:rsid w:val="00FD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DD525"/>
  <w15:chartTrackingRefBased/>
  <w15:docId w15:val="{5BE77CAE-547B-EF4F-BCFB-14D2D4B6F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36F403-1FB6-C84C-B2D4-CAD1BC967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Borcherding, Nicholas (CCOM Student)</dc:creator>
  <cp:keywords/>
  <dc:description/>
  <cp:lastModifiedBy>Borcherding, Nicholas (CCOM Student)</cp:lastModifiedBy>
  <cp:revision>6</cp:revision>
  <dcterms:created xsi:type="dcterms:W3CDTF">2020-07-10T18:09:00Z</dcterms:created>
  <dcterms:modified xsi:type="dcterms:W3CDTF">2020-07-29T12:23:00Z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6c83b645-6ecf-3387-af99-06989b9d42af</vt:lpwstr>
  </property>
  <property fmtid="{D5CDD505-2E9C-101B-9397-08002B2CF9AE}" pid="4" name="Mendeley Citation Style_1">
    <vt:lpwstr>http://www.zotero.org/styles/clinical-cancer-research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http://www.zotero.org/styles/cell</vt:lpwstr>
  </property>
  <property fmtid="{D5CDD505-2E9C-101B-9397-08002B2CF9AE}" pid="12" name="Mendeley Recent Style Name 3_1">
    <vt:lpwstr>Cell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http://www.zotero.org/styles/clinical-cancer-research</vt:lpwstr>
  </property>
  <property fmtid="{D5CDD505-2E9C-101B-9397-08002B2CF9AE}" pid="16" name="Mendeley Recent Style Name 5_1">
    <vt:lpwstr>Clinical Cancer Research</vt:lpwstr>
  </property>
  <property fmtid="{D5CDD505-2E9C-101B-9397-08002B2CF9AE}" pid="17" name="Mendeley Recent Style Id 6_1">
    <vt:lpwstr>http://www.zotero.org/styles/f1000research</vt:lpwstr>
  </property>
  <property fmtid="{D5CDD505-2E9C-101B-9397-08002B2CF9AE}" pid="18" name="Mendeley Recent Style Name 6_1">
    <vt:lpwstr>F1000Research</vt:lpwstr>
  </property>
  <property fmtid="{D5CDD505-2E9C-101B-9397-08002B2CF9AE}" pid="19" name="Mendeley Recent Style Id 7_1">
    <vt:lpwstr>http://www.zotero.org/styles/frontiers-in-oncology</vt:lpwstr>
  </property>
  <property fmtid="{D5CDD505-2E9C-101B-9397-08002B2CF9AE}" pid="20" name="Mendeley Recent Style Name 7_1">
    <vt:lpwstr>Frontiers in Oncology</vt:lpwstr>
  </property>
  <property fmtid="{D5CDD505-2E9C-101B-9397-08002B2CF9AE}" pid="21" name="Mendeley Recent Style Id 8_1">
    <vt:lpwstr>http://www.zotero.org/styles/science-translational-medicine</vt:lpwstr>
  </property>
  <property fmtid="{D5CDD505-2E9C-101B-9397-08002B2CF9AE}" pid="22" name="Mendeley Recent Style Name 8_1">
    <vt:lpwstr>Science Translational Medicine</vt:lpwstr>
  </property>
  <property fmtid="{D5CDD505-2E9C-101B-9397-08002B2CF9AE}" pid="23" name="Mendeley Recent Style Id 9_1">
    <vt:lpwstr>http://www.zotero.org/styles/the-oncologist</vt:lpwstr>
  </property>
  <property fmtid="{D5CDD505-2E9C-101B-9397-08002B2CF9AE}" pid="24" name="Mendeley Recent Style Name 9_1">
    <vt:lpwstr>The Oncologist</vt:lpwstr>
  </property>
</Properties>
</file>