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50"/>
        </w:rPr>
        <w:t>【Cache服务用户手册】- Cache 双机房集群部署</w:t>
      </w:r>
      <w:r>
        <w:rPr>
          <w:rFonts w:eastAsia="宋体" w:ascii="Times New Roman" w:cs="Times New Roman" w:hAnsi="Times New Roman"/>
          <w:b w:val="true"/>
          <w:sz w:val="50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PS：如其他机房有服务，请考虑是否创建对应机房 Redis「选择复制集群」；跨机房访问请使用 psm.service.机房名；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双机房配置流程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通过复制集群新建hl集群: https://wiki.bytedance.net/pages/viewpage.action?pageId=137856135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提交工单处理：到 </w:t>
      </w:r>
      <w:hyperlink r:id="rId6">
        <w:r>
          <w:rPr>
            <w:rFonts w:eastAsia="宋体" w:ascii="Times New Roman" w:cs="Times New Roman" w:hAnsi="Times New Roman"/>
            <w:color w:val="1a84ee"/>
            <w:sz w:val="24"/>
          </w:rPr>
          <w:t>这里</w:t>
        </w:r>
      </w:hyperlink>
      <w:r>
        <w:rPr>
          <w:rFonts w:eastAsia="宋体" w:ascii="Times New Roman" w:cs="Times New Roman" w:hAnsi="Times New Roman"/>
          <w:sz w:val="24"/>
        </w:rPr>
        <w:t xml:space="preserve"> 提交工单，紧急程序选择P2，Oncall 当天会集中处理；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常见问题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hyperlink r:id="rId7">
        <w:r>
          <w:rPr>
            <w:rFonts w:eastAsia="宋体" w:ascii="Times New Roman" w:cs="Times New Roman" w:hAnsi="Times New Roman"/>
            <w:color w:val="0070f0"/>
            <w:sz w:val="24"/>
          </w:rPr>
          <w:t>【Cache服务用户手册】-如何查看双机房的配置模式</w:t>
        </w:r>
      </w:hyperlink>
      <w:r>
        <w:rPr>
          <w:rFonts w:eastAsia="宋体" w:ascii="Times New Roman" w:cs="Times New Roman" w:hAnsi="Times New Roman"/>
          <w:sz w:val="24"/>
        </w:rPr>
        <w:t xml:space="preserve"> 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方案：</w:t>
      </w:r>
      <w:r>
        <w:rPr>
          <w:rFonts w:eastAsia="宋体" w:ascii="Times New Roman" w:cs="Times New Roman" w:hAnsi="Times New Roman"/>
          <w:b w:val="true"/>
          <w:sz w:val="36"/>
        </w:rPr>
        <w:t>主从同步</w:t>
      </w:r>
      <w:r>
        <w:rPr>
          <w:rFonts w:eastAsia="宋体" w:ascii="Times New Roman" w:cs="Times New Roman" w:hAnsi="Times New Roman"/>
          <w:b w:val="true"/>
          <w:sz w:val="36"/>
        </w:rPr>
        <w:t>，基于同步组件同步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目前新申请的redis 集群都是rc(redis cluster)架构，基于同步组件支持双机房架构，</w:t>
      </w:r>
      <w:r>
        <w:rPr>
          <w:rFonts w:eastAsia="宋体" w:ascii="Times New Roman" w:cs="Times New Roman" w:hAnsi="Times New Roman"/>
          <w:sz w:val="24"/>
        </w:rPr>
        <w:t>所有写都到LF机房，基于同步组件将LF数据同步到HL；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4"/>
        </w:rPr>
        <w:t xml:space="preserve"> </w:t>
        <w:drawing>
          <wp:inline distT="0" distB="0" distL="0" distR="0">
            <wp:extent cx="5524500" cy="39052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注：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syn_slaver：数据同步组件，作为redis的伪从，将数据推到对端机房，遇到网络故障（无法写入时）优先写内存缓冲区，内存缓冲区写满后落盘；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syn_slaver(idle）：从机房的数据同步组件，平时不做数据同步；机房故障流量切从恢复后做数据同步；任意时刻只会有单个方向的同步组件work；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  <w:shd w:fill="FFA6A6"/>
        </w:rPr>
        <w:t>注： 同城双机房同步不支持geo和HyperLogLog 命令的集群；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"/>
        </w:numPr>
        <w:ind w:left="453"/>
        <w:jc w:val="left"/>
      </w:pPr>
      <w:r>
        <w:rPr>
          <w:rFonts w:eastAsia="宋体" w:ascii="Times New Roman" w:cs="Times New Roman" w:hAnsi="Times New Roman"/>
          <w:sz w:val="24"/>
        </w:rPr>
        <w:t>一致性说明：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保证数据最终一致性；（SLA：99.99%）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4"/>
        </w:rPr>
        <w:t>优点：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可保证数据一致性；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支持机房容灾(需人工切换，切换时间5min）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4"/>
        </w:rPr>
        <w:t>缺点：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hl写请求有2ms时延且写后要等3~5ms（同步时间）能读到</w:t>
      </w:r>
      <w:r>
        <w:rPr>
          <w:rFonts w:eastAsia="宋体" w:ascii="Times New Roman" w:cs="Times New Roman" w:hAnsi="Times New Roman"/>
          <w:sz w:val="24"/>
          <w:shd w:fill="FFA6A6"/>
        </w:rPr>
        <w:t>【cache 服务不保证数据一定在ms 时间完成跨机房同步，在网络间数据抖动、业务访问突增、以及master节点挂掉的情况可能导致同步时延在10分钟以上】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RC的规模有一定限制，目前最大可以做到300个节点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4"/>
          <w:shd w:fill="FFA6A6"/>
        </w:rPr>
        <w:t>适用场景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适用于存储场景、缓存对一致性要求高的场景；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b w:val="true"/>
          <w:sz w:val="24"/>
          <w:shd w:fill="FFA6A6"/>
        </w:rPr>
        <w:t>可支持</w:t>
      </w:r>
      <w:r>
        <w:rPr>
          <w:rFonts w:eastAsia="宋体" w:ascii="Times New Roman" w:cs="Times New Roman" w:hAnsi="Times New Roman"/>
          <w:b w:val="true"/>
          <w:sz w:val="24"/>
          <w:shd w:fill="FFA6A6"/>
        </w:rPr>
        <w:t>架构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"/>
        </w:numPr>
        <w:ind w:left="907"/>
        <w:jc w:val="left"/>
      </w:pPr>
      <w:r>
        <w:rPr>
          <w:rFonts w:eastAsia="宋体" w:ascii="Times New Roman" w:cs="Times New Roman" w:hAnsi="Times New Roman"/>
          <w:sz w:val="24"/>
        </w:rPr>
        <w:t>存储型redis（redis cluster架构）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"/>
        </w:numPr>
        <w:ind w:left="907"/>
        <w:jc w:val="left"/>
      </w:pPr>
      <w:r>
        <w:rPr>
          <w:rFonts w:eastAsia="宋体" w:ascii="Times New Roman" w:cs="Times New Roman" w:hAnsi="Times New Roman"/>
          <w:b w:val="true"/>
          <w:sz w:val="24"/>
        </w:rPr>
        <w:t>2018.4月之后创建的新版</w:t>
      </w:r>
      <w:r>
        <w:rPr>
          <w:rFonts w:eastAsia="宋体" w:ascii="Times New Roman" w:cs="Times New Roman" w:hAnsi="Times New Roman"/>
          <w:b w:val="true"/>
          <w:sz w:val="24"/>
        </w:rPr>
        <w:t>缓存型redis</w:t>
      </w:r>
      <w:r>
        <w:rPr>
          <w:rFonts w:eastAsia="宋体" w:ascii="Times New Roman" w:cs="Times New Roman" w:hAnsi="Times New Roman"/>
          <w:b w:val="true"/>
          <w:sz w:val="24"/>
        </w:rPr>
        <w:t>服务</w:t>
      </w:r>
      <w:r>
        <w:rPr>
          <w:rFonts w:eastAsia="宋体" w:ascii="Times New Roman" w:cs="Times New Roman" w:hAnsi="Times New Roman"/>
          <w:sz w:val="24"/>
        </w:rPr>
        <w:t>（redis cluster架构）（注 ：因缓存集群有自身的逐出策略，如果</w:t>
      </w:r>
      <w:r>
        <w:rPr>
          <w:rFonts w:eastAsia="宋体" w:ascii="Times New Roman" w:cs="Times New Roman" w:hAnsi="Times New Roman"/>
          <w:sz w:val="24"/>
        </w:rPr>
        <w:t>需要保证一致性，需要在</w:t>
      </w:r>
      <w:r>
        <w:rPr>
          <w:rFonts w:eastAsia="宋体" w:ascii="Times New Roman" w:cs="Times New Roman" w:hAnsi="Times New Roman"/>
          <w:sz w:val="24"/>
        </w:rPr>
        <w:t>同步前将两边集群改为非逐出</w:t>
      </w:r>
      <w:r>
        <w:rPr>
          <w:rFonts w:eastAsia="宋体" w:ascii="Times New Roman" w:cs="Times New Roman" w:hAnsi="Times New Roman"/>
          <w:sz w:val="24"/>
        </w:rPr>
        <w:t>，业务需保证集群不会逐出，有数据换出需求通过过期来实现</w:t>
      </w:r>
      <w:r>
        <w:rPr>
          <w:rFonts w:eastAsia="宋体" w:ascii="Times New Roman" w:cs="Times New Roman" w:hAnsi="Times New Roman"/>
          <w:sz w:val="24"/>
        </w:rPr>
        <w:t>）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附录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总览：https://docs.bytedance.net/doc/2Oa6FbkTbrM38sHngU8olh#QvaXy3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双写架构：https://wiki.bytedance.net/pages/viewpage.action?pageId=217622110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遗留架构参考：</w:t>
      </w:r>
      <w:hyperlink r:id="rId9">
        <w:r>
          <w:rPr>
            <w:rFonts w:eastAsia="宋体" w:ascii="Times New Roman" w:cs="Times New Roman" w:hAnsi="Times New Roman"/>
            <w:color w:val="0070f0"/>
            <w:sz w:val="24"/>
          </w:rPr>
          <w:t>【Cache服务用户手册】- Cache 双机房集群部署选型.bak</w:t>
        </w:r>
      </w:hyperlink>
      <w:r>
        <w:rPr>
          <w:rFonts w:eastAsia="宋体" w:ascii="Times New Roman" w:cs="Times New Roman" w:hAnsi="Times New Roman"/>
          <w:sz w:val="24"/>
        </w:rPr>
        <w:t xml:space="preserve"> 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1"/>
      <w:numFmt w:val="lowerLetter"/>
      <w:suff w:val="space"/>
      <w:lvlText w:val="%1."/>
      <w:rPr>
        <w:color w:val="0070f0"/>
      </w:rPr>
    </w:lvl>
  </w:abstractNum>
  <w:abstractNum w:abstractNumId="4">
    <w:lvl>
      <w:start w:val="1"/>
      <w:numFmt w:val="lowerRoman"/>
      <w:suff w:val="space"/>
      <w:lvlText w:val="%1."/>
      <w:rPr>
        <w:color w:val="0070f0"/>
      </w:rPr>
    </w:lvl>
  </w:abstractNum>
  <w:abstractNum w:abstractNumId="5">
    <w:lvl>
      <w:start w:val="2"/>
      <w:numFmt w:val="lowerLetter"/>
      <w:suff w:val="space"/>
      <w:lvlText w:val="%1."/>
      <w:rPr>
        <w:color w:val="0070f0"/>
      </w:rPr>
    </w:lvl>
  </w:abstractNum>
  <w:abstractNum w:abstractNumId="6">
    <w:lvl>
      <w:start w:val="1"/>
      <w:numFmt w:val="lowerRoman"/>
      <w:suff w:val="space"/>
      <w:lvlText w:val="%1."/>
      <w:rPr>
        <w:color w:val="0070f0"/>
      </w:rPr>
    </w:lvl>
  </w:abstractNum>
  <w:abstractNum w:abstractNumId="7">
    <w:lvl>
      <w:start w:val="2"/>
      <w:numFmt w:val="lowerRoman"/>
      <w:suff w:val="space"/>
      <w:lvlText w:val="%1."/>
      <w:rPr>
        <w:color w:val="0070f0"/>
      </w:rPr>
    </w:lvl>
  </w:abstractNum>
  <w:abstractNum w:abstractNumId="8">
    <w:lvl>
      <w:start w:val="3"/>
      <w:numFmt w:val="lowerLetter"/>
      <w:suff w:val="space"/>
      <w:lvlText w:val="%1."/>
      <w:rPr>
        <w:color w:val="0070f0"/>
      </w:rPr>
    </w:lvl>
  </w:abstractNum>
  <w:abstractNum w:abstractNumId="9">
    <w:lvl>
      <w:start w:val="1"/>
      <w:numFmt w:val="lowerRoman"/>
      <w:suff w:val="space"/>
      <w:lvlText w:val="%1."/>
      <w:rPr>
        <w:color w:val="0070f0"/>
      </w:rPr>
    </w:lvl>
  </w:abstractNum>
  <w:abstractNum w:abstractNumId="10">
    <w:lvl>
      <w:start w:val="2"/>
      <w:numFmt w:val="lowerRoman"/>
      <w:suff w:val="space"/>
      <w:lvlText w:val="%1."/>
      <w:rPr>
        <w:color w:val="0070f0"/>
      </w:rPr>
    </w:lvl>
  </w:abstractNum>
  <w:abstractNum w:abstractNumId="11">
    <w:lvl>
      <w:start w:val="4"/>
      <w:numFmt w:val="lowerLetter"/>
      <w:suff w:val="space"/>
      <w:lvlText w:val="%1."/>
      <w:rPr>
        <w:color w:val="0070f0"/>
      </w:rPr>
    </w:lvl>
  </w:abstractNum>
  <w:abstractNum w:abstractNumId="12">
    <w:lvl>
      <w:start w:val="1"/>
      <w:numFmt w:val="lowerRoman"/>
      <w:suff w:val="space"/>
      <w:lvlText w:val="%1."/>
      <w:rPr>
        <w:color w:val="0070f0"/>
      </w:rPr>
    </w:lvl>
  </w:abstractNum>
  <w:abstractNum w:abstractNumId="13">
    <w:lvl>
      <w:start w:val="5"/>
      <w:numFmt w:val="lowerLetter"/>
      <w:suff w:val="space"/>
      <w:lvlText w:val="%1."/>
      <w:rPr>
        <w:color w:val="0070f0"/>
      </w:rPr>
    </w:lvl>
  </w:abstractNum>
  <w:abstractNum w:abstractNumId="14">
    <w:lvl>
      <w:start w:val="1"/>
      <w:numFmt w:val="lowerRoman"/>
      <w:suff w:val="space"/>
      <w:lvlText w:val="%1."/>
      <w:rPr>
        <w:color w:val="0070f0"/>
      </w:rPr>
    </w:lvl>
  </w:abstractNum>
  <w:abstractNum w:abstractNumId="15">
    <w:lvl>
      <w:start w:val="2"/>
      <w:numFmt w:val="lowerRoman"/>
      <w:suff w:val="space"/>
      <w:lvlText w:val="%1."/>
      <w:rPr>
        <w:color w:val="0070f0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•"/>
      <w:rPr>
        <w:color w:val="0070f0"/>
      </w:rPr>
    </w:lvl>
  </w:abstractNum>
  <w:abstractNum w:abstractNumId="18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http://inf.bytedance.net/chats/redirect?type=redis&amp;tenant=redis" TargetMode="External" Type="http://schemas.openxmlformats.org/officeDocument/2006/relationships/hyperlink"/><Relationship Id="rId7" Target="https://bytedance.feishu.cn/space/doc/Abkj29gY2Sxg2tqPe7TzQe" TargetMode="External" Type="http://schemas.openxmlformats.org/officeDocument/2006/relationships/hyperlink"/><Relationship Id="rId8" Target="media/image1.jpeg" Type="http://schemas.openxmlformats.org/officeDocument/2006/relationships/image"/><Relationship Id="rId9" Target="https://docs.bytedance.net/doc/doccnLhxG9aTs2KNo7mJqJ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2019-03-10T02:35:58Z</dcterms:created>
  <dc:creator>Apache POI</dc:creator>
</cp:coreProperties>
</file>