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50"/>
        </w:rPr>
        <w:t>Redis 异地多机房同步长期方案</w:t>
      </w:r>
      <w:r>
        <w:rPr>
          <w:rFonts w:eastAsia="宋体" w:ascii="Times New Roman" w:cs="Times New Roman" w:hAnsi="Times New Roman"/>
          <w:b w:val="true"/>
          <w:sz w:val="50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背景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开发 Redis服务的异地双机房同步长期方案, 可扩展到异地多机房。取名为长期方案是用来区别现有的当前的基于proxy双写的同步方案（详见</w:t>
      </w:r>
      <w:hyperlink r:id="rId5">
        <w:r>
          <w:rPr>
            <w:rFonts w:eastAsia="宋体" w:ascii="Times New Roman" w:cs="Times New Roman" w:hAnsi="Times New Roman"/>
            <w:color w:val="1a84ee"/>
            <w:sz w:val="24"/>
          </w:rPr>
          <w:t>文档</w:t>
        </w:r>
      </w:hyperlink>
      <w:r>
        <w:rPr>
          <w:rFonts w:eastAsia="宋体" w:ascii="Times New Roman" w:cs="Times New Roman" w:hAnsi="Times New Roman"/>
          <w:sz w:val="24"/>
        </w:rPr>
        <w:t>）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架构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基于Alchemy架构（Alchemy架构详见</w:t>
      </w:r>
      <w:hyperlink r:id="rId7">
        <w:r>
          <w:rPr>
            <w:rFonts w:eastAsia="宋体" w:ascii="Times New Roman" w:cs="Times New Roman" w:hAnsi="Times New Roman"/>
            <w:color w:val="1a84ee"/>
            <w:sz w:val="24"/>
          </w:rPr>
          <w:t>文档</w:t>
        </w:r>
      </w:hyperlink>
      <w:r>
        <w:rPr>
          <w:rFonts w:eastAsia="宋体" w:ascii="Times New Roman" w:cs="Times New Roman" w:hAnsi="Times New Roman"/>
          <w:sz w:val="24"/>
        </w:rPr>
        <w:t>）。初期适配目前的redis cluster的架构，后续Alchemy架构稳定后支持Alchemy架构。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每个机房是一个独立的集群，每个分片双副本部署(一主一从)；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实现弱网复制：对aof协议改造，增加命令的唯一自增id信息，支持内存缓冲区查找失败时从文件中读取增量数据；（redis 内核基于阿里云</w:t>
      </w:r>
      <w:hyperlink r:id="rId8">
        <w:r>
          <w:rPr>
            <w:rFonts w:eastAsia="宋体" w:ascii="Times New Roman" w:cs="Times New Roman" w:hAnsi="Times New Roman"/>
            <w:color w:val="1a84ee"/>
            <w:sz w:val="24"/>
          </w:rPr>
          <w:t>Apsaracache改造</w:t>
        </w:r>
      </w:hyperlink>
      <w:r>
        <w:rPr>
          <w:rFonts w:eastAsia="宋体" w:ascii="Times New Roman" w:cs="Times New Roman" w:hAnsi="Times New Roman"/>
          <w:sz w:val="24"/>
        </w:rPr>
        <w:t>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命令的唯一性保证：目标实例中消费同步过来的命令，并保存当前已消费消息的命令id。在消费命令之前，检查当前id（id1）是否大于当前实例已消费的id（id2），如果id1 &lt;= id2，将该命令丢弃不处理；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防回环：在aofbinlog中加入src serverid字段标记来源；</w:t>
      </w:r>
      <w:r>
        <w:rPr>
          <w:rFonts w:eastAsia="宋体" w:ascii="Times New Roman" w:cs="Times New Roman" w:hAnsi="Times New Roman"/>
          <w:sz w:val="24"/>
        </w:rPr>
        <w:t>syn_slaver 对同步的数据判断是否本server 产生的命令，如果不是则丢弃不同步；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4"/>
        </w:rPr>
        <w:t xml:space="preserve"> </w:t>
        <w:drawing>
          <wp:inline distT="0" distB="0" distL="0" distR="0">
            <wp:extent cx="5524500" cy="2686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组件：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syn_slaver:  作为伪从，获取所有aof  binlog，过滤掉非 source redis 产生的命令（每个redis实例部署一个）；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syn_outer 为集群共用，在 TCE上部署（每个集群一个）；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增量同步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aof 协议中加入 opid 字段，</w:t>
      </w:r>
      <w:r>
        <w:rPr>
          <w:rFonts w:eastAsia="宋体" w:ascii="Times New Roman" w:cs="Times New Roman" w:hAnsi="Times New Roman"/>
          <w:sz w:val="24"/>
        </w:rPr>
        <w:t>syn_slaver</w:t>
      </w:r>
      <w:r>
        <w:rPr>
          <w:rFonts w:eastAsia="宋体" w:ascii="Times New Roman" w:cs="Times New Roman" w:hAnsi="Times New Roman"/>
          <w:sz w:val="24"/>
        </w:rPr>
        <w:t xml:space="preserve"> 保存当前处理的opid；当数据中断后，slave通过请求指定的opid，传输 opid 之后的数据，不再全量同步；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syn_slaver 连接集群中的 slave实例进行同步；当 redis master 挂掉后，slave 被提升为主，重连到 新slave 上指定 offset 继续同步（如果 request offset &gt; slave offset, 按slave offset 继续同步）；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同步正确性保证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oplog按产生顺序同步到对端。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回环控制，解决双向同步的循环同步问题。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在对端Redis实例上，所有oplog 仅被执行1次。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数据一致性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flushdb/flushall命令不会同步到另一端，如需清空实例，需在两端都调用flush命令。只在一端调用flush，会造成两端数据不一致。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同时操作一个key，可能会造成数据不一致（主要是数据交换和写入时序不一致）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数据不一致的处理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数据不一致后的处理方式分为：全同步和冲突检测；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00" w:before="100"/>
        <w:jc w:val="left"/>
      </w:pPr>
      <w:r>
        <w:rPr>
          <w:rFonts w:eastAsia="宋体" w:ascii="Times New Roman" w:cs="Times New Roman" w:hAnsi="Times New Roman"/>
          <w:b w:val="true"/>
          <w:sz w:val="30"/>
        </w:rPr>
        <w:t>全同步</w:t>
      </w:r>
      <w:r>
        <w:rPr>
          <w:rFonts w:eastAsia="宋体" w:ascii="Times New Roman" w:cs="Times New Roman" w:hAnsi="Times New Roman"/>
          <w:b w:val="true"/>
          <w:sz w:val="30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以一方为准，触发全同步；针对已存在key，全同步的策略：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string，直接覆盖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set，zset、hash等带sub field的数据结构：可选配置直接使用新集合覆盖或者解析子key后覆盖 （默认解析子key覆盖）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00" w:before="100"/>
        <w:jc w:val="left"/>
      </w:pPr>
      <w:r>
        <w:rPr>
          <w:rFonts w:eastAsia="宋体" w:ascii="Times New Roman" w:cs="Times New Roman" w:hAnsi="Times New Roman"/>
          <w:b w:val="true"/>
          <w:sz w:val="30"/>
        </w:rPr>
        <w:t>冲突检测</w:t>
      </w:r>
      <w:r>
        <w:rPr>
          <w:rFonts w:eastAsia="宋体" w:ascii="Times New Roman" w:cs="Times New Roman" w:hAnsi="Times New Roman"/>
          <w:b w:val="true"/>
          <w:sz w:val="30"/>
        </w:rPr>
        <w:t>（初期不实现）</w:t>
      </w:r>
      <w:r>
        <w:rPr>
          <w:rFonts w:eastAsia="宋体" w:ascii="Times New Roman" w:cs="Times New Roman" w:hAnsi="Times New Roman"/>
          <w:b w:val="true"/>
          <w:sz w:val="30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对于复杂场景（eg：针对不同的key的处理方法不同），提供全量的冲突检测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方法：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在同一时间点，触发集群所有rdb dump。之后对两集群的 rdb数据进行分析，识别不一致的key；（双机房同城灾备也有此需求）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不一致的key的处理：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提供给业务方，业务来修复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确定使用一边数据：从 A 集群读出来，写到 B 集群（开发工具实现）</w:t>
      </w:r>
      <w:r>
        <w:rPr>
          <w:rFonts w:eastAsia="宋体" w:ascii="Times New Roman" w:cs="Times New Roman" w:hAnsi="Times New Roman"/>
          <w:sz w:val="24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•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https://docs.bytedance.net/doc/Tsy1Tl0NhhZ6CD0dceC4pg" TargetMode="External" Type="http://schemas.openxmlformats.org/officeDocument/2006/relationships/hyperlink"/><Relationship Id="rId6" Target="numbering.xml" Type="http://schemas.openxmlformats.org/officeDocument/2006/relationships/numbering"/><Relationship Id="rId7" Target="https://docs.bytedance.net/doc/rvcaRgyo2p7Bi4Xm8xTVPf" TargetMode="External" Type="http://schemas.openxmlformats.org/officeDocument/2006/relationships/hyperlink"/><Relationship Id="rId8" Target="https://github.com/alibaba/ApsaraCache" TargetMode="External" Type="http://schemas.openxmlformats.org/officeDocument/2006/relationships/hyperlink"/><Relationship Id="rId9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2019-03-10T02:36:05Z</dcterms:created>
  <dc:creator>Apache POI</dc:creator>
</cp:coreProperties>
</file>