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Ahmad Faizal bin Khairul Anuar v Linde Eox Sdn Bhd [2025] 2 ILJ 102</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(ILJ)</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NUR FAUZAH BINTI DATO’ MOKHTAR,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168 OF 2025</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28 January 2025</w:t>
      </w:r>
    </w:p>
    <w:p>
      <w:pPr>
        <w:keepNext/>
        <w:spacing w:before="120" w:after="0" w:line="340" w:lineRule="atLeast"/>
        <w:ind w:left="0" w:right="0" w:firstLine="0"/>
        <w:jc w:val="left"/>
      </w:pPr>
      <w:bookmarkStart w:id="0" w:name="Case Summary"/>
      <w:bookmarkEnd w:id="0"/>
      <w:r>
        <w:rPr>
          <w:rFonts w:ascii="arial" w:eastAsia="arial" w:hAnsi="arial" w:cs="arial"/>
          <w:b/>
          <w:i w:val="0"/>
          <w:strike w:val="0"/>
          <w:noProof w:val="0"/>
          <w:color w:val="000000"/>
          <w:position w:val="0"/>
          <w:sz w:val="28"/>
          <w:u w:val="none"/>
          <w:vertAlign w:val="baseline"/>
        </w:rPr>
        <w:t>Case Summary</w:t>
      </w:r>
    </w:p>
    <w:p>
      <w:pPr>
        <w:spacing w:line="60" w:lineRule="exact"/>
      </w:pPr>
      <w:r>
        <w:pict>
          <v:line id="_x0000_s1025" style="position:absolute;z-index:251658240" from="0,2pt" to="512pt,2pt" strokecolor="#009ddb" strokeweight="2pt">
            <v:stroke linestyle="single"/>
          </v:line>
        </w:pict>
      </w:r>
    </w:p>
    <w:p>
      <w:pPr>
        <w:spacing w:line="240" w:lineRule="exact"/>
      </w:pPr>
    </w:p>
    <w:p>
      <w:pPr>
        <w:keepNext w:val="0"/>
        <w:spacing w:after="0" w:line="300" w:lineRule="atLeast"/>
        <w:ind w:left="0" w:right="0" w:firstLine="0"/>
        <w:jc w:val="left"/>
      </w:pPr>
      <w:bookmarkStart w:id="1" w:name="Catchwords"/>
      <w:bookmarkEnd w:id="1"/>
      <w:r>
        <w:rPr>
          <w:rFonts w:ascii="arial" w:eastAsia="arial" w:hAnsi="arial" w:cs="arial"/>
          <w:b/>
          <w:i w:val="0"/>
          <w:strike w:val="0"/>
          <w:noProof w:val="0"/>
          <w:color w:val="000000"/>
          <w:position w:val="0"/>
          <w:sz w:val="24"/>
          <w:u w:val="none"/>
          <w:vertAlign w:val="baseline"/>
        </w:rPr>
        <w:t xml:space="preserve">Labour Law —  Dismissal of Employment — Whether company committed breach of implied term and mutual trust and confidence against claimant — Whether claimant constructively dissmised by company — Whether dismissal of claimant was without just cause or excuse —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s 20(3)</w:t>
      </w:r>
    </w:p>
    <w:p>
      <w:pPr>
        <w:keepNext w:val="0"/>
        <w:spacing w:before="0" w:after="0" w:line="300" w:lineRule="atLeast"/>
        <w:ind w:left="0" w:right="0" w:firstLine="0"/>
        <w:jc w:val="both"/>
      </w:pPr>
      <w:bookmarkStart w:id="2" w:name="Case summary "/>
      <w:bookmarkEnd w:id="2"/>
      <w:r>
        <w:br/>
      </w:r>
      <w:r>
        <w:rPr>
          <w:rFonts w:ascii="arial" w:eastAsia="arial" w:hAnsi="arial" w:cs="arial"/>
          <w:b w:val="0"/>
          <w:i w:val="0"/>
          <w:strike w:val="0"/>
          <w:noProof w:val="0"/>
          <w:color w:val="000000"/>
          <w:position w:val="0"/>
          <w:sz w:val="24"/>
          <w:u w:val="none"/>
          <w:vertAlign w:val="baseline"/>
        </w:rPr>
        <w:t xml:space="preserve">This case is a reference from the Director General for Industrial Relations to the Industrial Court of Malaysia under section 20 (3)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in respect of the dismissal of Ahamad Faizal bin Khairul Anuar (‘the claimant’) by Linde Eox Sdn Bhd (‘the company’). The claimant began his employment with Eastern Oxygen Industries Sdn Bhd on 1 May 2006, taking up the role of Management Trainee under the designation of Government Business Executive. In 2009, the claimant was issued a basic job specifications and the claimant was designated as a marketing manager – Government &amp; Bulk Gases, Kuching. Effective from 1 January 2013, Eastern Oxygen Industries Sdn Bhd was renamed as Linde Eox Sdn Bhd. The claimant was given a new contract of employment by the company on a letter dated 1 October 2015 replacing the terms and conditions of the claimant’s employment stipulated earlier in the company’s letter. On 1 November 2019, the claimant was re-designeated as PGP Deliver Manager-East Malaysiaa based in Kuching and was required to report to the PGP Business Manager, East Malaysia. The claimant ssigned the acceptance of terms and conditions of the new appointment on 1 December 2019. The claimant voiced out his grievances as regards to his employment at the company to Johny Goh, the Head of Bulk Sales of the company but received no further action by the company. The claimant reiterated his grievances regarding his lack of career development and removal of employment benefits which resulted in a loss of total income whilst taking on additional responsibilities for the company but again received no response by the company. The company then issued a show cause letter to the claimant for bringing unknown visitors to the company’s site without prior inforrmation and approval. The company then issued the claimant with a second show cause letter seeking further explanation on the alleged incident. The company dissatisfied with the claimant’s explanation and issued a warning letter to the claimant. The claimant did not acknwledge receipt of the warning letter. A third show cause letter then issued to the claimant by the company for the refusal to abide the legistimate instructions of his superior regarding seeking the approval from the Head of Safety Health Environment and Quality (SHEQ) to permit an employee to return to work. The claimant believed that he was left with no choice but to exit his employment with the company and tendered his resignation by giving three month notice of resignation dated 2 October 2021. The company accepted the claimant’s resignation and released the claimant from employment with immediate effect. The claimant argued that the company had breached its contractual, legal and statutory duties owed to the claimant which made it unbearable for the claimant to carry on working with the company. The claimant averred that the company’s actions were calculated to remove the claimant from employment and that he was constrcutively dismissed by the company. The claimant contended that he was forced to resign and alleged that the dismissal of his employment was without just or cause excuse and in breach of the principle of natural justice and an unfair labour practice and also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victimization and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mala fide by the company. The company, on the other hand, denied the allegation of constructive dismissal by the claimant. The company contended that they had never induced or pressured the claimant to reisgn, the claimant did not write to the company to allege that the claimant was constructively dismissed or forced to resign. The company also argued that the claimant’s overall conduct was not reflective of someone who was forced to resign or someone who was placed in a sitation of a constructive dismissal. </w:t>
      </w:r>
      <w:r>
        <w:t>
</w:t>
      </w:r>
    </w:p>
    <w:p>
      <w:pPr>
        <w:keepNext w:val="0"/>
        <w:spacing w:after="0" w:line="300" w:lineRule="atLeast"/>
        <w:ind w:left="0" w:right="0" w:firstLine="0"/>
        <w:jc w:val="both"/>
      </w:pPr>
      <w:bookmarkStart w:id="3" w:name="Holdings of court"/>
      <w:bookmarkEnd w:id="3"/>
      <w:r>
        <w:rPr>
          <w:rFonts w:ascii="arial" w:eastAsia="arial" w:hAnsi="arial" w:cs="arial"/>
          <w:b/>
          <w:i w:val="0"/>
          <w:strike w:val="0"/>
          <w:noProof w:val="0"/>
          <w:color w:val="000000"/>
          <w:position w:val="0"/>
          <w:sz w:val="24"/>
          <w:u w:val="none"/>
          <w:vertAlign w:val="baseline"/>
        </w:rPr>
        <w:t>Held</w:t>
      </w:r>
      <w:r>
        <w:rPr>
          <w:rFonts w:ascii="arial" w:eastAsia="arial" w:hAnsi="arial" w:cs="arial"/>
          <w:b w:val="0"/>
          <w:i w:val="0"/>
          <w:strike w:val="0"/>
          <w:noProof w:val="0"/>
          <w:color w:val="000000"/>
          <w:position w:val="0"/>
          <w:sz w:val="24"/>
          <w:u w:val="none"/>
          <w:vertAlign w:val="baseline"/>
        </w:rPr>
        <w:t>, allowing the claimant’s claims:</w:t>
      </w:r>
    </w:p>
    <w:p>
      <w:pPr>
        <w:spacing w:line="120" w:lineRule="exact"/>
      </w:pP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court found that the claimant’s terms of employment were varied by the company without the claimant being given prior notification and without his consent. It showed that the company did not intend to be bound by the terms of the claimant’s contract of employment. The company’s conduct and treatment towards the claimant had completely frustrated the claimant and demonstrated a breach of the implied term of mutual trust and confidence between the claimant and the company (see para 36).</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was found that the evidence clearly established that the claimant had been persistently protesting to the company as regards to the grievances which were listed in choronological order in the resignation letter. It could not be said that the claimant had acquiesced to the fundamental breach of employment contract with the company, particularly the implied term of mutual trust and confidence (see para 37).</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was evident that the claimant could no longer endure the manner in which the company was treating him, leaving the claimant with no choice but to regard himself as constructively dismissed. Considering that the claimant was only requested to sign and agree to the Performance Improvement Plan (PIP) on 29 September 2021, and the claimant submitted resignation letter shortly after, on 2 October 2021, it was clear that the claimant acted without undue delay in asserting claim of constructive dismissal. The claimant had succeeded in proving on the balance of probabilities that he was constructively dismissed (see para 38).</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Based on s 30(5)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pursuant to equity and good conscience and the substantial merits of the case without regard to technicalities and legal form, it was found that the claimant’s dismissal was without just cause or excuse (see para 43).</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Kes ini adalah rujukan daripada Ketua Pengarah Perhubungan Perindustrian kepada Mahkamah Perindustrian Malaysia di bawah seksyen 20 (3) Akta Perhubungan Perindustrian 1967 (‘Akta’) berhubung dengan pemberhentian Ahamad Faizal bin Khairul Anuar (‘pengadu’) oleh Linde Eox Sdn Bhd (‘syarikat’). Pengadu telah memulakan pekerjaannya dengan Eastern Oxygen Industries Sdn Bhd pada 1 Mei 2006, dengan mengambil peranan sebagai Pengurus Latihan di bawah jawatan Eksekutif Perniagaan Kerajaan. Pada tahun 2009, pengadu telah dikeluarkan spesifikasi pekerjaan asas dan telah dilantik sebagai pengurus pemasaran – Gas Kerajaan &amp; Borong, Kuching. Berkuatkuasa pada 1 Januari 2013, Eastern Oxygen Industries Sdn Bhd telah dinamakan semula sebagai Linde Eox Sdn Bhd. Pengadu telah diberikan kontrak pekerjaan baru oleh syarikat melalui surat bertarikh 1 Oktober 2015 yang menggantikan terma dan syarat pekerjaan pengadu yang sebelum ini ditetapkan dalam surat syarikat. Pada 1 November 2019, pengadu telah ditukar jawatan keduanya sebagai Pengurus Penyampaian PGP – Malaysia Timur yang berpusat di Kuching dan diarahkan untuk melapor kepada Pengurus Perniagaan PGP, Malaysia Timur. Pengadu telah menandatangani penerimaan terma dan syarat perlantikan baru pada 1 Disember 2019. Pengadu telah menyuarakan rasa tidak puas hatinya berkaitan dengan pekerjaannya di syarikat kepada Johny Goh, Ketua Jualan Borong syarikat tetapi tidak menerima sebarang tindakan lanjut daripada syarikat. Pengadu telah mengulangi rasa tidak puas hatinya mengenai kekurangan perkembangan kerjaya dan penghapusan faedah pekerjaan yang menyebabkan kehilangan pendapatan keseluruhan sambil memikul tanggungjawab tambahan untuk syarikat tetapi sekali lagi tidak mendapat sebarang maklum balas daripada syarikat. Syarikat kemudiannya mengeluarkan surat tunjuk sebab kepada pengadu kerana membawa pelawat yang tidak dikenali ke tapak syarikat tanpa maklumat dan kelulusan terlebih dahulu. Syarikat kemudiannya mengeluarkan surat tunjuk sebab kedua kepada pengadu untuk mendapatkan penjelasan lanjut mengenai kejadian yang didakwa itu. Syarikat yang tidak berpuas hati dengan penjelasan pengadu telah mengeluarkan surat amaran kepada pengadu. Pengadu tidak mengakui penerimaan surat amaran itu. Surat tunjuk sebab ketiga kemudiannya dikeluarkan kepada pengadu oleh syarikat atas sebab enggan mematuhi arahan yang sah daripada penyelia mengenai mendapatkan kelulusan daripada Ketua Keselamatan, Kesihatan, Alam Sekitar dan Kualiti (SHEQ) untuk membenarkan seorang pekerja kembali bekerja. Pengadu percaya bahawa dia tiada pilihan lain kecuali untuk meninggalkan pekerjaannya dengan syarikat dan telah mengemukakan peletakan jawatan dengan memberikan notis selama tiga bulan bertarikh 2 Oktober 2021. Syarikat menerima peletakan jawatan pengadu dan melepaskan pengadu daripada pekerjaan dengan serta-merta. Pengadu berhujah bahawa syarikat telah melanggar tanggungjawab kontraktual, undang-undang dan statutori yang terhutang kepada pengadu yang menyebabkan pengadu tidak mampu terus bekerja dengan syarikat. Pengadu menegaskan bahawa tindakan syarikat adalah tersengkal untuk mengeluarkan pengadu dari pekerjaan dan bahawa dia telah diberhentikan secara konstruktif oleh syarikat. Pengadu mendakwa bahawa dia telah dipaksa untuk meletakkan jawatan dan mendakwa bahawa pemberhentian kerjanya berlaku tanpa sebab yang munasabah serta dalam pertentangan dengan prinsip keadilan semulajadi, amalan buruh yang tidak adil serta merupakan tindakan mangsa dan tindakan berniat jahat oleh syarikat. Sebaliknya, syarikat menafikan dakwaan pemberhentian konstruktif oleh pengadu. Syarikat berhujah bahawa mereka tidak pernah menghasut atau menekan pengadu untuk meletakkan jawatan, pengadu tidak menulis kepada syarikat untuk mendakwa bahawa dia telah diberhentikan secara konstruktif atau dipaksa untuk meletakkan jawatan. Syarikat juga berhujah bahawa tingkah laku keseluruhan pengadu tidak mencerminkan seseorang yang dipaksa untuk meletakkan jawatan atau seseorang yang diletakkan dalam situasi pemberhentian konstruktif.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membenarkan tuntutan pengadu: </w:t>
      </w:r>
    </w:p>
    <w:p>
      <w:pPr>
        <w:spacing w:line="120" w:lineRule="exact"/>
      </w:pP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Mahkamah mendapati bahawa terma pekerjaan pengadu telah diubah oleh syarikat tanpa pemberitahuan awal dan tanpa persetujuan pengadu. Ini menunjukkan bahawa syarikat tidak berniat untuk terikat dengan terma kontrak pekerjaan pengadu. Kelakuan dan layanan syarikat terhadap pengadu telah sepenuhnya mengecewakan pengadu serta menunjukkan suatu pelanggaran kepada terma tersirat tentang kepercayaan dan keyakinan bersama antara pengadu dan syarikat (lihat perenggan 36).</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Dihadapkan dengan bukti, jelas bahawa pengadu telah secara berterusan menyuarakan bantahan kepada syarikat berkaitan dengan rasa tidak puas hati yang disenaraikan secara kronologi dalam surat peletakan jawatan. Tidak dapat dikatakan bahawa pengadu telah bersetuju dengan pelanggaran asas kontrak pekerjaan dengan syarikat, terutamanya terma tersirat tentang kepercayaan dan keyakinan bersama (lihat perenggan 37).</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Jelas bahawa pengadu tidak lagi mampu menerima cara syarikat melayan dirinya, sehinggalah pengadu tidak mempunyai pilihan lain kecuali menganggap dirinya telah diberhentikan secara konstruktif. Memandangkan pengadu hanya diminta untuk menandatangani dan bersetuju dengan Pelan Peningkatan Prestasi (PIP) pada 29 September 2021, dan pengadu mengemukakan surat peletakan jawatan tidak lama selepas itu, pada 2 Oktober 2021, jelas bahawa pengadu bertindak tanpa kelewatan yang tidak munasabah dalam menegaskan tuntutan pemberhentian konstruktif. Pengadu telah berjaya membuktikan berdasarkan keseimbangan kebarangkalian bahawa dirinya telah diberhentikan secara konstruktif (lihat perenggan 38).</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Berdasarkan s 30(5) Akta tersebut, atas dasar keadilan dan hati yang baik serta merit substansial kes tanpa mengira kesempurnaan teknikal dan bentuk undang-undang, didapati bahawa pemberhentian pengadu adalah tanpa sebab yang munasabah atau alasan (lihat perenggan 43).</w:t>
      </w:r>
    </w:p>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Cases referred to</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Afzal bin Amran v Etiqa Insurance Berhad  </w:t>
      </w:r>
      <w:r>
        <w:rPr>
          <w:rFonts w:ascii="arial" w:eastAsia="arial" w:hAnsi="arial" w:cs="arial"/>
          <w:b w:val="0"/>
          <w:i w:val="0"/>
          <w:strike w:val="0"/>
          <w:noProof w:val="0"/>
          <w:color w:val="000000"/>
          <w:position w:val="0"/>
          <w:sz w:val="24"/>
          <w:u w:val="none"/>
          <w:vertAlign w:val="baseline"/>
        </w:rPr>
        <w:t>[2017] ILJU 59; [2017] 2 ILR 512,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Alan Thomas Bohlsen v Draftworldwide Sdn Bhd  </w:t>
      </w:r>
      <w:r>
        <w:rPr>
          <w:rFonts w:ascii="arial" w:eastAsia="arial" w:hAnsi="arial" w:cs="arial"/>
          <w:b w:val="0"/>
          <w:i w:val="0"/>
          <w:strike w:val="0"/>
          <w:noProof w:val="0"/>
          <w:color w:val="000000"/>
          <w:position w:val="0"/>
          <w:sz w:val="24"/>
          <w:u w:val="none"/>
          <w:vertAlign w:val="baseline"/>
        </w:rPr>
        <w:t>[2009] 8 MLJ 461; [2009] 1 LNS 550,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Anwar bin Abd Rahim v Bayer (M) Sdn Bhd  </w:t>
      </w:r>
      <w:r>
        <w:rPr>
          <w:rFonts w:ascii="arial" w:eastAsia="arial" w:hAnsi="arial" w:cs="arial"/>
          <w:b w:val="0"/>
          <w:i w:val="0"/>
          <w:strike w:val="0"/>
          <w:noProof w:val="0"/>
          <w:color w:val="000000"/>
          <w:position w:val="0"/>
          <w:sz w:val="24"/>
          <w:u w:val="none"/>
          <w:vertAlign w:val="baseline"/>
        </w:rPr>
        <w:t>[1998] 2 MLJ 599; [1998] 2 CLJ 197,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Azura Norden v Small Medium Enterprise Development Bank Malaysia Berhad  </w:t>
      </w:r>
      <w:r>
        <w:rPr>
          <w:rFonts w:ascii="arial" w:eastAsia="arial" w:hAnsi="arial" w:cs="arial"/>
          <w:b w:val="0"/>
          <w:i w:val="0"/>
          <w:strike w:val="0"/>
          <w:noProof w:val="0"/>
          <w:color w:val="000000"/>
          <w:position w:val="0"/>
          <w:sz w:val="24"/>
          <w:u w:val="none"/>
          <w:vertAlign w:val="baseline"/>
        </w:rPr>
        <w:t>[2021] 3 ILR 297,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Bayer (M) Sdn Bhd v Anwar Abd Rahim  </w:t>
      </w:r>
      <w:r>
        <w:rPr>
          <w:rFonts w:ascii="arial" w:eastAsia="arial" w:hAnsi="arial" w:cs="arial"/>
          <w:b w:val="0"/>
          <w:i w:val="0"/>
          <w:strike w:val="0"/>
          <w:noProof w:val="0"/>
          <w:color w:val="000000"/>
          <w:position w:val="0"/>
          <w:sz w:val="24"/>
          <w:u w:val="none"/>
          <w:vertAlign w:val="baseline"/>
        </w:rPr>
        <w:t>[1995] MLJU 558; [1996] 2 CLJ 49,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Chandrakandan Munusamy Pemborong Pentex Sdn Bhd v Sasitharan Neelamegam  </w:t>
      </w:r>
      <w:r>
        <w:rPr>
          <w:rFonts w:ascii="arial" w:eastAsia="arial" w:hAnsi="arial" w:cs="arial"/>
          <w:b w:val="0"/>
          <w:i w:val="0"/>
          <w:strike w:val="0"/>
          <w:noProof w:val="0"/>
          <w:color w:val="000000"/>
          <w:position w:val="0"/>
          <w:sz w:val="24"/>
          <w:u w:val="none"/>
          <w:vertAlign w:val="baseline"/>
        </w:rPr>
        <w:t>[1991] 2 ILR 730,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Choo Heeon v Fimco Management Sdn Bhd  </w:t>
      </w:r>
      <w:r>
        <w:rPr>
          <w:rFonts w:ascii="arial" w:eastAsia="arial" w:hAnsi="arial" w:cs="arial"/>
          <w:b w:val="0"/>
          <w:i w:val="0"/>
          <w:strike w:val="0"/>
          <w:noProof w:val="0"/>
          <w:color w:val="000000"/>
          <w:position w:val="0"/>
          <w:sz w:val="24"/>
          <w:u w:val="none"/>
          <w:vertAlign w:val="baseline"/>
        </w:rPr>
        <w:t>[2012] 3 ILR 124,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 xml:space="preserve"> [2023] MLJU 1865; [2023] 4 ILR 1,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Daniel a/l Subramaniam v Sime Darby Plantation Sdn Bhd  </w:t>
      </w:r>
      <w:r>
        <w:rPr>
          <w:rFonts w:ascii="arial" w:eastAsia="arial" w:hAnsi="arial" w:cs="arial"/>
          <w:b w:val="0"/>
          <w:i w:val="0"/>
          <w:strike w:val="0"/>
          <w:noProof w:val="0"/>
          <w:color w:val="000000"/>
          <w:position w:val="0"/>
          <w:sz w:val="24"/>
          <w:u w:val="none"/>
          <w:vertAlign w:val="baseline"/>
        </w:rPr>
        <w:t>[2018] ILJU 130; [2018] 3 ILR 573,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Federal Auto Holdings Berhad &amp; Anor v Md Mazlan Bin Abd Halim  </w:t>
      </w:r>
      <w:r>
        <w:rPr>
          <w:rFonts w:ascii="arial" w:eastAsia="arial" w:hAnsi="arial" w:cs="arial"/>
          <w:b w:val="0"/>
          <w:i w:val="0"/>
          <w:strike w:val="0"/>
          <w:noProof w:val="0"/>
          <w:color w:val="000000"/>
          <w:position w:val="0"/>
          <w:sz w:val="24"/>
          <w:u w:val="none"/>
          <w:vertAlign w:val="baseline"/>
        </w:rPr>
        <w:t>[2010] ILJU 19,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Goon Kwee Phoy v J&amp;P Coats (M) Bhd  </w:t>
      </w:r>
      <w:r>
        <w:rPr>
          <w:rFonts w:ascii="arial" w:eastAsia="arial" w:hAnsi="arial" w:cs="arial"/>
          <w:b w:val="0"/>
          <w:i w:val="0"/>
          <w:strike w:val="0"/>
          <w:noProof w:val="0"/>
          <w:color w:val="000000"/>
          <w:position w:val="0"/>
          <w:sz w:val="24"/>
          <w:u w:val="none"/>
          <w:vertAlign w:val="baseline"/>
        </w:rPr>
        <w:t>[1981] 2 MLJ 129; [1981] 1 LNS 30,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Govindasamy a/l Muthusamy v Industrial Court Malaysia and Anor </w:t>
      </w:r>
      <w:r>
        <w:rPr>
          <w:rFonts w:ascii="arial" w:eastAsia="arial" w:hAnsi="arial" w:cs="arial"/>
          <w:b w:val="0"/>
          <w:i w:val="0"/>
          <w:strike w:val="0"/>
          <w:noProof w:val="0"/>
          <w:color w:val="000000"/>
          <w:position w:val="0"/>
          <w:sz w:val="24"/>
          <w:u w:val="none"/>
          <w:vertAlign w:val="baseline"/>
        </w:rPr>
        <w:t>[2007] MLJU 684; [2007] 10 CLJ 266,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Hong Leong Bank Bhdv Phung Tze Thiam John Phung  </w:t>
      </w:r>
      <w:r>
        <w:rPr>
          <w:rFonts w:ascii="arial" w:eastAsia="arial" w:hAnsi="arial" w:cs="arial"/>
          <w:b w:val="0"/>
          <w:i w:val="0"/>
          <w:strike w:val="0"/>
          <w:noProof w:val="0"/>
          <w:color w:val="000000"/>
          <w:position w:val="0"/>
          <w:sz w:val="24"/>
          <w:u w:val="none"/>
          <w:vertAlign w:val="baseline"/>
        </w:rPr>
        <w:t>[2008] 2 MLJ 785; [2008] 1 LNS 921,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Ike Video Distributor Sdn Bhd v Chan Chee Bin  </w:t>
      </w:r>
      <w:r>
        <w:rPr>
          <w:rFonts w:ascii="arial" w:eastAsia="arial" w:hAnsi="arial" w:cs="arial"/>
          <w:b w:val="0"/>
          <w:i w:val="0"/>
          <w:strike w:val="0"/>
          <w:noProof w:val="0"/>
          <w:color w:val="000000"/>
          <w:position w:val="0"/>
          <w:sz w:val="24"/>
          <w:u w:val="none"/>
          <w:vertAlign w:val="baseline"/>
        </w:rPr>
        <w:t>[2004] ILJU 74; [2004] 2 ILR 687,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Ireka Construction Berhad v Chantiravathan a/l Subramaniam James  </w:t>
      </w:r>
      <w:r>
        <w:rPr>
          <w:rFonts w:ascii="arial" w:eastAsia="arial" w:hAnsi="arial" w:cs="arial"/>
          <w:b w:val="0"/>
          <w:i w:val="0"/>
          <w:strike w:val="0"/>
          <w:noProof w:val="0"/>
          <w:color w:val="000000"/>
          <w:position w:val="0"/>
          <w:sz w:val="24"/>
          <w:u w:val="none"/>
          <w:vertAlign w:val="baseline"/>
        </w:rPr>
        <w:t>[1995] 2 ILR 11,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Keretapi Tanah Melayu Berhad v Mohan Vythialingam &amp; Anor and another appeal  </w:t>
      </w:r>
      <w:r>
        <w:rPr>
          <w:rFonts w:ascii="arial" w:eastAsia="arial" w:hAnsi="arial" w:cs="arial"/>
          <w:b w:val="0"/>
          <w:i w:val="0"/>
          <w:strike w:val="0"/>
          <w:noProof w:val="0"/>
          <w:color w:val="000000"/>
          <w:position w:val="0"/>
          <w:sz w:val="24"/>
          <w:u w:val="none"/>
          <w:vertAlign w:val="baseline"/>
        </w:rPr>
        <w:t>[2023] 3 MLJ 557,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Law Tik Long v Hong Nam Industry (M) Sdn Bhd  </w:t>
      </w:r>
      <w:r>
        <w:rPr>
          <w:rFonts w:ascii="arial" w:eastAsia="arial" w:hAnsi="arial" w:cs="arial"/>
          <w:b w:val="0"/>
          <w:i w:val="0"/>
          <w:strike w:val="0"/>
          <w:noProof w:val="0"/>
          <w:color w:val="000000"/>
          <w:position w:val="0"/>
          <w:sz w:val="24"/>
          <w:u w:val="none"/>
          <w:vertAlign w:val="baseline"/>
        </w:rPr>
        <w:t>[2012] 1 ILR 89,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Lewis v Motorworld Garages Ltd  </w:t>
      </w:r>
      <w:r>
        <w:rPr>
          <w:rFonts w:ascii="arial" w:eastAsia="arial" w:hAnsi="arial" w:cs="arial"/>
          <w:b w:val="0"/>
          <w:i w:val="0"/>
          <w:strike w:val="0"/>
          <w:noProof w:val="0"/>
          <w:color w:val="000000"/>
          <w:position w:val="0"/>
          <w:sz w:val="24"/>
          <w:u w:val="none"/>
          <w:vertAlign w:val="baseline"/>
        </w:rPr>
        <w:t>[1986] ICR 157; [1985] IRLR 465,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Masitah Mohamad v University College Bestari  </w:t>
      </w:r>
      <w:r>
        <w:rPr>
          <w:rFonts w:ascii="arial" w:eastAsia="arial" w:hAnsi="arial" w:cs="arial"/>
          <w:b w:val="0"/>
          <w:i w:val="0"/>
          <w:strike w:val="0"/>
          <w:noProof w:val="0"/>
          <w:color w:val="000000"/>
          <w:position w:val="0"/>
          <w:sz w:val="24"/>
          <w:u w:val="none"/>
          <w:vertAlign w:val="baseline"/>
        </w:rPr>
        <w:t>[2020] ILJU 311; [2021] 1 ILR 157,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Moshila Palanisamy v Blue Wave Shipping (M) Sdn Bhd  </w:t>
      </w:r>
      <w:r>
        <w:rPr>
          <w:rFonts w:ascii="arial" w:eastAsia="arial" w:hAnsi="arial" w:cs="arial"/>
          <w:b w:val="0"/>
          <w:i w:val="0"/>
          <w:strike w:val="0"/>
          <w:noProof w:val="0"/>
          <w:color w:val="000000"/>
          <w:position w:val="0"/>
          <w:sz w:val="24"/>
          <w:u w:val="none"/>
          <w:vertAlign w:val="baseline"/>
        </w:rPr>
        <w:t>[2022] 1 ILR 514,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Nur Ezlina binti Ismail v UMW Toyota Motor Sdn Bhd  </w:t>
      </w:r>
      <w:r>
        <w:rPr>
          <w:rFonts w:ascii="arial" w:eastAsia="arial" w:hAnsi="arial" w:cs="arial"/>
          <w:b w:val="0"/>
          <w:i w:val="0"/>
          <w:strike w:val="0"/>
          <w:noProof w:val="0"/>
          <w:color w:val="000000"/>
          <w:position w:val="0"/>
          <w:sz w:val="24"/>
          <w:u w:val="none"/>
          <w:vertAlign w:val="baseline"/>
        </w:rPr>
        <w:t>[2020] ILJU 146; [2020] 2 ILR 401,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Omilaju v Waltham Forest London Borough Council  </w:t>
      </w:r>
      <w:r>
        <w:rPr>
          <w:rFonts w:ascii="arial" w:eastAsia="arial" w:hAnsi="arial" w:cs="arial"/>
          <w:b w:val="0"/>
          <w:i w:val="0"/>
          <w:strike w:val="0"/>
          <w:noProof w:val="0"/>
          <w:color w:val="000000"/>
          <w:position w:val="0"/>
          <w:sz w:val="24"/>
          <w:u w:val="none"/>
          <w:vertAlign w:val="baseline"/>
        </w:rPr>
        <w:t>[2005] 1 All ER 75,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Pexxon Sdn Bhd v Sia Qui Yau  </w:t>
      </w:r>
      <w:r>
        <w:rPr>
          <w:rFonts w:ascii="arial" w:eastAsia="arial" w:hAnsi="arial" w:cs="arial"/>
          <w:b w:val="0"/>
          <w:i w:val="0"/>
          <w:strike w:val="0"/>
          <w:noProof w:val="0"/>
          <w:color w:val="000000"/>
          <w:position w:val="0"/>
          <w:sz w:val="24"/>
          <w:u w:val="none"/>
          <w:vertAlign w:val="baseline"/>
        </w:rPr>
        <w:t>[1989] 2 ILR 235,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PP v Datuk Haji Harun Bin Haji Idris (No 2)  </w:t>
      </w:r>
      <w:r>
        <w:rPr>
          <w:rFonts w:ascii="arial" w:eastAsia="arial" w:hAnsi="arial" w:cs="arial"/>
          <w:b w:val="0"/>
          <w:i w:val="0"/>
          <w:strike w:val="0"/>
          <w:noProof w:val="0"/>
          <w:color w:val="000000"/>
          <w:position w:val="0"/>
          <w:sz w:val="24"/>
          <w:u w:val="none"/>
          <w:vertAlign w:val="baseline"/>
        </w:rPr>
        <w:t>[1977] 1 MLJ 15; [1976] CLJU 184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Quah Swee Khoon v Sime Darby Bhd  </w:t>
      </w:r>
      <w:r>
        <w:rPr>
          <w:rFonts w:ascii="arial" w:eastAsia="arial" w:hAnsi="arial" w:cs="arial"/>
          <w:b w:val="0"/>
          <w:i w:val="0"/>
          <w:strike w:val="0"/>
          <w:noProof w:val="0"/>
          <w:color w:val="000000"/>
          <w:position w:val="0"/>
          <w:sz w:val="24"/>
          <w:u w:val="none"/>
          <w:vertAlign w:val="baseline"/>
        </w:rPr>
        <w:t>[2000] 2 MLJ 600; [2001] 1 CLJ 9,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Ranjit Kaur a/p S Gopal Singh v Hotel Excelsior (M) Sdn Bhd  </w:t>
      </w:r>
      <w:r>
        <w:rPr>
          <w:rFonts w:ascii="arial" w:eastAsia="arial" w:hAnsi="arial" w:cs="arial"/>
          <w:b w:val="0"/>
          <w:i w:val="0"/>
          <w:strike w:val="0"/>
          <w:noProof w:val="0"/>
          <w:color w:val="000000"/>
          <w:position w:val="0"/>
          <w:sz w:val="24"/>
          <w:u w:val="none"/>
          <w:vertAlign w:val="baseline"/>
        </w:rPr>
        <w:t>[2010] 6 MLJ 1; [2010] 8 CLJ 629,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Sanbos (M) Sdn Bhd v Gan Soon Huat  </w:t>
      </w:r>
      <w:r>
        <w:rPr>
          <w:rFonts w:ascii="arial" w:eastAsia="arial" w:hAnsi="arial" w:cs="arial"/>
          <w:b w:val="0"/>
          <w:i w:val="0"/>
          <w:strike w:val="0"/>
          <w:noProof w:val="0"/>
          <w:color w:val="000000"/>
          <w:position w:val="0"/>
          <w:sz w:val="24"/>
          <w:u w:val="none"/>
          <w:vertAlign w:val="baseline"/>
        </w:rPr>
        <w:t>[2021] 4 MLJ 924; [2021] 3 ILR 11,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Siew Chee Keong v RHB Bank Berhad  </w:t>
      </w:r>
      <w:r>
        <w:rPr>
          <w:rFonts w:ascii="arial" w:eastAsia="arial" w:hAnsi="arial" w:cs="arial"/>
          <w:b w:val="0"/>
          <w:i w:val="0"/>
          <w:strike w:val="0"/>
          <w:noProof w:val="0"/>
          <w:color w:val="000000"/>
          <w:position w:val="0"/>
          <w:sz w:val="24"/>
          <w:u w:val="none"/>
          <w:vertAlign w:val="baseline"/>
        </w:rPr>
        <w:t>[2019] ILRU 1415,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Southern Investment Bank/Southern Bank &amp; Anor v Yap Fat &amp; Anor  </w:t>
      </w:r>
      <w:r>
        <w:rPr>
          <w:rFonts w:ascii="arial" w:eastAsia="arial" w:hAnsi="arial" w:cs="arial"/>
          <w:b w:val="0"/>
          <w:i w:val="0"/>
          <w:strike w:val="0"/>
          <w:noProof w:val="0"/>
          <w:color w:val="000000"/>
          <w:position w:val="0"/>
          <w:sz w:val="24"/>
          <w:u w:val="none"/>
          <w:vertAlign w:val="baseline"/>
        </w:rPr>
        <w:t xml:space="preserve"> [2017] 3 MLJ 327; [2017] 3 ILR 433,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Tan Lay Peng (representative of the estate of Tan Leong Huat) v RHB Bank Bhd &amp; Anor  </w:t>
      </w:r>
      <w:r>
        <w:rPr>
          <w:rFonts w:ascii="arial" w:eastAsia="arial" w:hAnsi="arial" w:cs="arial"/>
          <w:b w:val="0"/>
          <w:i w:val="0"/>
          <w:strike w:val="0"/>
          <w:noProof w:val="0"/>
          <w:color w:val="000000"/>
          <w:position w:val="0"/>
          <w:sz w:val="24"/>
          <w:u w:val="none"/>
          <w:vertAlign w:val="baseline"/>
        </w:rPr>
        <w:t>[2024] 3 MLJ 506; [2024] 6 CLJ 315,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MLJ 129; [2002] 3 CLJ 314,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Thanaletchumy a/p Ramanujam v The Royal Selangor Golf Club &amp; Anor  </w:t>
      </w:r>
      <w:r>
        <w:rPr>
          <w:rFonts w:ascii="arial" w:eastAsia="arial" w:hAnsi="arial" w:cs="arial"/>
          <w:b w:val="0"/>
          <w:i w:val="0"/>
          <w:strike w:val="0"/>
          <w:noProof w:val="0"/>
          <w:color w:val="000000"/>
          <w:position w:val="0"/>
          <w:sz w:val="24"/>
          <w:u w:val="none"/>
          <w:vertAlign w:val="baseline"/>
        </w:rPr>
        <w:t>[2024] MLJU 759,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[1988] 1 MLJ 92; [1988] 1 CLJ 45; [1988] 1 CLJ Rep 298, SC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Zainal Abidin bin Abdullah v DI Perdana Utara Sdn Bhd  </w:t>
      </w:r>
      <w:r>
        <w:rPr>
          <w:rFonts w:ascii="arial" w:eastAsia="arial" w:hAnsi="arial" w:cs="arial"/>
          <w:b w:val="0"/>
          <w:i w:val="0"/>
          <w:strike w:val="0"/>
          <w:noProof w:val="0"/>
          <w:color w:val="000000"/>
          <w:position w:val="0"/>
          <w:sz w:val="24"/>
          <w:u w:val="none"/>
          <w:vertAlign w:val="baseline"/>
        </w:rPr>
        <w:t>[2012] 1 ILJ 498, IC  (refd)</w:t>
      </w:r>
      <w:r>
        <w:t>
</w:t>
      </w:r>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Legislation referred to</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ss 20, 20(3), 30(5) </w:t>
      </w:r>
      <w:r>
        <w:t>
</w:t>
      </w:r>
    </w:p>
    <w:p>
      <w:pPr>
        <w:keepNext w:val="0"/>
        <w:spacing w:before="240" w:after="0" w:line="300" w:lineRule="atLeast"/>
        <w:ind w:left="360" w:right="0" w:firstLine="0"/>
        <w:jc w:val="left"/>
      </w:pPr>
      <w:bookmarkStart w:id="4" w:name="Representation"/>
      <w:bookmarkEnd w:id="4"/>
      <w:r>
        <w:rPr>
          <w:rFonts w:ascii="arial" w:eastAsia="arial" w:hAnsi="arial" w:cs="arial"/>
          <w:b w:val="0"/>
          <w:i/>
          <w:strike w:val="0"/>
          <w:noProof w:val="0"/>
          <w:color w:val="000000"/>
          <w:position w:val="0"/>
          <w:sz w:val="24"/>
          <w:u w:val="none"/>
          <w:vertAlign w:val="baseline"/>
        </w:rPr>
        <w:t>Muhendaran Suppiah (Chong Wan Loo) (Muhendaran Sri)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Vijayan Venugopal (Adam Thye Yong Wei) (Shearn Delamore &amp; Co)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103"/>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5" w:name="Nur Fauzah binti Dato’ Mokhtar C"/>
            <w:bookmarkEnd w:id="5"/>
            <w:r>
              <w:rPr>
                <w:rFonts w:ascii="arial" w:eastAsia="arial" w:hAnsi="arial" w:cs="arial"/>
                <w:b/>
                <w:i w:val="0"/>
                <w:strike w:val="0"/>
                <w:noProof w:val="0"/>
                <w:color w:val="000000"/>
                <w:position w:val="0"/>
                <w:sz w:val="30"/>
                <w:u w:val="none"/>
                <w:vertAlign w:val="baseline"/>
              </w:rPr>
              <w:t>Nur Fauzah binti Dato’ Mokhtar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single"/>
          <w:vertAlign w:val="baseline"/>
        </w:rPr>
        <w:t>REFERENCE</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This is a reference from the Director General for Industrial Relations to the Industrial Court of Malaysia under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respect of the dismissal of </w:t>
      </w:r>
      <w:r>
        <w:rPr>
          <w:rFonts w:ascii="arial" w:eastAsia="arial" w:hAnsi="arial" w:cs="arial"/>
          <w:b/>
          <w:i w:val="0"/>
          <w:strike w:val="0"/>
          <w:noProof w:val="0"/>
          <w:color w:val="000000"/>
          <w:position w:val="0"/>
          <w:sz w:val="24"/>
          <w:u w:val="none"/>
          <w:vertAlign w:val="baseline"/>
        </w:rPr>
        <w:t>AHMAD FAIZAL BIN KHAIRUL ANUAR</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LINDE EOX Sdn Bhd</w:t>
      </w:r>
      <w:r>
        <w:rPr>
          <w:rFonts w:ascii="arial" w:eastAsia="arial" w:hAnsi="arial" w:cs="arial"/>
          <w:b w:val="0"/>
          <w:i w:val="0"/>
          <w:strike w:val="0"/>
          <w:noProof w:val="0"/>
          <w:color w:val="000000"/>
          <w:position w:val="0"/>
          <w:sz w:val="24"/>
          <w:u w:val="none"/>
          <w:vertAlign w:val="baseline"/>
        </w:rPr>
        <w:t xml:space="preserve"> (“the Company”) on </w:t>
      </w:r>
      <w:r>
        <w:rPr>
          <w:rFonts w:ascii="arial" w:eastAsia="arial" w:hAnsi="arial" w:cs="arial"/>
          <w:b/>
          <w:i w:val="0"/>
          <w:strike w:val="0"/>
          <w:noProof w:val="0"/>
          <w:color w:val="000000"/>
          <w:position w:val="0"/>
          <w:sz w:val="24"/>
          <w:u w:val="none"/>
          <w:vertAlign w:val="baseline"/>
        </w:rPr>
        <w:t>18th October 2021</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This matter was initially fixed for hearing on 24th July 2023 and 25th July 2023. The hearing proceeded on 24th July 2023 and continued for another nine hearing dates. The hearing finally concluded on 4th March 2024. The Company called two (2) witnesses i.e. Kho Hui Hui (“COW-1”) and Anparasan Nagalingam (“COW-2”). Whilst the Claimant gave evidence on his own behalf.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In handing down this Award the following were considered by the Court:</w:t>
      </w:r>
      <w:r>
        <w:t>
</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record of proceedings;</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notes of proceedings;</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5th September 2022;</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3rd October 2022;</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16th November 2022;</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Witness Statement (“CLWS1”), the Witness Statement of COW-1 (“COWS1”) and the Witness Statement of COW-2 (“COWS2”);</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Bundles of Documents marked as CLB1, CLB2, CLB3 and CLB4;</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Bundles of Documents marked as COB1, COB2 and COB3;</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dated 10th May 2024;</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dated 13th May 2024;</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in Reply dated 21st June 2024; and</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in Reply dated 21st June 2024.</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Background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Based on the pleadings and bundles of documents, this Court takes note of the following –</w:t>
      </w:r>
      <w:r>
        <w:t>
</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commenced his employment with Eastern Oxygen Industries</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Sdn Bhd on 1st May 2006 as a Management Trainee in the position of Government Business Executive with a starting basic salary of RM2,000.00 per month as well as monthly car allowance of RM0.35 for the first 1,000 km and RM0.10 for every subsequent km thereafter as well as hand phone allowance of RM80.00 per month. These monetary payments as well as other terms and conditions of the Claimant’s employment were stipulated in the letter of offer of employment dated 4th April 2006 which was signed by the Claimant on 5th April 2006 (“Letter of Offer”);</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based on the terms and conditions of employment as stipulated in the Letter of Offer, the Claimant,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was also required to undergo a probation period of six (6) months and “</w:t>
      </w:r>
      <w:r>
        <w:rPr>
          <w:rFonts w:ascii="arial" w:eastAsia="arial" w:hAnsi="arial" w:cs="arial"/>
          <w:b w:val="0"/>
          <w:i/>
          <w:strike w:val="0"/>
          <w:noProof w:val="0"/>
          <w:color w:val="000000"/>
          <w:position w:val="0"/>
          <w:sz w:val="24"/>
          <w:u w:val="none"/>
          <w:vertAlign w:val="baseline"/>
        </w:rPr>
        <w:t>…extendable by another 6 months if deemed necessary…</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2009 the Claimant was issued a “Basic Job Specifications” by Eastern Oxygen Industries Sdn Bhd. Based on the “Basic Job Specifications” dated 16th June 2009, which was agreed to by the Claimant on the same date, the Claimant’s position was designated as a Marketing Manager – Government &amp; Bulk at Bulk Gases, Kuching and was required to report to Bulk Gases Business;</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subsequent thereto, Eastern Oxygen Industries Sdn Bhd was acquired by Linde Group and effective 1st January 2013 Eastern Oxygen Industries Sdn Bhd was renamed as Linde Eox Sdn Bhd i.e. the Company;</w:t>
      </w:r>
    </w:p>
    <w:p>
      <w:pPr>
        <w:keepNext w:val="0"/>
        <w:numPr>
          <w:numId w:val="10"/>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Company’s letter dated 1st January 2013 (“Company’s Letter”), the Claimant was informed that the “</w:t>
      </w:r>
      <w:r>
        <w:rPr>
          <w:rFonts w:ascii="arial" w:eastAsia="arial" w:hAnsi="arial" w:cs="arial"/>
          <w:b w:val="0"/>
          <w:i/>
          <w:strike w:val="0"/>
          <w:noProof w:val="0"/>
          <w:color w:val="000000"/>
          <w:position w:val="0"/>
          <w:sz w:val="24"/>
          <w:u w:val="none"/>
          <w:vertAlign w:val="baseline"/>
        </w:rPr>
        <w:t>…change of name … does not affect the employment of our employees…</w:t>
      </w:r>
      <w:r>
        <w:rPr>
          <w:rFonts w:ascii="arial" w:eastAsia="arial" w:hAnsi="arial" w:cs="arial"/>
          <w:b w:val="0"/>
          <w:i w:val="0"/>
          <w:strike w:val="0"/>
          <w:noProof w:val="0"/>
          <w:color w:val="000000"/>
          <w:position w:val="0"/>
          <w:sz w:val="24"/>
          <w:u w:val="none"/>
          <w:vertAlign w:val="baseline"/>
        </w:rPr>
        <w:t>”. In addition, the Company informed that “</w:t>
      </w:r>
      <w:r>
        <w:rPr>
          <w:rFonts w:ascii="arial" w:eastAsia="arial" w:hAnsi="arial" w:cs="arial"/>
          <w:b w:val="0"/>
          <w:i/>
          <w:strike w:val="0"/>
          <w:noProof w:val="0"/>
          <w:color w:val="000000"/>
          <w:position w:val="0"/>
          <w:sz w:val="24"/>
          <w:u w:val="none"/>
          <w:vertAlign w:val="baseline"/>
        </w:rPr>
        <w:t>[p]ursuant to the harmonisation of HR policies and terms and conditions of service, the Company is pleased to advise that on an overall basis, the harmonised terms and conditions of services are more favourable than your current terms and conditions of service. The harmonised terms will take effect from 1 January 2013. …</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revised terms and conditions of the Claimant’s employment as stipulated in the Company’s Letter, which was duly accepted and signed by the Claimant, include,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as follows: </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basic salary of RM4,518.00 per month;</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position as Marketing Manager – Govt &amp; Bulk at Bulk Gases Department and shall report to Business Manager – Electronics and Bulk Gases Applications or to a corresponding position; and</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eligible for all benefits, according to his grade level, as provided by the Company for all permanent employees as well as discretionary performance bonuses. An abridged version of the benefits and performance bonuses is enclosed to the Company’s Letter as per </w:t>
      </w:r>
      <w:r>
        <w:rPr>
          <w:rFonts w:ascii="arial" w:eastAsia="arial" w:hAnsi="arial" w:cs="arial"/>
          <w:b w:val="0"/>
          <w:i/>
          <w:strike w:val="0"/>
          <w:noProof w:val="0"/>
          <w:color w:val="000000"/>
          <w:position w:val="0"/>
          <w:sz w:val="24"/>
          <w:u w:val="none"/>
          <w:vertAlign w:val="baseline"/>
        </w:rPr>
        <w:t>Appendix A</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was then given a new Contract of Employment by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1st October 2015 (“Contract of Employment”) replacing the terms and conditions of the Claimant’s employment stipulated in the Company’s Letter. The Contract of Employment, which was duly accepted and signed by the Claimant, provides,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as follows: </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basic salary of RM5,405.83 per month;</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position as Marketing Manager – Govt &amp; Bulk at Bulk Gases Department and shall report to Business Manager, Sarawak or to a corresponding position; and</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eligible for all benefits, according to his grade level, as provided by the Company for all permanent employees as well as discretionary performance bonuses. An abridged version of the benefits and performance bonuses is enclosed to the Contract of Employment as per </w:t>
      </w:r>
      <w:r>
        <w:rPr>
          <w:rFonts w:ascii="arial" w:eastAsia="arial" w:hAnsi="arial" w:cs="arial"/>
          <w:b w:val="0"/>
          <w:i/>
          <w:strike w:val="0"/>
          <w:noProof w:val="0"/>
          <w:color w:val="000000"/>
          <w:position w:val="0"/>
          <w:sz w:val="24"/>
          <w:u w:val="none"/>
          <w:vertAlign w:val="baseline"/>
        </w:rPr>
        <w:t>Appendix A</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“Job Description” was subsequently issued to the Claimant in 2018. Based on the “Job Description” the Claimant has been re-designated as Manager – Government Relations and Projects at Bulk Gases, Samajaya Kuching and the Claimant was required to report to Business Manager – East Malaysia, one Jimmy Tan Kuan Meng. The Job Description was approved by the said Business Manager – East Malaysia on 2nd April 2018 and affirmed by the Human Resources Services Manager, one Kenneth Par, on 6th April 2018. The Claimant duly acknowledged receipt of the said Job Description on 2nd April 2018;</w:t>
      </w:r>
    </w:p>
    <w:p>
      <w:pPr>
        <w:keepNext w:val="0"/>
        <w:numPr>
          <w:numId w:val="10"/>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Company’s letter dated 1st November 2019, the Claimant was then re-designated as PGP Deliver Manager – East Malaysia based in Kuching – Samajaya and was required to report to the PGP Business Manager, East Malaysia with dotted reporting to PGP Distribution Optimization Manager or to a corresponding position. As per the said letter, the Claimant’s re-designation was effective on the same date of the said letter and the Claimant’s other terms of employment remained unchanged. The Claimant duly signed the acceptance of the terms and conditions of the new appointment on 1st December 2019;</w:t>
      </w:r>
    </w:p>
    <w:p>
      <w:pPr>
        <w:keepNext w:val="0"/>
        <w:numPr>
          <w:numId w:val="10"/>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13th August 2020, the Company informed the Claimant of the following: </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revision of the Claimant’s annual salary to RM80,850.00 effective 1st August 2020 in view of the recently reviewed job scope; and</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withdrawal of the Claimant’s monthly car allowance of RM1,000.00 and petrol card allowance of RM650.00 effective on the same date in view of the Claimant’s re-designation; and</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of 18th October 2021, the Claimant’s last drawn monthly salary was RM7,242.82.</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Claimant’s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Based on the Statement of Case, the Claimant avers he was constructively dismissed by the Company. In relation thereto, the Claimant avers as follows –</w:t>
      </w:r>
      <w:r>
        <w:t>
</w:t>
      </w:r>
    </w:p>
    <w:p>
      <w:pPr>
        <w:keepNext w:val="0"/>
        <w:numPr>
          <w:numId w:val="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email dated 7th February 2018, the Claimant voiced out his grievances as regards his employment at the Company to one Johnny Goh, who was the Head of Bulk Sales of the Company at the material time, wherein the Claimant stated as follows: </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was being put on “cold storage” and was not given appropriate responsibilities for his role in the Company;</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had not progressed from his position in 5 years;</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received minimal increments in his salary; and</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not provided him with sufficient plans for career development;</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further action was done by the Company to remediate his grievances;</w:t>
      </w:r>
    </w:p>
    <w:p>
      <w:pPr>
        <w:keepNext w:val="0"/>
        <w:numPr>
          <w:numId w:val="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3rd October 2019, the Company had promised that the Claimant’s salary would be adjusted in April 2020 . The said email was in reply to an email sent by the Claimant on 30th September 2019. However, no such adjustment was made to the Claimant’s salary; and</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subsequently informed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1st November 2019 that he was being re-designated as a PGP Deliver Manager with his terms of employment remain unchanged. The said letter further stated that the re-designation came into effect on 1st November 2019.</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further avers that the following events led to the Claimant’s dismissal on 18th October 2021:</w:t>
      </w:r>
      <w:r>
        <w:t>
</w:t>
      </w:r>
    </w:p>
    <w:p>
      <w:pPr>
        <w:keepNext w:val="0"/>
        <w:numPr>
          <w:numId w:val="2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email dated 18th August 2020, the Claimant raised his concerns regarding the revocation by the Company of his employment benefits, namely his petrol allowances of RM650.00 and car allowance of RM1,000.00. However, his concerns were not entertained by the Company;</w:t>
      </w:r>
    </w:p>
    <w:p>
      <w:pPr>
        <w:keepNext w:val="0"/>
        <w:numPr>
          <w:numId w:val="2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email dated 6th February 2021, the Claimant reiterated his grievances regarding his lack of career development and removal of employment benefits which resulted in a loss of total income whilst taking on additional responsibilities for the Company. However, the Company did not respond to the Claimant’s grievances and no further action was done relating to the same;</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issued the Claimant with a Show Cause Letter dated 28th July 2021 (“1st Show Cause Letter”), whereby the Company informed the Claimant that the Company received an incident report that on 19th July 2021 the Claimant had brought unknown visitors to the Company’s Samajaya site without prior information and approval and upon the Company’s preliminary investigation it was discovered that the Claimant “</w:t>
      </w:r>
      <w:r>
        <w:rPr>
          <w:rFonts w:ascii="arial" w:eastAsia="arial" w:hAnsi="arial" w:cs="arial"/>
          <w:b w:val="0"/>
          <w:i/>
          <w:strike w:val="0"/>
          <w:noProof w:val="0"/>
          <w:color w:val="000000"/>
          <w:position w:val="0"/>
          <w:sz w:val="24"/>
          <w:u w:val="none"/>
          <w:vertAlign w:val="baseline"/>
        </w:rPr>
        <w:t>could have committed the following acts of misconduct</w:t>
      </w:r>
      <w:r>
        <w:rPr>
          <w:rFonts w:ascii="arial" w:eastAsia="arial" w:hAnsi="arial" w:cs="arial"/>
          <w:b w:val="0"/>
          <w:i w:val="0"/>
          <w:strike w:val="0"/>
          <w:noProof w:val="0"/>
          <w:color w:val="000000"/>
          <w:position w:val="0"/>
          <w:sz w:val="24"/>
          <w:u w:val="none"/>
          <w:vertAlign w:val="baseline"/>
        </w:rPr>
        <w:t xml:space="preserve">” – </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none"/>
          <w:vertAlign w:val="baseline"/>
        </w:rPr>
        <w:t>That you failed to inform or seek prior approval from the site manager or your Line Manager about bringing visitors into the site</w:t>
      </w:r>
      <w:r>
        <w:rPr>
          <w:rFonts w:ascii="arial" w:eastAsia="arial" w:hAnsi="arial" w:cs="arial"/>
          <w:b w:val="0"/>
          <w:i w:val="0"/>
          <w:strike w:val="0"/>
          <w:noProof w:val="0"/>
          <w:color w:val="000000"/>
          <w:position w:val="0"/>
          <w:sz w:val="24"/>
          <w:u w:val="none"/>
          <w:vertAlign w:val="baseline"/>
        </w:rPr>
        <w:t>”;</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none"/>
          <w:vertAlign w:val="baseline"/>
        </w:rPr>
        <w:t>That you failed to register the registration plate number of the vehicle carrying you and the unknown visitors at the guardhouse before entering the site</w:t>
      </w:r>
      <w:r>
        <w:rPr>
          <w:rFonts w:ascii="arial" w:eastAsia="arial" w:hAnsi="arial" w:cs="arial"/>
          <w:b w:val="0"/>
          <w:i w:val="0"/>
          <w:strike w:val="0"/>
          <w:noProof w:val="0"/>
          <w:color w:val="000000"/>
          <w:position w:val="0"/>
          <w:sz w:val="24"/>
          <w:u w:val="none"/>
          <w:vertAlign w:val="baseline"/>
        </w:rPr>
        <w:t>”;</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none"/>
          <w:vertAlign w:val="baseline"/>
        </w:rPr>
        <w:t>That you failed to ensure the unknown visitors registered their personal details at the guardhouse before entering the site</w:t>
      </w:r>
      <w:r>
        <w:rPr>
          <w:rFonts w:ascii="arial" w:eastAsia="arial" w:hAnsi="arial" w:cs="arial"/>
          <w:b w:val="0"/>
          <w:i w:val="0"/>
          <w:strike w:val="0"/>
          <w:noProof w:val="0"/>
          <w:color w:val="000000"/>
          <w:position w:val="0"/>
          <w:sz w:val="24"/>
          <w:u w:val="none"/>
          <w:vertAlign w:val="baseline"/>
        </w:rPr>
        <w:t>”;</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none"/>
          <w:vertAlign w:val="baseline"/>
        </w:rPr>
        <w:t>That you failed to register yourself and ensure the unknown visitors registered into MySejahtera and checked body temperature before entering the site</w:t>
      </w:r>
      <w:r>
        <w:rPr>
          <w:rFonts w:ascii="arial" w:eastAsia="arial" w:hAnsi="arial" w:cs="arial"/>
          <w:b w:val="0"/>
          <w:i w:val="0"/>
          <w:strike w:val="0"/>
          <w:noProof w:val="0"/>
          <w:color w:val="000000"/>
          <w:position w:val="0"/>
          <w:sz w:val="24"/>
          <w:u w:val="none"/>
          <w:vertAlign w:val="baseline"/>
        </w:rPr>
        <w:t>”; and</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none"/>
          <w:vertAlign w:val="baseline"/>
        </w:rPr>
        <w:t>That despite you have applied for medical leave on the incident date, you have, however, accompanied visitors into the site without prior approval from your Line Manager</w:t>
      </w:r>
      <w:r>
        <w:rPr>
          <w:rFonts w:ascii="arial" w:eastAsia="arial" w:hAnsi="arial" w:cs="arial"/>
          <w:b w:val="0"/>
          <w:i w:val="0"/>
          <w:strike w:val="0"/>
          <w:noProof w:val="0"/>
          <w:color w:val="000000"/>
          <w:position w:val="0"/>
          <w:sz w:val="24"/>
          <w:u w:val="none"/>
          <w:vertAlign w:val="baseline"/>
        </w:rPr>
        <w:t>”;</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notwithstanding the fact that the Claimant did not acknowledge receipt of the 1st Show Cause letter, the Claimant had, </w:t>
      </w: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an email dated 29th July 2021, replied to the 1st Show Cause Letter as follows: </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alleged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misconduct “</w:t>
      </w:r>
      <w:r>
        <w:rPr>
          <w:rFonts w:ascii="arial" w:eastAsia="arial" w:hAnsi="arial" w:cs="arial"/>
          <w:b w:val="0"/>
          <w:i/>
          <w:strike w:val="0"/>
          <w:noProof w:val="0"/>
          <w:color w:val="000000"/>
          <w:position w:val="0"/>
          <w:sz w:val="24"/>
          <w:u w:val="none"/>
          <w:vertAlign w:val="baseline"/>
        </w:rPr>
        <w:t>That you failed to inform or seek prior approval from the site manager or your Line Manager about bringing visitors into the site</w:t>
      </w:r>
      <w:r>
        <w:rPr>
          <w:rFonts w:ascii="arial" w:eastAsia="arial" w:hAnsi="arial" w:cs="arial"/>
          <w:b w:val="0"/>
          <w:i w:val="0"/>
          <w:strike w:val="0"/>
          <w:noProof w:val="0"/>
          <w:color w:val="000000"/>
          <w:position w:val="0"/>
          <w:sz w:val="24"/>
          <w:u w:val="none"/>
          <w:vertAlign w:val="baseline"/>
        </w:rPr>
        <w:t xml:space="preserve">”, the Claimant explained,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whilst he agrees that he did not seek prior approval he has his reasons for doing so. In explaining the situation further, the Claimant made reference to a WhatsApp communication with the Indonesian Consulate’s Personal Assistant (“Consulate’s PA”), one Bapak Alex, and stated the following: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The matter was an urgent matter and I had to step in and take control of the situation. The Consulate was trying to get in touch and reach out to Linde EOX’s staff even ex-staffs of Linde EOX including Paul Yeo, Jimmy Tan and Wong Yew Ming to get an immediate action of which the Indonesian Consulate decided to the visit [sic] the office themselves to seek immediate and urgent attention on their predicament on the shortage of oxygen in Kalimantan as they have not got any action from Linde Malaysia.</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The following are my advice that they cannot come to our site without any prior approval. I also further advised them pending the proper site approvals we should have a teleconference instead. Alex also mentioned that they were fully vaccinated and I still insisted that we still need to have prior approval into entering Linde Site.</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As this was related to medical oxygen naturally I had called Tuan Mazli, Head of Healthcare Linde Malaysia immediately and Tuan Mazli had requested for me to assist on the matter as immediate attention was required.</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I was under the prescription of Sertraline medication after visiting the doctor on Saturday 17 July 2021. As the Consulate was already heading to the Site despite me stopping them as all I could do was to be immediately be at our Linde site to attend to the Consulate though after informing them that there was no one working in the office as all were working from home and I was on medical leave.</w:t>
      </w:r>
      <w:r>
        <w:rPr>
          <w:rFonts w:ascii="arial" w:eastAsia="arial" w:hAnsi="arial" w:cs="arial"/>
          <w:b w:val="0"/>
          <w:i w:val="0"/>
          <w:strike w:val="0"/>
          <w:noProof w:val="0"/>
          <w:color w:val="000000"/>
          <w:position w:val="0"/>
          <w:sz w:val="18"/>
          <w:u w:val="none"/>
          <w:vertAlign w:val="baseline"/>
        </w:rPr>
        <w:t>”;</w:t>
      </w:r>
      <w:r>
        <w:t>
</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alleged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misconduct “</w:t>
      </w:r>
      <w:r>
        <w:rPr>
          <w:rFonts w:ascii="arial" w:eastAsia="arial" w:hAnsi="arial" w:cs="arial"/>
          <w:b w:val="0"/>
          <w:i/>
          <w:strike w:val="0"/>
          <w:noProof w:val="0"/>
          <w:color w:val="000000"/>
          <w:position w:val="0"/>
          <w:sz w:val="24"/>
          <w:u w:val="none"/>
          <w:vertAlign w:val="baseline"/>
        </w:rPr>
        <w:t>That you failed to register the registration plate number of the vehicle carrying you and the unknown visitors at the guardhouse before entering the site</w:t>
      </w:r>
      <w:r>
        <w:rPr>
          <w:rFonts w:ascii="arial" w:eastAsia="arial" w:hAnsi="arial" w:cs="arial"/>
          <w:b w:val="0"/>
          <w:i w:val="0"/>
          <w:strike w:val="0"/>
          <w:noProof w:val="0"/>
          <w:color w:val="000000"/>
          <w:position w:val="0"/>
          <w:sz w:val="24"/>
          <w:u w:val="none"/>
          <w:vertAlign w:val="baseline"/>
        </w:rPr>
        <w:t xml:space="preserve"> “, the Claimant sought,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for the Company to look into the CCTV footage to check further on the details of this statement. In this regard, the Claimant further explained as follows: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I had a conversation with the guard on duty and had informed them that I will be sitting in the car with the Consulate, the Consulate’s PA and driver as this was the only thing I could do to please the Consulate for coming to the site for a visit and them hoping to meet someone from the Management to handle their matter urgently. Wee Wei Boon was just at the back of the Consulate’s car however did not approach us to check on who the visitors were. Hence, I believe that my registration to the guard house was sufficient.</w:t>
      </w:r>
      <w:r>
        <w:rPr>
          <w:rFonts w:ascii="arial" w:eastAsia="arial" w:hAnsi="arial" w:cs="arial"/>
          <w:b w:val="0"/>
          <w:i w:val="0"/>
          <w:strike w:val="0"/>
          <w:noProof w:val="0"/>
          <w:color w:val="000000"/>
          <w:position w:val="0"/>
          <w:sz w:val="18"/>
          <w:u w:val="none"/>
          <w:vertAlign w:val="baseline"/>
        </w:rPr>
        <w:t>”;</w:t>
      </w:r>
      <w:r>
        <w:t>
</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alleged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misconduct “</w:t>
      </w:r>
      <w:r>
        <w:rPr>
          <w:rFonts w:ascii="arial" w:eastAsia="arial" w:hAnsi="arial" w:cs="arial"/>
          <w:b w:val="0"/>
          <w:i/>
          <w:strike w:val="0"/>
          <w:noProof w:val="0"/>
          <w:color w:val="000000"/>
          <w:position w:val="0"/>
          <w:sz w:val="24"/>
          <w:u w:val="none"/>
          <w:vertAlign w:val="baseline"/>
        </w:rPr>
        <w:t>That you failed to ensure the unknown visitors registered their personal details at the guardhouse before entering the site</w:t>
      </w:r>
      <w:r>
        <w:rPr>
          <w:rFonts w:ascii="arial" w:eastAsia="arial" w:hAnsi="arial" w:cs="arial"/>
          <w:b w:val="0"/>
          <w:i w:val="0"/>
          <w:strike w:val="0"/>
          <w:noProof w:val="0"/>
          <w:color w:val="000000"/>
          <w:position w:val="0"/>
          <w:sz w:val="24"/>
          <w:u w:val="none"/>
          <w:vertAlign w:val="baseline"/>
        </w:rPr>
        <w:t xml:space="preserve">”, the Claimant stated as follows: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As explained I had a conversation with the guard informing that I will be sitting with them in the Consulate’s car and will also ensure that no one had left the car. I just brought them in the car for few minutes (please review CCTV footage on the actual time) to show them our new SJ4 Plant to comfort them and assure them that Linde is able to help them. I made sure that they were all doubled mask and also checked they were all fully vaccinated. If further details on their health status is required, I will be able to request for them to do so. I was the only close contact with these 3 visitors in the car.</w:t>
      </w:r>
      <w:r>
        <w:rPr>
          <w:rFonts w:ascii="arial" w:eastAsia="arial" w:hAnsi="arial" w:cs="arial"/>
          <w:b w:val="0"/>
          <w:i w:val="0"/>
          <w:strike w:val="0"/>
          <w:noProof w:val="0"/>
          <w:color w:val="000000"/>
          <w:position w:val="0"/>
          <w:sz w:val="18"/>
          <w:u w:val="none"/>
          <w:vertAlign w:val="baseline"/>
        </w:rPr>
        <w:t xml:space="preserve"> “;</w:t>
      </w:r>
      <w:r>
        <w:t>
</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alleged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misconduct “</w:t>
      </w:r>
      <w:r>
        <w:rPr>
          <w:rFonts w:ascii="arial" w:eastAsia="arial" w:hAnsi="arial" w:cs="arial"/>
          <w:b w:val="0"/>
          <w:i/>
          <w:strike w:val="0"/>
          <w:noProof w:val="0"/>
          <w:color w:val="000000"/>
          <w:position w:val="0"/>
          <w:sz w:val="24"/>
          <w:u w:val="none"/>
          <w:vertAlign w:val="baseline"/>
        </w:rPr>
        <w:t>That you failed to register yourself and ensure the unknown visitors registered into MySejahtera and checked body temperature before entering the site</w:t>
      </w:r>
      <w:r>
        <w:rPr>
          <w:rFonts w:ascii="arial" w:eastAsia="arial" w:hAnsi="arial" w:cs="arial"/>
          <w:b w:val="0"/>
          <w:i w:val="0"/>
          <w:strike w:val="0"/>
          <w:noProof w:val="0"/>
          <w:color w:val="000000"/>
          <w:position w:val="0"/>
          <w:sz w:val="24"/>
          <w:u w:val="none"/>
          <w:vertAlign w:val="baseline"/>
        </w:rPr>
        <w:t xml:space="preserve">”, the Claimant stated as follows: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This is a very strong statement and a very affirmative one saying I had not registered myself. As mentioned in the Show Cause letter that a report was made against me that I was at the site at 4.40pm. Please see attached my MySejahtera login for your review. I had done my part by registering the MySejahtera and taking my body temperature at 4.59PM on the 19 July 2021. Agreed that the visitors did not register and take their body temperature since they were seated in the car and was not leaving the car into the site. Please review the CCTV for details.</w:t>
      </w:r>
      <w:r>
        <w:rPr>
          <w:rFonts w:ascii="arial" w:eastAsia="arial" w:hAnsi="arial" w:cs="arial"/>
          <w:b w:val="0"/>
          <w:i w:val="0"/>
          <w:strike w:val="0"/>
          <w:noProof w:val="0"/>
          <w:color w:val="000000"/>
          <w:position w:val="0"/>
          <w:sz w:val="18"/>
          <w:u w:val="none"/>
          <w:vertAlign w:val="baseline"/>
        </w:rPr>
        <w:t>”; and</w:t>
      </w:r>
      <w:r>
        <w:t>
</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alleged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misconduct “</w:t>
      </w:r>
      <w:r>
        <w:rPr>
          <w:rFonts w:ascii="arial" w:eastAsia="arial" w:hAnsi="arial" w:cs="arial"/>
          <w:b w:val="0"/>
          <w:i/>
          <w:strike w:val="0"/>
          <w:noProof w:val="0"/>
          <w:color w:val="000000"/>
          <w:position w:val="0"/>
          <w:sz w:val="24"/>
          <w:u w:val="none"/>
          <w:vertAlign w:val="baseline"/>
        </w:rPr>
        <w:t>That despite you have applied for medical leave on the incident date, you have, however, accompanied visitors into the site without prior approval from your Line Manager</w:t>
      </w:r>
      <w:r>
        <w:rPr>
          <w:rFonts w:ascii="arial" w:eastAsia="arial" w:hAnsi="arial" w:cs="arial"/>
          <w:b w:val="0"/>
          <w:i w:val="0"/>
          <w:strike w:val="0"/>
          <w:noProof w:val="0"/>
          <w:color w:val="000000"/>
          <w:position w:val="0"/>
          <w:sz w:val="24"/>
          <w:u w:val="none"/>
          <w:vertAlign w:val="baseline"/>
        </w:rPr>
        <w:t xml:space="preserve">”, the Claimant stated as follows: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Again the situation was as such, urgent, life threatening, humanitarian and compassion and knowing that Linde could help I was taking all the initiative of ensuring that Linde could help. My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of quick thinking to be at the site was just to do damage control for Linde even though I was on MC and medication. My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of Passion to Excel and Customer Focus is now seen as a Major Misconduct. The visitor is no normal visitor they are the Consulate of Indonesia which carries protocol and the fact that they also trusted Linde was their No 1 Company to come to.</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Thereafter I was instructed by my Line Manager on the 23 July 2021 to stop handling this matter as seen in the email below.</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Please see my immediate action on the 23 July 2021 to my Line Manager instruction to stop all communications and exit the WhatsApp Group that was coordinating the Medical LOX to Kalimantan.</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In no way I was going against the instructions of my immediate Line Manager and Tuan Marzli as they are my bosses.</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At all times I had respected all my superiors and in no way this in insubordination.</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Please see the following attachment for your further reference to further illustrate the importance and urgency on the matter as it was a Government to Government arrangement.</w:t>
      </w:r>
    </w:p>
    <w:p>
      <w:pPr>
        <w:keepNext w:val="0"/>
        <w:numPr>
          <w:numId w:val="31"/>
        </w:numPr>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Letter by the Jawatankuasa Pengurusan Bencana Negeri Sarawak on the 23/07 to the Consulate of Indonesia that only registered and licensed companies to be engaged for the oxygen support to Kalimantan.</w:t>
      </w:r>
    </w:p>
    <w:p>
      <w:pPr>
        <w:keepNext w:val="0"/>
        <w:numPr>
          <w:numId w:val="32"/>
        </w:numPr>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Letter from Konsulat Indonesia with my name mentioned as facilitator.</w:t>
      </w:r>
      <w:r>
        <w:rPr>
          <w:rFonts w:ascii="arial" w:eastAsia="arial" w:hAnsi="arial" w:cs="arial"/>
          <w:b w:val="0"/>
          <w:i w:val="0"/>
          <w:strike w:val="0"/>
          <w:noProof w:val="0"/>
          <w:color w:val="000000"/>
          <w:position w:val="0"/>
          <w:sz w:val="18"/>
          <w:u w:val="none"/>
          <w:vertAlign w:val="baseline"/>
        </w:rPr>
        <w:t>”;</w:t>
      </w:r>
    </w:p>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then issued the Claimant with a 2nd Show Cause Letter dated 4th August 2021 (“2nd Show Cause Letter”) seeking further explanation on the alleged incident. Even though the Claimant did not acknowledge receipt of the 2nd Show Cause Letter, he did reply to the said letter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7th August 2021;</w:t>
      </w:r>
    </w:p>
    <w:p>
      <w:pPr>
        <w:keepNext w:val="0"/>
        <w:numPr>
          <w:numId w:val="2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4th August 2021, the Company informed the Claimant regarding the cessation of the Claimant’s Golf Club Subscription Fee Claim effective 1st August 2020 as the Claimant was no longer required to entertain Government officials as part of his revised duties;</w:t>
      </w:r>
    </w:p>
    <w:p>
      <w:pPr>
        <w:keepNext w:val="0"/>
        <w:numPr>
          <w:numId w:val="2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17th August 2021 (“Warning Letter”) the Company informed the Claimant that a warning has been issued against the Claimant as the Company were dissatisfied with the Claimant’s explanation regarding the alleged misconduct. The Claimant did not acknowledge receipt of the Warning Letter;</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then issued the Claimant with a 3rd Show Cause Letter dated 1st September 2021 (“3rd Show Cause Letter”) regarding the Claimants refusal to abide with the legitimate instructions of his superior regarding seeking the approval from the Head of Safety Health Environment and Quality (“SHEQ”) to permit an employee to return to work. As per the previous show cause letters, even though the Claimant did not acknowledge receipt of the 3rd Show Cause Letter, he did reply to the said letter vide email dated 5th September 2021 and provided his explanation. In the said email the Claimant also highlighted the procedures applicable for purposes of the Company’s incident reporting i.e. the recipient is to be made known of their offence; an interview of the person in relation to the incident; the Causal Tree and CAPA. The Claimant stated further that “</w:t>
      </w:r>
      <w:r>
        <w:rPr>
          <w:rFonts w:ascii="arial" w:eastAsia="arial" w:hAnsi="arial" w:cs="arial"/>
          <w:b w:val="0"/>
          <w:i/>
          <w:strike w:val="0"/>
          <w:noProof w:val="0"/>
          <w:color w:val="000000"/>
          <w:position w:val="0"/>
          <w:sz w:val="24"/>
          <w:u w:val="none"/>
          <w:vertAlign w:val="baseline"/>
        </w:rPr>
        <w:t>[t]hese procedures should be applicable to my alleged offence before issuing me a Show Cause. However none of the above is followed. Under CAPA it has to be determine [sic] whether did I willingly violate any policy and procedure? ...</w:t>
      </w:r>
      <w:r>
        <w:rPr>
          <w:rFonts w:ascii="arial" w:eastAsia="arial" w:hAnsi="arial" w:cs="arial"/>
          <w:b w:val="0"/>
          <w:i w:val="0"/>
          <w:strike w:val="0"/>
          <w:noProof w:val="0"/>
          <w:color w:val="000000"/>
          <w:position w:val="0"/>
          <w:sz w:val="24"/>
          <w:u w:val="none"/>
          <w:vertAlign w:val="baseline"/>
        </w:rPr>
        <w:t>”;</w:t>
      </w:r>
    </w:p>
    <w:p>
      <w:pPr>
        <w:keepNext w:val="0"/>
        <w:numPr>
          <w:numId w:val="2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17th August 2021* (“Caution Letter”), the Company replied that the Claimant’s explanation was unsatisfactory and further stated that “</w:t>
      </w:r>
      <w:r>
        <w:rPr>
          <w:rFonts w:ascii="arial" w:eastAsia="arial" w:hAnsi="arial" w:cs="arial"/>
          <w:b w:val="0"/>
          <w:i/>
          <w:strike w:val="0"/>
          <w:noProof w:val="0"/>
          <w:color w:val="000000"/>
          <w:position w:val="0"/>
          <w:sz w:val="24"/>
          <w:u w:val="none"/>
          <w:vertAlign w:val="baseline"/>
        </w:rPr>
        <w:t>…the management has decided to place you under the Performance Improvement Plan to assist you to manage your job performance to the expected level and as a motivation for you to excel in your work. …</w:t>
      </w:r>
      <w:r>
        <w:rPr>
          <w:rFonts w:ascii="arial" w:eastAsia="arial" w:hAnsi="arial" w:cs="arial"/>
          <w:b w:val="0"/>
          <w:i w:val="0"/>
          <w:strike w:val="0"/>
          <w:noProof w:val="0"/>
          <w:color w:val="000000"/>
          <w:position w:val="0"/>
          <w:sz w:val="24"/>
          <w:u w:val="none"/>
          <w:vertAlign w:val="baseline"/>
        </w:rPr>
        <w:t>”; and</w:t>
      </w:r>
      <w:r>
        <w:rPr>
          <w:rFonts w:ascii="arial" w:eastAsia="arial" w:hAnsi="arial" w:cs="arial"/>
          <w:b/>
          <w:i/>
          <w:strike w:val="0"/>
          <w:noProof w:val="0"/>
          <w:color w:val="000000"/>
          <w:position w:val="0"/>
          <w:sz w:val="24"/>
          <w:u w:val="single"/>
          <w:vertAlign w:val="baseline"/>
        </w:rPr>
        <w:t>* N B :</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In relation to the Caution Letter, the Claimant had correctly noted in his Statement of Case that the date of the letter appearing on the first page was incorrect i.e. the letter should have been dated 17th September 2021 and not 17th August 2021. The correct date appears on the second page of the said letter.</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subsequent thereto, COW-1 vide email dated 24th September 2021 reprimanded the Claimant for allegedly making inappropriate comments during a transport safety KPI meeting held on 23 rd September 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Claimant also contends as follows –</w:t>
      </w:r>
      <w:r>
        <w:t>
</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abovementioned events put tremendous pressure on the Claimant and made it untenable for the Claimant to continue his employment with the Company as the said events were a systematic and calculated effort by the Company to drive the Claimant from his employment. As the Claimant believed that he was left with no choice but to exit his employment with the Company, the Claimant vide letter dated 2nd October 2021 (“Resignation Letter”) tendered his resignation by giving three (3) months’ notice to that effect;</w:t>
      </w:r>
    </w:p>
    <w:p>
      <w:pPr>
        <w:keepNext w:val="0"/>
        <w:numPr>
          <w:numId w:val="33"/>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18th October 2021, the Company accepted the Claimant’s resignation and released the Claimant from employment with immediate effect;</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intentionally targeted/singled him out since February 2018 due to his grievances regarding his roles and salary;</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issued the back-to-back Show Cause Letters, Warning Letter and Caution Letter with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 xml:space="preserve"> and intent to drive the Claimant out of employment;</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has received numerous awards for his role in the Company, the latest being 3 SPOT Awards for his contribution for the Company in cross border delivery between Malaysia-Brunei during the COVID-19 Movement Control Order in 2021;</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prior to his dismissal, the Claimant had been faithfully serving the Company for almost 16 years without any breaks in his service;</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his dismissal violated his legitimate expectation to be employed in the Company;</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actions (as narrated in the abovementioned paragraphs), taken individually and/or cumulatively, fundamentally breached the Claimant’s Contract of Employment with the Company, particularly the implied term of mutual trust and confidence;</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breached its contractual, legal and statutory duties owed to the Claimant which made it unbearable for the Claimant to carry on working with the Company and eventually had driven the Claimant out of employment. The Claimant avers that the Company’s actions were calculated to remove the Claimant from employment, and that he was constructively dismissed by the Company; and</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he was forced to resign and will contend that his dismissal is without just or cause excuse and/or in breach of the principles of natural justice and/or an unfair labour practice and/or unlawful and/or a colourable exercise of the Company and/or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victimization and/or or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mala fide by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Claimant also made the following averments in his Rejoinder –</w:t>
      </w:r>
      <w:r>
        <w:t>
</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Contract of Employment as per the Company’s Letter was offered due to the Company’s acquisition by Linde Group and its transformation from Eastern Oxygen Industries Sdn Bhd to Linde EOX Sdn Bhd It does not affect the employment of the Claimant with the Company;</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Contract of Employment was only a redesignation whereby the Claimant would be redesignated and would be reporting to “Business Manager, Sarawak” instead of “Business Manager – Electronics and Bulk Gases Applications”. The Claimant further avers that his employment was permanent and continuous in nature;</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redesignation dated 1st November 2019 clearly states that the Claimant terms of employment other than his position and reporting supervisor shall remain unchanged. However, the Claimant’s petrol allowance of RM650.00 and car allowance of RM1,000.00 were revoked by the Company vide notification dated 18th August 2020. Furthermore, the Claimant’s Golf Subscription Fee Claim was revoked by the Company vide notification dated 4th August 2021;</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since 2013 until his dismissal, the Claimant was not given any promotion within the Company and only held the position and/or grade level of “Manager” within the last 12 years of his employment with the Company;</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although there were increments granted by the Company, the revocation of the Claimant’s benefits without cause and the continued failure of the Company to address the Claimant’s actual grievances amounted to breaches of the Claimant’s Contract of Employment;</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although the Company granted the Claimant with increments, the revocation of the employment benefits ultimately lowered the Claimant’s nett salary in the amount of RM19,200.00 per year which made him felt as if he was demoted and demotivated him in his employment with the Company;</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relation to the incident involving visitors from the Indonesian Consulate– </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Site Manager, one Wee Wei Boon, had allowed the Claimant to enter the premises as the Claimant was never stopped and/or cautioned and/or warned against entering the premises by the Company at the material time; and</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given access to the Site by the Company and that he had complied with the Company Site Safety Regulations and Guidelines at the material time;</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Golf Subscription Fee Claim was a term of his contract and a benefit which was unfairly revoked retrospectively without notice to drive the Claimant out of his employment. The Claimant further avers that this was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victimisation by the Company;</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since the Company had placed the Claimant under a performance improvement plan the Claimant puts the Company to strict proof that the Claimant’s performance was deteriorating and needed assistance in managing his job performance as at the material time the Claimant was given numerous additional responsibilities due to the Company’s retrenchment exercise done in 2020;</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written an email dated 17th August 2021 to one Chan Choon-Bim, who was the Head of SHEQ at the material time, to clarify whether he required any realignment and/or re-training before he could conduct any further safety roles due to his past alleged misconducts regarding safety;</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vide an email dated 25th September 2021, the Claimant replied to COW-1’s email dated 24th September 2021 wherein the Claimant gave his explanation for the alleged improper comments made during the transport safety KPI meeting held on 23rd September 2021 and apologized for his choice of words. The Claimant also reiterated that he did not mean any malice towards COW-1 or the Company;</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despite receiving three (3) Show Cause Letters, one Warning Letter and one Caution Letter, the Company did not conduct a domestic inquiry to provide the opportunity for the Claimant to present his case before a tribunal before deciding on the Claimant’s alleged misconducts. The Claimant avers that the disciplinary actions taken against him were not carried out in accordance with the Company’s Disciplinary &amp; Procedures Policy. The Company is put to strict proof that the Claimant had conducted himself in a manner contrary to the express and implied terms of the Claimant’s employment;</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actions violated the Claimant’s legitimate expectation of being employed in the Company and following thereto the Claimant was forced to resign and/or consider himself constructively dismissed by the Company. Furthermore, the Claimant did not acknowledge receipt of the Company’s Acceptance of Resignation Letter dated 18 th October 2021; and</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regardless of the fact that the SPOT awards presented to the Claimant were team-based awards, the Claimant had achieved well in his roles and responsibilities as a PGP Deliver Manager which resulted in the PGP Department team being given recognition with the said SPOT awards.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dated 10th May 2024 and Written Submissions in Reply dated 21st June 2024, submits the following –</w:t>
      </w:r>
      <w:r>
        <w:t>
</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law relating to constructive dismissal was established by the Supreme Court in the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[1988] 1 MLJ 92; [1988] 1 CLJ 45; [1988] 1 CLJ Rep 298. In relation thereto, the High Court in the case of </w:t>
      </w:r>
      <w:r>
        <w:rPr>
          <w:rFonts w:ascii="arial" w:eastAsia="arial" w:hAnsi="arial" w:cs="arial"/>
          <w:b w:val="0"/>
          <w:i/>
          <w:strike w:val="0"/>
          <w:noProof w:val="0"/>
          <w:color w:val="000000"/>
          <w:position w:val="0"/>
          <w:sz w:val="24"/>
          <w:u w:val="none"/>
          <w:vertAlign w:val="baseline"/>
        </w:rPr>
        <w:t xml:space="preserve">Bayer (M) Sdn Bhd v Anwar Abd Rahim  </w:t>
      </w:r>
      <w:r>
        <w:rPr>
          <w:rFonts w:ascii="arial" w:eastAsia="arial" w:hAnsi="arial" w:cs="arial"/>
          <w:b w:val="0"/>
          <w:i w:val="0"/>
          <w:strike w:val="0"/>
          <w:noProof w:val="0"/>
          <w:color w:val="000000"/>
          <w:position w:val="0"/>
          <w:sz w:val="24"/>
          <w:u w:val="none"/>
          <w:vertAlign w:val="baseline"/>
        </w:rPr>
        <w:t>[1995] MLJU 558; [1996] 2 CLJ 49 held that the test in a constructive dismissal case is the “contract test” and not the “reasonableness test”, which was upheld by the Court of Appeal and subsequently by the Federal Court;</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position of the law governing constructive dismissal had been elucidated by the Court of Appeal in the case of </w:t>
      </w:r>
      <w:r>
        <w:rPr>
          <w:rFonts w:ascii="arial" w:eastAsia="arial" w:hAnsi="arial" w:cs="arial"/>
          <w:b w:val="0"/>
          <w:i/>
          <w:strike w:val="0"/>
          <w:noProof w:val="0"/>
          <w:color w:val="000000"/>
          <w:position w:val="0"/>
          <w:sz w:val="24"/>
          <w:u w:val="none"/>
          <w:vertAlign w:val="baseline"/>
        </w:rPr>
        <w:t xml:space="preserve">Southern Investment Bank/Southern Bank &amp; Anor v Yap Fat &amp; Anor  </w:t>
      </w:r>
      <w:r>
        <w:rPr>
          <w:rFonts w:ascii="arial" w:eastAsia="arial" w:hAnsi="arial" w:cs="arial"/>
          <w:b w:val="0"/>
          <w:i w:val="0"/>
          <w:strike w:val="0"/>
          <w:noProof w:val="0"/>
          <w:color w:val="000000"/>
          <w:position w:val="0"/>
          <w:sz w:val="24"/>
          <w:u w:val="none"/>
          <w:vertAlign w:val="baseline"/>
        </w:rPr>
        <w:t xml:space="preserve"> [2017] 3 MLJ 327; [2017] 3 ILR 433. Furthermore, Abdul Malik JCA in the High Court case of </w:t>
      </w:r>
      <w:r>
        <w:rPr>
          <w:rFonts w:ascii="arial" w:eastAsia="arial" w:hAnsi="arial" w:cs="arial"/>
          <w:b w:val="0"/>
          <w:i/>
          <w:strike w:val="0"/>
          <w:noProof w:val="0"/>
          <w:color w:val="000000"/>
          <w:position w:val="0"/>
          <w:sz w:val="24"/>
          <w:u w:val="none"/>
          <w:vertAlign w:val="baseline"/>
        </w:rPr>
        <w:t xml:space="preserve">Alan Thomas Bohlsen v Draftworldwide Sdn Bhd  </w:t>
      </w:r>
      <w:r>
        <w:rPr>
          <w:rFonts w:ascii="arial" w:eastAsia="arial" w:hAnsi="arial" w:cs="arial"/>
          <w:b w:val="0"/>
          <w:i w:val="0"/>
          <w:strike w:val="0"/>
          <w:noProof w:val="0"/>
          <w:color w:val="000000"/>
          <w:position w:val="0"/>
          <w:sz w:val="24"/>
          <w:u w:val="none"/>
          <w:vertAlign w:val="baseline"/>
        </w:rPr>
        <w:t xml:space="preserve">[2009] 8 MLJ 461; [2009] 1 LNS 550 affirmed the law relating to constructive dismissal as summarised in the English Court of Appeal in </w:t>
      </w:r>
      <w:r>
        <w:rPr>
          <w:rFonts w:ascii="arial" w:eastAsia="arial" w:hAnsi="arial" w:cs="arial"/>
          <w:b w:val="0"/>
          <w:i/>
          <w:strike w:val="0"/>
          <w:noProof w:val="0"/>
          <w:color w:val="000000"/>
          <w:position w:val="0"/>
          <w:sz w:val="24"/>
          <w:u w:val="none"/>
          <w:vertAlign w:val="baseline"/>
        </w:rPr>
        <w:t xml:space="preserve">Omilaju v Waltham Forest London Borough Council  </w:t>
      </w:r>
      <w:r>
        <w:rPr>
          <w:rFonts w:ascii="arial" w:eastAsia="arial" w:hAnsi="arial" w:cs="arial"/>
          <w:b w:val="0"/>
          <w:i w:val="0"/>
          <w:strike w:val="0"/>
          <w:noProof w:val="0"/>
          <w:color w:val="000000"/>
          <w:position w:val="0"/>
          <w:sz w:val="24"/>
          <w:u w:val="none"/>
          <w:vertAlign w:val="baseline"/>
        </w:rPr>
        <w:t xml:space="preserve">[2005] 1 ALL ER 75 and the ‘last straw’ principle laid down in </w:t>
      </w:r>
      <w:r>
        <w:rPr>
          <w:rFonts w:ascii="arial" w:eastAsia="arial" w:hAnsi="arial" w:cs="arial"/>
          <w:b w:val="0"/>
          <w:i/>
          <w:strike w:val="0"/>
          <w:noProof w:val="0"/>
          <w:color w:val="000000"/>
          <w:position w:val="0"/>
          <w:sz w:val="24"/>
          <w:u w:val="none"/>
          <w:vertAlign w:val="baseline"/>
        </w:rPr>
        <w:t xml:space="preserve">Lewis v Motorworld Garages Ltd  </w:t>
      </w:r>
      <w:r>
        <w:rPr>
          <w:rFonts w:ascii="arial" w:eastAsia="arial" w:hAnsi="arial" w:cs="arial"/>
          <w:b w:val="0"/>
          <w:i w:val="0"/>
          <w:strike w:val="0"/>
          <w:noProof w:val="0"/>
          <w:color w:val="000000"/>
          <w:position w:val="0"/>
          <w:sz w:val="24"/>
          <w:u w:val="none"/>
          <w:vertAlign w:val="baseline"/>
        </w:rPr>
        <w:t>[1986] ICR 157; [1985] IRLR 465;</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Federal Court case of </w:t>
      </w:r>
      <w:r>
        <w:rPr>
          <w:rFonts w:ascii="arial" w:eastAsia="arial" w:hAnsi="arial" w:cs="arial"/>
          <w:b w:val="0"/>
          <w:i/>
          <w:strike w:val="0"/>
          <w:noProof w:val="0"/>
          <w:color w:val="000000"/>
          <w:position w:val="0"/>
          <w:sz w:val="24"/>
          <w:u w:val="none"/>
          <w:vertAlign w:val="baseline"/>
        </w:rPr>
        <w:t xml:space="preserve">Tan Lay Peng (representative of the estate of Tan Leong Huat) v RHB Bank Bhd &amp; Anor  </w:t>
      </w:r>
      <w:r>
        <w:rPr>
          <w:rFonts w:ascii="arial" w:eastAsia="arial" w:hAnsi="arial" w:cs="arial"/>
          <w:b w:val="0"/>
          <w:i w:val="0"/>
          <w:strike w:val="0"/>
          <w:noProof w:val="0"/>
          <w:color w:val="000000"/>
          <w:position w:val="0"/>
          <w:sz w:val="24"/>
          <w:u w:val="none"/>
          <w:vertAlign w:val="baseline"/>
        </w:rPr>
        <w:t>[2024] 3 MLJ 506; [2024] 6 CLJ 315, a question of law was posed, namely “</w:t>
      </w:r>
      <w:r>
        <w:rPr>
          <w:rFonts w:ascii="arial" w:eastAsia="arial" w:hAnsi="arial" w:cs="arial"/>
          <w:b w:val="0"/>
          <w:i/>
          <w:strike w:val="0"/>
          <w:noProof w:val="0"/>
          <w:color w:val="000000"/>
          <w:position w:val="0"/>
          <w:sz w:val="24"/>
          <w:u w:val="none"/>
          <w:vertAlign w:val="baseline"/>
        </w:rPr>
        <w:t>Is there a difference in the contract test or reasonable test in light of major developments in industrial jurisprudence?</w:t>
      </w:r>
      <w:r>
        <w:rPr>
          <w:rFonts w:ascii="arial" w:eastAsia="arial" w:hAnsi="arial" w:cs="arial"/>
          <w:b w:val="0"/>
          <w:i w:val="0"/>
          <w:strike w:val="0"/>
          <w:noProof w:val="0"/>
          <w:color w:val="000000"/>
          <w:position w:val="0"/>
          <w:sz w:val="24"/>
          <w:u w:val="none"/>
          <w:vertAlign w:val="baseline"/>
        </w:rPr>
        <w:t xml:space="preserve"> “. Nordin Hassan, FCJ In delivering the judgment of the court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there is a difference between the contract test and the reasonableness test. The appropriate test for determining a constructive dismissal case is the contract test. The reasonableness of the employer’s conduct is a factor that may be taken into consideration in determining whether there is any fundamental breach of the contract of employment or an intention no longer to be bound by the contract</w:t>
      </w:r>
      <w:r>
        <w:rPr>
          <w:rFonts w:ascii="arial" w:eastAsia="arial" w:hAnsi="arial" w:cs="arial"/>
          <w:b w:val="0"/>
          <w:i w:val="0"/>
          <w:strike w:val="0"/>
          <w:noProof w:val="0"/>
          <w:color w:val="000000"/>
          <w:position w:val="0"/>
          <w:sz w:val="24"/>
          <w:u w:val="none"/>
          <w:vertAlign w:val="baseline"/>
        </w:rPr>
        <w:t>”;</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applying the abovementioned cases, the series of events as narrated in the Resignation Letter, issued to the Claimant taken individually and/or cumulatively, fundamentally breached the Claimant’s Contract of Employment with the Company, particularly the implied term of mutual trust and confidence. The series of events were the Claimant’s unresolved grievances since 2017, the issuance of the 1st Show Cause Letter and 2nd Show Cause Letter which resulted in the Warning Letter, the cessation of the Claimant’s monthly Golf Club Subscription Fee eligibility, the issuance of the 3rd Show Cause Letter resulting in the Caution Letter, the reprimand email dated 24th September 2021 and the placement of the Claimant under a performance improvement plan; and</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decided by the Court of Appeal in the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 xml:space="preserve"> [2023] MLJU 1865; [2023] 4 ILR 1, a constructive dismissal claim can be premised not only on breaches of the fundamental term that is expressly provided for in the contract of employment but also on the breach of mutual trust and confidence which is an implied obligation in employer-employee contracts. Following thereto, the Claimant submits that the Company had, through the said series of action, frustrated and/or intimidated and/or suppressed and/or victimised the Claimant in his employment – that amount to a clear breach of the implied obligation of mutual trust and confidence on the part of the Company, thereby entitling the Claimant to claim constructive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As regards the Claimant’s grievances, i.e. no career progression for the past five (5) years, being put in cold storage, not given any plans for career development and only given minimal salary increment year on year,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dated 10th May 2024 and Written Submissions in Reply dated 21st June 2024, further submits that –</w:t>
      </w:r>
      <w:r>
        <w:t>
</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since COW-1 and COW-2 admitted that they had no personal knowledge as such, thus the Company is not in the position to dispute relating to the same as one Johnny Goh, the Claimant’s Head of Department at that material time, had replied to the Claimant vide email dated 12th February 2018 and suggested that the Claimant speak to his immediate superior / Line Manager without directly addressing or providing a solution to the grievances raised by the Claimant;</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COW-2’s assumption that there was no further grievance from the Claimant, simply because there was no further email from the Claimant after Johnny Goh’s email could not hold water as COW-2 did not deny during cross-examination that there was a possibility that the Claimant could have spoken to Johnny Goh or one Kenneth Par (COW-2’s then Head of Department) after Johnny Goh’s email, without COW-2’s involvement;</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re-designation did not resolve the said grievances as it was a lateral movement, it did not come with a salary increment and the Claimant was not issued with an official letter but merely a job description;</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given an additional job scope to learn and drive the PGP deliver on safety and optimization. For this purpose, COW-1 confirmed during cross-examination that the Claimant was promised that once he fully understood and took up the role, he would be given an additional salary adjustment in April 2020. However, as confirmed by COW-1, no such additional salary adjustment was given to the Claimant even though the Claimant had fully taken up the PGP Deliver Manager role effective 1st November 2019;</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relation to the Company’s removal of the Claimant’s monthly car allowance of RM1,000.00 and petrol card allowance of RM650.00 effective 1st August 2020, the Claimant submits that – </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removal was in essence a salary cut as it was established that prior to 1st August 2020 the Claimant’s total monthly salary including the said allowances was RM8,006.10 per month (i.e. basic salary was RM6,356.10) and after 1st August 2020 even though the Claimant’s basic salary was increased by about 6% i.e. to RM6,737.50 there had been a decreased in the Claimant’s total monthly salary (as the allowances had been withdrawn);</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been constantly raising his grievances regarding the removal of the said allowances up to the time of his constructive dismissal;</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evidence was shown that the Company had obtained the Claimant’s consent prior to the said removal and COW-1 confirmed that by virtue of the Claimant’s email dated 18th August 2020 the Claimant was clearly not happy and was complaining relating to the same;</w:t>
      </w:r>
    </w:p>
    <w:p>
      <w:pPr>
        <w:keepNext w:val="0"/>
        <w:numPr>
          <w:numId w:val="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reasons given by the Company for the removal of the allowances, i.e. the Claimant was no longer performing sales or marketing tasks after he transitioned into the role of the PGP Deliver Manager - East Malaysia, has not been proven at the hearing and the said reason was not stated in the Company’s letter dated 13th August 2020;</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confirmed by COW-1, the Claimant was still performing the same functions, duties and responsibilities as per his previous role;</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confirmed that in the Claimant’s previous role, the Claimant was not required to do marketing but still received the said allowances and further confirmed during cross-examination the fixed monetary allowances and non-monetary benefits were important for the employees of the Company;</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failed to address the concerns and grievances put forward by the Claimant in his email dated 18 th August 2020;</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removal was in breach of the Claimant’s Contract of Employment, either impliedly or expressly, as the Company’s letter dated 1st November 2019 clearly stated, except for the re- designation and reporting, the Claimant’s other terms of employment remained unchanged;</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also confirmed during cross-examination that the Claimant via email dated 6th February 2021 had again raised the issue of the removal of the two allowances, which grievance persisted up to the time of his resignation / constructive dismissal;</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never pleaded matters raised by COW-1 in her evidence in chief i.e. only sales staff are entitled to the two allowances; the Company had given the Claimant an upward increment of his redesignation; same benefits had also been removed from another employee of the Company as it was a policy applied across the board; other employees did not receive any adjustment unlike the Claimant;</w:t>
      </w:r>
    </w:p>
    <w:p>
      <w:pPr>
        <w:keepNext w:val="0"/>
        <w:numPr>
          <w:numId w:val="4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also never pleaded that the two allowances were subjected to the type of duties performed by the Claimant which is consistent with Clause 15 of the Claimant’s Contract of Employment dated 1st January 2013;</w:t>
      </w:r>
    </w:p>
    <w:p>
      <w:pPr>
        <w:keepNext w:val="0"/>
        <w:numPr>
          <w:numId w:val="5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Contract of Employment contract relied on by the Company dated 1st January 2013 is not the contract applicable and binding between the Claimant and the Company at the material time of the removal of the two allowances in view of the fact that as admitted by COW-1, the said Contract had been superseded by the subsequent Contract of Employment dated 1st October 2015;</w:t>
      </w:r>
    </w:p>
    <w:p>
      <w:pPr>
        <w:keepNext w:val="0"/>
        <w:numPr>
          <w:numId w:val="5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confirmed by COW-1 the Contract of Employment dated 1st October 2015 was the contract applicable at the material time. The said Contract does not contain any provision as to the car policy. It is further noted that under Clause 4 of the said Contract, it is provided that “</w:t>
      </w:r>
      <w:r>
        <w:rPr>
          <w:rFonts w:ascii="arial" w:eastAsia="arial" w:hAnsi="arial" w:cs="arial"/>
          <w:b w:val="0"/>
          <w:i/>
          <w:strike w:val="0"/>
          <w:noProof w:val="0"/>
          <w:color w:val="000000"/>
          <w:position w:val="0"/>
          <w:sz w:val="24"/>
          <w:u w:val="none"/>
          <w:vertAlign w:val="baseline"/>
        </w:rPr>
        <w:t>An abridged version of the benefits as per Appendix A is enclosed herewith for your retention and compliance</w:t>
      </w:r>
      <w:r>
        <w:rPr>
          <w:rFonts w:ascii="arial" w:eastAsia="arial" w:hAnsi="arial" w:cs="arial"/>
          <w:b w:val="0"/>
          <w:i w:val="0"/>
          <w:strike w:val="0"/>
          <w:noProof w:val="0"/>
          <w:color w:val="000000"/>
          <w:position w:val="0"/>
          <w:sz w:val="24"/>
          <w:u w:val="none"/>
          <w:vertAlign w:val="baseline"/>
        </w:rPr>
        <w:t xml:space="preserve"> “. However, the said Appendix A (which, the Claimant submits, might contain the provisions as to the Claimant’s entitlement to the two allowances) was not tendered before the Court by the Company notwithstanding the fact that the counsel for the Claimant had requested for the Company to produce the said Appendix A; and</w:t>
      </w:r>
    </w:p>
    <w:p>
      <w:pPr>
        <w:keepNext w:val="0"/>
        <w:numPr>
          <w:numId w:val="5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removal of the said allowance was only done after more than nine months the Claimant had transitioned into the role of the PGP Deliver Manager;</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cessation of the golf club subscription, it is questionable as to why the Claimant was only informed about the cessation one year after the removal of the two allowances;</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testified in his evidence in chief that after his meeting with one Laura Yee (the new Head of Human Resource) which was held on 10th March 2021, he had recorded the matters discussed during the said meeting and had emailed relating to the same to Laura Yee on 11th March 2021. The said email was re-sent on 6th April 2021 and the Claimant added further comments to include the latest status / outcome of the matters discussed i.e. the outcome of all matters discussed was updated as “negative”;</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April 2021, the Claimant had to take leave for five days as he felt stressed out and miserable due to the fact that the Company had failed to address his grievances as evidenced by his remarks for purposes of his leave application in the eLeave System which clearly stated “just to relax and clam down my unhappiness”;</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his grievances with the Company were aggravated, when the PGP Distribution Optimization Manager (one Chaw Leong Yong) left the Company sometime in June/ July 2021 and the Claimant was asked to take on part of his responsibilities without any extra compensation. Following thereto, the Claimant submits that – </w:t>
      </w:r>
    </w:p>
    <w:p>
      <w:pPr>
        <w:keepNext w:val="0"/>
        <w:numPr>
          <w:numId w:val="5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his email dated 15th July 2021 to the Head of PGP, one Yap Haw Lin, the Claimant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[i]n April 2021, I am paid at RM 5800. Currently after a slight increment of what was removed from my salary now it is at RM 6300. It was RM 7200 previously. This is absolutely ridiculous with all the additional responsibility from Mr. Yong</w:t>
      </w:r>
      <w:r>
        <w:rPr>
          <w:rFonts w:ascii="arial" w:eastAsia="arial" w:hAnsi="arial" w:cs="arial"/>
          <w:b w:val="0"/>
          <w:i w:val="0"/>
          <w:strike w:val="0"/>
          <w:noProof w:val="0"/>
          <w:color w:val="000000"/>
          <w:position w:val="0"/>
          <w:sz w:val="24"/>
          <w:u w:val="none"/>
          <w:vertAlign w:val="baseline"/>
        </w:rPr>
        <w:t>”;</w:t>
      </w:r>
    </w:p>
    <w:p>
      <w:pPr>
        <w:keepNext w:val="0"/>
        <w:numPr>
          <w:numId w:val="5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this added responsibility was not disputed by the Head of PGP when he replied to the Claimant’s email vide email dated 16th July 2021;</w:t>
      </w:r>
    </w:p>
    <w:p>
      <w:pPr>
        <w:keepNext w:val="0"/>
        <w:numPr>
          <w:numId w:val="5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emails communication between the Claimant and the Head of PGP shows the Company’s nonchalant attitude in addressing the grievances raised by the Claimant as instead of addressing the said concerns the Head of PGP had merely asked the Claimant to refer to COW-1;</w:t>
      </w:r>
    </w:p>
    <w:p>
      <w:pPr>
        <w:keepNext w:val="0"/>
        <w:numPr>
          <w:numId w:val="5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contention that the Claimant did not even testify as regards the additional responsibility is incorrect as the Claimant had testified in CLWS1 that “</w:t>
      </w:r>
      <w:r>
        <w:rPr>
          <w:rFonts w:ascii="arial" w:eastAsia="arial" w:hAnsi="arial" w:cs="arial"/>
          <w:b w:val="0"/>
          <w:i/>
          <w:strike w:val="0"/>
          <w:noProof w:val="0"/>
          <w:color w:val="000000"/>
          <w:position w:val="0"/>
          <w:sz w:val="24"/>
          <w:u w:val="none"/>
          <w:vertAlign w:val="baseline"/>
        </w:rPr>
        <w:t>[m]y grievance was re-activated and got worse when my overall take home pay was reduced, when the Company withdrew my monthly car allowance of RM1,000.00 and petrol card value of RM 650.00 per month effective 01.08.2020 without prior communication with me (please refer to the Company’s letter dated 13.08.2020 at page 34 of COB-1). Even though the Company revised my annual salary to RM 80,850.00 (i.e. RM6,737.50 per month from RM 6,356.10 per month), but it was way less than what I used to get before the Company withdrew my allowances, i.e. RM8,006.10. Via my email dated 18.08.2020, I had raised grievance over the removal of allowances, as it was a salary cut to me (please refer to page 10 of CLB-1). My grievance was not addressed by the Company. This issue had become worse when sometime in June 2021, when the PGP Distribution Optimization Manager (Mr. Chaw Leong Yong) left the Company, I was asked to take on part of his responsibilities and performed it on my own without any extra compensation, for example reporting contract renewals and purchase of new trucks (please refer to my email dated 15.07.2021, at page 4 of the Claimant’s Bundle of Documents (Volume 2) – hereinafter referred to as “CLB-2”)</w:t>
      </w:r>
      <w:r>
        <w:rPr>
          <w:rFonts w:ascii="arial" w:eastAsia="arial" w:hAnsi="arial" w:cs="arial"/>
          <w:b w:val="0"/>
          <w:i w:val="0"/>
          <w:strike w:val="0"/>
          <w:noProof w:val="0"/>
          <w:color w:val="000000"/>
          <w:position w:val="0"/>
          <w:sz w:val="24"/>
          <w:u w:val="none"/>
          <w:vertAlign w:val="baseline"/>
        </w:rPr>
        <w:t>” which remained unchallenged by the Company; and</w:t>
      </w:r>
    </w:p>
    <w:p>
      <w:pPr>
        <w:keepNext w:val="0"/>
        <w:numPr>
          <w:numId w:val="5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this incident of the Claimant being given additional responsibilities to perform without additional pay, should not be viewed in isolation, but must be considered together with the fact that the Company had in August 2020 deducted 16% of the Claimant’s take home salary. Yet in 2021, the Claimant was again not remunerated / compensated for the additional responsibilities that he had to perform;</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during cross-examination admitted that the Claimant had once again raised his grievances during a call with COW-1 and COW-2 on 27th July 2021. Without providing corroborated evidence, COW-1 testified further that the grievances had purportedly been resolved by the Human Resource giving a job grade letter to the Claimant;</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relation to the Warning Letter and Caution Letter – </w:t>
      </w:r>
    </w:p>
    <w:p>
      <w:pPr>
        <w:keepNext w:val="0"/>
        <w:numPr>
          <w:numId w:val="5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issuance of the said letters in a short span of one month were unwarranted and they were part of the Company’s action plans to force the Claimant out of employment – simply because the Claimant had been raising grievances with the Company which the Company was unwilling to resolve;</w:t>
      </w:r>
    </w:p>
    <w:p>
      <w:pPr>
        <w:keepNext w:val="0"/>
        <w:numPr>
          <w:numId w:val="5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this Court should evaluate the impact of the Warning Letter and Caution Letter to the Claimant notwithstanding the Company’s contention that the Warning Letter and Caution Letter were not a form of punishment as it did not result in any demotion, salary reduction and/or benefits reduction as the Claimant had testified he felt intimidated and miserable as he had served the Company for 15 years;</w:t>
      </w:r>
    </w:p>
    <w:p>
      <w:pPr>
        <w:keepNext w:val="0"/>
        <w:numPr>
          <w:numId w:val="6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action in issuing the said letters were clearly unreasonable as per the Federal Court case of </w:t>
      </w:r>
      <w:r>
        <w:rPr>
          <w:rFonts w:ascii="arial" w:eastAsia="arial" w:hAnsi="arial" w:cs="arial"/>
          <w:b w:val="0"/>
          <w:i/>
          <w:strike w:val="0"/>
          <w:noProof w:val="0"/>
          <w:color w:val="000000"/>
          <w:position w:val="0"/>
          <w:sz w:val="24"/>
          <w:u w:val="none"/>
          <w:vertAlign w:val="baseline"/>
        </w:rPr>
        <w:t xml:space="preserve">Tan Lay Peng (representative of the estate of Tan Leong Huat) v RHB Bank Bhd &amp; Anor  </w:t>
      </w:r>
      <w:r>
        <w:rPr>
          <w:rFonts w:ascii="arial" w:eastAsia="arial" w:hAnsi="arial" w:cs="arial"/>
          <w:b w:val="0"/>
          <w:i w:val="0"/>
          <w:strike w:val="0"/>
          <w:noProof w:val="0"/>
          <w:color w:val="000000"/>
          <w:position w:val="0"/>
          <w:sz w:val="24"/>
          <w:u w:val="none"/>
          <w:vertAlign w:val="baseline"/>
        </w:rPr>
        <w:t xml:space="preserve">[2024] 3 MLJ 506; [2024] 6 CLJ 315 and had destroyed or seriously damaged the relationship of trust and confidence between the Claimant and the Company as per the Court of Appeal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 xml:space="preserve"> [2023] MLJU 1865; [2023] 4 ILR 1;</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contention that the letter dated 4th August 2021 was merely a follow-up on the 1st Show Cause Letter is implausible in view of the fact that – </w:t>
      </w:r>
    </w:p>
    <w:p>
      <w:pPr>
        <w:keepNext w:val="0"/>
        <w:numPr>
          <w:numId w:val="6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COW-1’s evidence in chief, COW-1 testified that the Claimant was issued with the “Follow Up Show Cause Letter” dated 4th August 2021 with revised allegations;</w:t>
      </w:r>
    </w:p>
    <w:p>
      <w:pPr>
        <w:keepNext w:val="0"/>
        <w:numPr>
          <w:numId w:val="6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contradicted herself in cross-examination, when she testified that both the letters dated 28 th July 2021 and 4th August 2021 contained the same allegations;</w:t>
      </w:r>
    </w:p>
    <w:p>
      <w:pPr>
        <w:keepNext w:val="0"/>
        <w:numPr>
          <w:numId w:val="6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was unable to give a sensible explanation during cross- examination the need to issue another letter dated 4th August 2021 if both letters contained the same allegations as the Claimant had already given a detailed explanation in his letter dated 29 th July 2021;</w:t>
      </w:r>
    </w:p>
    <w:p>
      <w:pPr>
        <w:keepNext w:val="0"/>
        <w:numPr>
          <w:numId w:val="6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issuance of the dated 4th August 2021 was actually to intimidate, frustrate and confuse the Claimant in view of the fact that if indeed the Company merely wanted the Claimant to give further explanation, there was no need for the Company to issue the letter dated 4th August 2021 entitled “Show Cause”;</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relation to the allegation of misconduct as contained in the 1st Show Cause Letter – </w:t>
      </w:r>
    </w:p>
    <w:p>
      <w:pPr>
        <w:keepNext w:val="0"/>
        <w:numPr>
          <w:numId w:val="6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did not produce an iota of evidence before this Court to prove that the Claimant was indeed guilty of the said misconduct;</w:t>
      </w:r>
    </w:p>
    <w:p>
      <w:pPr>
        <w:keepNext w:val="0"/>
        <w:numPr>
          <w:numId w:val="6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no evidence to show that the Company had conducted investigation on the said incident which transpired on 19 th July 2021. Neither is there any documentary evidence to show that the Company had investigated upon or taken into consideration the matters raised in the Claimant’s reply to the 1st Show Cause Letter and the Claimant’s reply to the 2nd Show Cause Letter before issuing the Warning Letter to the Claimant. In fact, COW-1 admitted during cross-examination that after receiving the Claimant’s reply, apart from checking with the guard as to whether the Claimant had scanned My Sejahtera before entering the site, COW-1 and/or the Company did not do any further investigation;</w:t>
      </w:r>
    </w:p>
    <w:p>
      <w:pPr>
        <w:keepNext w:val="0"/>
        <w:numPr>
          <w:numId w:val="6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incident report that the Company allegedly received on 19th July 2021 is not produced before the Court. COW-1 testified that the incident report was made by the Site Manager, one Wee Wei Boon, verbally to COW-1 herself. However, COW-2’s evidence contradicted COW-1’s testimony whereby COW-2 testified that there is an incident report and it was made by COW-1;</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confirmed during cross-examination that in her purported investigation of the said incident, she did not speak to one Marzli Muhammad who was the Head of Healthcare of Linde Malaysia (even though Claimant had testified it was Marzli Muhammad’s instruction for him to assist with the Consulate’s request) or the guard who was on duty at the guard house to find out what actually transpired at the site on 19th July 2021. Furthermore, despite claiming to have spoken to one Wee Wei Boon, no such evidence is produced before the Court to substantiate the same;</w:t>
      </w:r>
    </w:p>
    <w:p>
      <w:pPr>
        <w:keepNext w:val="0"/>
        <w:numPr>
          <w:numId w:val="6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despite claiming to have conducted investigation into the said incident, COW-1 appears to have selective memory when she cannot recall certain important facts, such as whether she spoke to the Claimant to seek for his explanation on the said incident prior to issuing him the show cause letter. In addition, COW-1 also gave contradictory evidence as to whether it was urgent for the Claimant to bring the Consulate to visit the site due to oxygen shortage in Kalimantan;</w:t>
      </w:r>
    </w:p>
    <w:p>
      <w:pPr>
        <w:keepNext w:val="0"/>
        <w:numPr>
          <w:numId w:val="7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was further alleged that the said misconduct constituted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safety violation towards the Company’s legitimate directives. However, the “legitimate directives” is not produced before the Court. Neither is there evidence to show that the Claimant was required to inform COW-1 or get her approval before he could bring visitors into the site;</w:t>
      </w:r>
    </w:p>
    <w:p>
      <w:pPr>
        <w:keepNext w:val="0"/>
        <w:numPr>
          <w:numId w:val="7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stated during evidence in chief that the Claimant had also allegedly failed to make sure that all visitors produced their Rapid Antigen test results according to the safety protocol in place. Nonetheless, COW-1 admitted during cross-examination that this purported safety requirement is not stated in both the Show Cause Letters and the Warning Letter. Furthermore, it was also not pleaded by the Company;</w:t>
      </w:r>
    </w:p>
    <w:p>
      <w:pPr>
        <w:keepNext w:val="0"/>
        <w:numPr>
          <w:numId w:val="7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confirmed during cross-examination that security matters were directly under the SHEQ Department and the person who was in charge of the SHEQ in Sarawak was one Christopher Yeoh (who is COW-1’s husband). In addition, the security guards at the sites of Sarawak reported to Christopher Yeoh indirectly. The Claimant submits that given COW-1’s relationship with Christopher Yeoh, and the fact that the subject matter of the said incident was under the charge of Christopher Yeoh, there arose a conflict of interest when COW-1 was the one who allegedly investigated the said incident and thereafter issued the Warning Letter to the Claimant; and</w:t>
      </w:r>
    </w:p>
    <w:p>
      <w:pPr>
        <w:keepNext w:val="0"/>
        <w:numPr>
          <w:numId w:val="7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COW-1 during cross-examination agreed that the allegation of misconduct was concerning safety violations which was in breach of SHEQ policy. In this regard, as per the Company’s Discipline and Disciplinary Procedures a domestic inquiry must be held. The fact that the Company failed to conduct a domestic inquiry relating to the same prior to issuing the Claimant the Warning Letter, was clearly unfair and demonstrated the Company’s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 xml:space="preserve"> intention towards the Claimant;</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relation to the Claimant’s reply to the 1st Show Cause Letter, the Claimant had explained that – </w:t>
      </w:r>
    </w:p>
    <w:p>
      <w:pPr>
        <w:keepNext w:val="0"/>
        <w:numPr>
          <w:numId w:val="7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was one Marzli Muhammad’s instruction for him to assist with the Consulate’s request for oxygen, due to it being an urgent matter which required immediate attention on the shortage of oxygen in Kalimantan (supported by the evidence enclosed at pages 29 to 33 of CLB3). It is established at the trial that one Marzli Muhammad was the Head of Healthcare of Linde Malaysia and was superior in rank than COW-1;</w:t>
      </w:r>
    </w:p>
    <w:p>
      <w:pPr>
        <w:keepNext w:val="0"/>
        <w:numPr>
          <w:numId w:val="7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prior to entering the site, the Claimant (who was sitting in the Consulate’s car) had stopped at the guardhouse to register the entry of the Consulate’s car. The Site Manager, one Wee Wei Boon, was just at the back of the Consulate’s car but did not approach the car to check who the visitors were (this fact is admitted by COW-1);</w:t>
      </w:r>
    </w:p>
    <w:p>
      <w:pPr>
        <w:keepNext w:val="0"/>
        <w:numPr>
          <w:numId w:val="7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had testified that he did not require approval from anyone to enter Samajaya site, i.e. his own site where he was stationed to work. Approval was only required by the Claimant if he wishes to enter other sites. In relation thereto, the Company had produced emails to show that the Claimant had requested for approval to enter Bintawa site but failed to adduced documentary evidence to proof that the same was also required for Samajaya site. In this regard, the Claimant submits that if indeed the Claimant required approval to enter Samajaya site, the Company could have easily produced emails to support the same, such as those emails for Bintawa site. Thus, the fact that the Company did not produce any evidence to show that prior to the incident the Claimant had requested for approvals to enter Samajaya site, substantiates the Claimant’s evidence in this regard; and</w:t>
      </w:r>
    </w:p>
    <w:p>
      <w:pPr>
        <w:keepNext w:val="0"/>
        <w:numPr>
          <w:numId w:val="7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confirmed during cross-examination that it was the guard’s duty to make sure that all the procedures were complied with before the guard can allow anyone to enter the site;</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relation to the 3rd Show Cause Letter – </w:t>
      </w:r>
    </w:p>
    <w:p>
      <w:pPr>
        <w:keepNext w:val="0"/>
        <w:numPr>
          <w:numId w:val="7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no evidence before the Court to show that the Company had conducted any investigation into the said misconduct;</w:t>
      </w:r>
    </w:p>
    <w:p>
      <w:pPr>
        <w:keepNext w:val="0"/>
        <w:numPr>
          <w:numId w:val="7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despite claiming that she was involved in the purported investigation, COW-1 confirmed that she did not interview or speak to the Claimant regarding the said misconduct. In this connection, we submit that the Company’s contention that the said misconduct of the Claimant was him venting frustration on the earlier disciplinary action taken by the Company, is a mere assumption of COW-1 and/or the Company;</w:t>
      </w:r>
    </w:p>
    <w:p>
      <w:pPr>
        <w:keepNext w:val="0"/>
        <w:numPr>
          <w:numId w:val="8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wordings of the Claimant’s email which states “</w:t>
      </w:r>
      <w:r>
        <w:rPr>
          <w:rFonts w:ascii="arial" w:eastAsia="arial" w:hAnsi="arial" w:cs="arial"/>
          <w:b w:val="0"/>
          <w:i/>
          <w:strike w:val="0"/>
          <w:noProof w:val="0"/>
          <w:color w:val="000000"/>
          <w:position w:val="0"/>
          <w:sz w:val="24"/>
          <w:u w:val="none"/>
          <w:vertAlign w:val="baseline"/>
        </w:rPr>
        <w:t>…[p]ending HR’s response and outcome on my Show Cause Letter, it will be best if you bring this up to Mr Chan to discuss as to whether I am fit to decide on any matters in relation to COVID protocol approvals as the alleged breach committed by me was one of a major misconduct…</w:t>
      </w:r>
      <w:r>
        <w:rPr>
          <w:rFonts w:ascii="arial" w:eastAsia="arial" w:hAnsi="arial" w:cs="arial"/>
          <w:b w:val="0"/>
          <w:i w:val="0"/>
          <w:strike w:val="0"/>
          <w:noProof w:val="0"/>
          <w:color w:val="000000"/>
          <w:position w:val="0"/>
          <w:sz w:val="24"/>
          <w:u w:val="none"/>
          <w:vertAlign w:val="baseline"/>
        </w:rPr>
        <w:t>”, in no way indicates that he was venting frustration or that he refused to carry out the instruction of COW-1. The Claimant was merely suggesting to COW-1 to first discuss with one Mr. Chan to confirm whether the Claimant was fit to carry on with the duties in relation to Covid protocol approvals pending his show cause procedure which also concerned alleged breach of the Covid protocol approvals. In fact, the Claimant had explained relating to the same in his letter dated 5th September 2021; and</w:t>
      </w:r>
    </w:p>
    <w:p>
      <w:pPr>
        <w:keepNext w:val="0"/>
        <w:numPr>
          <w:numId w:val="8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could have, with no hassle, replied to the Claimant’s email dated 2nd August 2021 to make it clear to the Claimant that there is no need to bring up the matter to one Mr. Chan and that the Claimant is fit and can proceed with the duties in relation to Covid protocol approval. However, COW-1 confirmed that she did not do so.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The Claimant also submits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dated 10th May 2024 and Written Submissions in Reply dated 21st June 2024, in relation to COW-1’s reprimand email dated 24th September 2021 –</w:t>
      </w:r>
      <w:r>
        <w:t>
</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reprimand was part of the calculated efforts by the Company, as a continuation from the series of events, to further intimidate, suppress and frustrate the Claimant to make it unbearable for the Claimant to continue working;</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in his email reply dated 25 th September 2021 had explained, apologized and retracted the statements made by him during the meeting and COW-1 had confirmed that she accepted the Claimant’s apology;</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admitted during cross-examination that despite the fact that the Claimant had apologized and retracted his statements, she still went on to inform Human Resources about this incident by carbon copying one Laura Yee (the new Head of Human Resource) and the Head of PGP, one Yap Haw Lin, in her email dated 24th September 2021. The fact that the Human Resources was made aware of the matter would become part of the Claimant’s employment record and would surely humiliate the Claimant; and</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reprimand letter together with the series of events prior to that clearly breached the Claimant’s trust and confidence towards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Claimant also submits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dated 10th May 2024 and Written Submissions in Reply dated 21st June 2024 the last straw that led the Claimant to walk out of his employment via his letter dated 2nd October 2021 was the Company’s decision to place the Claimant under a Performance Improvement Plan (“PIP”). Even though it is the prerogative of the Company to place the Claimant under a PIP, such prerogative must be exercised fairly and reasonably as the Company did not provide any details in its pleadings as to the Claimant’s purported poor performance. Furthermore, the Claimant submits that the justification provided by the Company which was introduced through COW-1’s testimony is “incredible” in view of the following:</w:t>
      </w:r>
      <w:r>
        <w:t>
</w:t>
      </w:r>
    </w:p>
    <w:p>
      <w:pPr>
        <w:keepNext w:val="0"/>
        <w:numPr>
          <w:numId w:val="8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confirmed that the Company has a Performance Management System (“PMS”) to appraise its employees’ performance for each financial year, wherein increment would be granted in April of the next year based on the employees’ performance. COW-1 further confirmed that on 1st April 2021, the Claimant was granted a 7.5% increment based on the Claimant’s performance appraisal in the PMS for Financial Year (“FY”) 2020;</w:t>
      </w:r>
    </w:p>
    <w:p>
      <w:pPr>
        <w:keepNext w:val="0"/>
        <w:numPr>
          <w:numId w:val="8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confirmed Claimant’s performance was good in FY 2020, despite all the grievances raised by the Claimant and his unhappiness;</w:t>
      </w:r>
    </w:p>
    <w:p>
      <w:pPr>
        <w:keepNext w:val="0"/>
        <w:numPr>
          <w:numId w:val="8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testified that she did the mid-year 2021 appraisal for the Claimant’s performance in FY 2021, and Claimant’s performance was satisfactory. COW-1 further confirmed that despite all the grievances and unhappiness of the Claimant in 2021, he still performed reasonably;</w:t>
      </w:r>
    </w:p>
    <w:p>
      <w:pPr>
        <w:keepNext w:val="0"/>
        <w:numPr>
          <w:numId w:val="8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confirmed that the caution letter dated 17th September 2021 was the first time the Company raised the issue of poor performance with the Claimant. Prior to that, the Claimant, who had served the Company for more than 15 years has had no performance issue as the Claimant was never issued with any warning or letter with regards to his performance;</w:t>
      </w:r>
    </w:p>
    <w:p>
      <w:pPr>
        <w:keepNext w:val="0"/>
        <w:numPr>
          <w:numId w:val="8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testified that the Claimant’s performance allegedly deteriorated since June to September 2021. However, the only purported evidence to support COW-1’s testimony was the emails exchange between COW-1 and the Claimant from 5th August 2021 to 13th September 2021 which merely indicate comments and feedback from the Claimant’s superior in the normal course of business; and</w:t>
      </w:r>
    </w:p>
    <w:p>
      <w:pPr>
        <w:keepNext w:val="0"/>
        <w:numPr>
          <w:numId w:val="8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also testified that she had discussed with the Human Resources to place the Claimant under PIP. However, COW-1’s evidence was neither corroborated by witnesses from the Company’s Human Resources nor documentary evidence.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In relation to the above, the Claimant submits that –</w:t>
      </w:r>
      <w:r>
        <w:t>
</w:t>
      </w:r>
    </w:p>
    <w:p>
      <w:pPr>
        <w:keepNext w:val="0"/>
        <w:numPr>
          <w:numId w:val="8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PIP was only kick-started via COW-1’s email to the Claimant dated 27th September 2021 attaching the PIP – KPI Template;</w:t>
      </w:r>
    </w:p>
    <w:p>
      <w:pPr>
        <w:keepNext w:val="0"/>
        <w:numPr>
          <w:numId w:val="8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confirmed by COW-1 during cross-examination for the period between 17th September 2021 to 27th September 2021, there was no discussion between COW-1 and the Claimant regarding the PIP plan;</w:t>
      </w:r>
    </w:p>
    <w:p>
      <w:pPr>
        <w:keepNext w:val="0"/>
        <w:numPr>
          <w:numId w:val="8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further confirmed that the Claimant had never agreed to be placed under PIP;</w:t>
      </w:r>
    </w:p>
    <w:p>
      <w:pPr>
        <w:keepNext w:val="0"/>
        <w:numPr>
          <w:numId w:val="8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given the fact that the PIP was only kick started on 27 th September 2021 and the Claimant had tendered his resignation letter on 2 nd October 2021, there was no delay by the Claimant in claiming constructive dismissal;</w:t>
      </w:r>
    </w:p>
    <w:p>
      <w:pPr>
        <w:keepNext w:val="0"/>
        <w:numPr>
          <w:numId w:val="8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evidence clearly established that the Claimant had been persistently protesting to the Company, on the grievances that were recorded in his resignation letter, prior to the Claimant considering himself constructively dismissed due to the said grievances; and</w:t>
      </w:r>
    </w:p>
    <w:p>
      <w:pPr>
        <w:keepNext w:val="0"/>
        <w:numPr>
          <w:numId w:val="8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submission that the Claimant’s did not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promptly vis-à- vis for each individual grounds of the Claimant’s constructive dismissal has no merits as each ground of the Claimant’s constructive dismissal should not be viewed in isolation – </w:t>
      </w:r>
    </w:p>
    <w:p>
      <w:pPr>
        <w:keepNext w:val="0"/>
        <w:numPr>
          <w:numId w:val="8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but must be viewed cumulatively as a whole. Given the fact that the Claimant had clearly narrated in his resignation letter that the reasons that led him to walk out of employment was the series of events/actions by the Company since February 2021 (including the unresolved grievances since 2017, which were re-activated by the Claimant’s email dated 06.02.2021), and which were ongoing up to the time of his claim of constructive dismissal;</w:t>
      </w:r>
    </w:p>
    <w:p>
      <w:pPr>
        <w:keepNext w:val="0"/>
        <w:numPr>
          <w:numId w:val="8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this important principle has been adopted and explained in the High Court case of </w:t>
      </w:r>
      <w:r>
        <w:rPr>
          <w:rFonts w:ascii="arial" w:eastAsia="arial" w:hAnsi="arial" w:cs="arial"/>
          <w:b w:val="0"/>
          <w:i/>
          <w:strike w:val="0"/>
          <w:noProof w:val="0"/>
          <w:color w:val="000000"/>
          <w:position w:val="0"/>
          <w:sz w:val="24"/>
          <w:u w:val="none"/>
          <w:vertAlign w:val="baseline"/>
        </w:rPr>
        <w:t xml:space="preserve">Alan Thomas Bohlsen v Draftworldwide Sdn Bhd  </w:t>
      </w:r>
      <w:r>
        <w:rPr>
          <w:rFonts w:ascii="arial" w:eastAsia="arial" w:hAnsi="arial" w:cs="arial"/>
          <w:b w:val="0"/>
          <w:i w:val="0"/>
          <w:strike w:val="0"/>
          <w:noProof w:val="0"/>
          <w:color w:val="000000"/>
          <w:position w:val="0"/>
          <w:sz w:val="24"/>
          <w:u w:val="none"/>
          <w:vertAlign w:val="baseline"/>
        </w:rPr>
        <w:t xml:space="preserve">[2009] 1 LNS 550, whereby Abdul Malik Ishak JCA in his judgment made reference to the English Court of Appeal in </w:t>
      </w:r>
      <w:r>
        <w:rPr>
          <w:rFonts w:ascii="arial" w:eastAsia="arial" w:hAnsi="arial" w:cs="arial"/>
          <w:b w:val="0"/>
          <w:i/>
          <w:strike w:val="0"/>
          <w:noProof w:val="0"/>
          <w:color w:val="000000"/>
          <w:position w:val="0"/>
          <w:sz w:val="24"/>
          <w:u w:val="none"/>
          <w:vertAlign w:val="baseline"/>
        </w:rPr>
        <w:t xml:space="preserve">Omilaju v Waltham Forest London Borough Council  </w:t>
      </w:r>
      <w:r>
        <w:rPr>
          <w:rFonts w:ascii="arial" w:eastAsia="arial" w:hAnsi="arial" w:cs="arial"/>
          <w:b w:val="0"/>
          <w:i w:val="0"/>
          <w:strike w:val="0"/>
          <w:noProof w:val="0"/>
          <w:color w:val="000000"/>
          <w:position w:val="0"/>
          <w:sz w:val="24"/>
          <w:u w:val="none"/>
          <w:vertAlign w:val="baseline"/>
        </w:rPr>
        <w:t xml:space="preserve">[2005] 1 All ER 75 and stated as follows: </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“…Dyson LJ. writing the judgment of the Court of Appeal summarised the law relating to the constructive dismissal in this way (see pages 80 to 83 of the report):-</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 xml:space="preserve">(5) A relatively minor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may be sufficient to entitle the employee to resign and leave his employment if it is the last straw in a series of incidents. It is well put in Harvey on Industrial Relations and Employment Law vol 1, para 480:-</w:t>
      </w:r>
    </w:p>
    <w:p>
      <w:pPr>
        <w:keepNext w:val="0"/>
        <w:spacing w:before="120" w:after="0" w:line="240" w:lineRule="atLeast"/>
        <w:ind w:left="3480" w:right="0"/>
        <w:jc w:val="both"/>
      </w:pPr>
      <w:r>
        <w:br/>
      </w:r>
      <w:r>
        <w:rPr>
          <w:rFonts w:ascii="arial" w:eastAsia="arial" w:hAnsi="arial" w:cs="arial"/>
          <w:b w:val="0"/>
          <w:i/>
          <w:strike w:val="0"/>
          <w:noProof w:val="0"/>
          <w:color w:val="000000"/>
          <w:position w:val="0"/>
          <w:sz w:val="18"/>
          <w:u w:val="none"/>
          <w:vertAlign w:val="baseline"/>
        </w:rPr>
        <w:t>‘Many of the constructive dismissal cases which arise from the undermining of trust and confidence will involve the employee leaving in response to a course of conduct carried on over a period of time. The particular incident which causes the employee to leave may in itself be insufficient to justify his taking that action, but when viewed against a background of such incidents it may be considered sufficient by the courts to warrant their treating the resignation as a constructive dismissal. It may be the ‘last straw’ which causes the employee to terminate a deteriorating relationship.’</w:t>
      </w:r>
      <w:r>
        <w:t>
</w:t>
      </w:r>
    </w:p>
    <w:p/>
    <w:p>
      <w:pPr>
        <w:keepNext w:val="0"/>
        <w:spacing w:before="120" w:after="0" w:line="240" w:lineRule="atLeast"/>
        <w:ind w:left="2680" w:right="0"/>
        <w:jc w:val="both"/>
      </w:pPr>
      <w:r>
        <w:rPr>
          <w:rFonts w:ascii="arial" w:eastAsia="arial" w:hAnsi="arial" w:cs="arial"/>
          <w:b w:val="0"/>
          <w:i/>
          <w:strike w:val="0"/>
          <w:noProof w:val="0"/>
          <w:color w:val="000000"/>
          <w:position w:val="0"/>
          <w:sz w:val="18"/>
          <w:u w:val="none"/>
          <w:vertAlign w:val="baseline"/>
        </w:rPr>
        <w:t>[15] The last straw principle has been explained in a number of cases, perhaps most clearly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Lewis v Motorworld Garages Ltd  </w:t>
      </w:r>
      <w:r>
        <w:rPr>
          <w:rFonts w:ascii="arial" w:eastAsia="arial" w:hAnsi="arial" w:cs="arial"/>
          <w:b w:val="0"/>
          <w:i w:val="0"/>
          <w:strike w:val="0"/>
          <w:noProof w:val="0"/>
          <w:color w:val="000000"/>
          <w:position w:val="0"/>
          <w:sz w:val="18"/>
          <w:u w:val="none"/>
          <w:vertAlign w:val="baseline"/>
        </w:rPr>
        <w:t xml:space="preserve">[1985] IRLR 465, ; [1986] ICR 157. </w:t>
      </w:r>
      <w:r>
        <w:rPr>
          <w:rFonts w:ascii="arial" w:eastAsia="arial" w:hAnsi="arial" w:cs="arial"/>
          <w:b w:val="0"/>
          <w:i/>
          <w:strike w:val="0"/>
          <w:noProof w:val="0"/>
          <w:color w:val="000000"/>
          <w:position w:val="0"/>
          <w:sz w:val="18"/>
          <w:u w:val="none"/>
          <w:vertAlign w:val="baseline"/>
        </w:rPr>
        <w:t xml:space="preserve">Neill LJ ( </w:t>
      </w:r>
      <w:r>
        <w:rPr>
          <w:rFonts w:ascii="arial" w:eastAsia="arial" w:hAnsi="arial" w:cs="arial"/>
          <w:b w:val="0"/>
          <w:i w:val="0"/>
          <w:strike w:val="0"/>
          <w:noProof w:val="0"/>
          <w:color w:val="000000"/>
          <w:position w:val="0"/>
          <w:sz w:val="18"/>
          <w:u w:val="none"/>
          <w:vertAlign w:val="baseline"/>
        </w:rPr>
        <w:t>[1985] IRLR 465</w:t>
      </w:r>
      <w:r>
        <w:rPr>
          <w:rFonts w:ascii="arial" w:eastAsia="arial" w:hAnsi="arial" w:cs="arial"/>
          <w:b w:val="0"/>
          <w:i/>
          <w:strike w:val="0"/>
          <w:noProof w:val="0"/>
          <w:color w:val="000000"/>
          <w:position w:val="0"/>
          <w:sz w:val="18"/>
          <w:u w:val="none"/>
          <w:vertAlign w:val="baseline"/>
        </w:rPr>
        <w:t xml:space="preserve"> at 468, [1986] ICR 157 at 167) said that the repudiatory conduct may consist of a series of acts or incidents, some of them perhaps quite trivial, which cumulatively amount to a repudiatory breach of the implied term of trust and confidence. Glidewell LJ said ([1985] IRLR 465 at 469, [1986] ICR 157 at 169):-</w:t>
      </w:r>
    </w:p>
    <w:p>
      <w:pPr>
        <w:keepNext w:val="0"/>
        <w:spacing w:before="120" w:after="0" w:line="240" w:lineRule="atLeast"/>
        <w:ind w:left="3480" w:right="0"/>
        <w:jc w:val="both"/>
      </w:pPr>
      <w:r>
        <w:br/>
      </w:r>
      <w:r>
        <w:rPr>
          <w:rFonts w:ascii="arial" w:eastAsia="arial" w:hAnsi="arial" w:cs="arial"/>
          <w:b w:val="0"/>
          <w:i/>
          <w:strike w:val="0"/>
          <w:noProof w:val="0"/>
          <w:color w:val="000000"/>
          <w:position w:val="0"/>
          <w:sz w:val="18"/>
          <w:u w:val="none"/>
          <w:vertAlign w:val="baseline"/>
        </w:rPr>
        <w:t>‘(c) The breach of this implied obligation of trust and confidence may consist of a series of actions on the part of the employer which cumulatively amount to a breach of the term, though each individual incident may not do so. In particular in such a case the last action of the employer which leads to the employee leaving need not itself be a breach of contract; the question is, does the cumulative series of acts taken together amount to a breach of the implied term? see Woods v W M Car Services Ltd. This is the ‘last straw’ situation.’</w:t>
      </w:r>
      <w:r>
        <w:rPr>
          <w:rFonts w:ascii="arial" w:eastAsia="arial" w:hAnsi="arial" w:cs="arial"/>
          <w:b w:val="0"/>
          <w:i w:val="0"/>
          <w:strike w:val="0"/>
          <w:noProof w:val="0"/>
          <w:color w:val="000000"/>
          <w:position w:val="0"/>
          <w:sz w:val="18"/>
          <w:u w:val="none"/>
          <w:vertAlign w:val="baseline"/>
        </w:rPr>
        <w:t>; and</w:t>
      </w:r>
      <w:r>
        <w:t>
</w:t>
      </w:r>
    </w:p>
    <w:p/>
    <w:p/>
    <w:p>
      <w:pPr>
        <w:keepNext w:val="0"/>
        <w:numPr>
          <w:numId w:val="8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Court should assess all the grounds of the Claimant’s constructive dismissal as a whole, and ask itself this question – does the cumulative series of events / actions by the Company (as narrated in the Claimant’s resignation letter), taken together, amount to a breach of the implied term of mutual trust and confidence? The Claimant submits that this must be answered in the affirmative, based on the totality of evidence presented before this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The Claimant, in applying the principles enunciated in the Federal Court cases of </w:t>
      </w:r>
      <w:r>
        <w:rPr>
          <w:rFonts w:ascii="arial" w:eastAsia="arial" w:hAnsi="arial" w:cs="arial"/>
          <w:b w:val="0"/>
          <w:i/>
          <w:strike w:val="0"/>
          <w:noProof w:val="0"/>
          <w:color w:val="000000"/>
          <w:position w:val="0"/>
          <w:sz w:val="24"/>
          <w:u w:val="none"/>
          <w:vertAlign w:val="baseline"/>
        </w:rPr>
        <w:t xml:space="preserve">Goon Kwee Phoy v J&amp;P Coats (M) Bhd  </w:t>
      </w:r>
      <w:r>
        <w:rPr>
          <w:rFonts w:ascii="arial" w:eastAsia="arial" w:hAnsi="arial" w:cs="arial"/>
          <w:b w:val="0"/>
          <w:i w:val="0"/>
          <w:strike w:val="0"/>
          <w:noProof w:val="0"/>
          <w:color w:val="000000"/>
          <w:position w:val="0"/>
          <w:sz w:val="24"/>
          <w:u w:val="none"/>
          <w:vertAlign w:val="baseline"/>
        </w:rPr>
        <w:t xml:space="preserve">[1981] 2 MLJ 129; [1981] 1 LNS 30 and </w:t>
      </w:r>
      <w:r>
        <w:rPr>
          <w:rFonts w:ascii="arial" w:eastAsia="arial" w:hAnsi="arial" w:cs="arial"/>
          <w:b w:val="0"/>
          <w:i/>
          <w:strike w:val="0"/>
          <w:noProof w:val="0"/>
          <w:color w:val="000000"/>
          <w:position w:val="0"/>
          <w:sz w:val="24"/>
          <w:u w:val="none"/>
          <w:vertAlign w:val="baseline"/>
        </w:rPr>
        <w:t xml:space="preserve">Ranjit Kaur a/p S Gopal Singh v Hotel Excelsior (M) Sdn Bhd  </w:t>
      </w:r>
      <w:r>
        <w:rPr>
          <w:rFonts w:ascii="arial" w:eastAsia="arial" w:hAnsi="arial" w:cs="arial"/>
          <w:b w:val="0"/>
          <w:i w:val="0"/>
          <w:strike w:val="0"/>
          <w:noProof w:val="0"/>
          <w:color w:val="000000"/>
          <w:position w:val="0"/>
          <w:sz w:val="24"/>
          <w:u w:val="none"/>
          <w:vertAlign w:val="baseline"/>
        </w:rPr>
        <w:t>[2010] 6 MLJ 1; [2010] 8 CLJ 629, submits that as the Company had failed to plead the purported just cause and excuse for the Claimant’s dismissal, this Court cannot go beyond the Company’s pleaded case and find one for it. Consequently, the irresistible conclusion to arrive at by Yang Arif must be that the Claimant’s dismissal is without just cause and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In addition to the above, the Claimant made reference to the Company’s submissions that,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the willingness of the Claimant to serve his notice period, is reflective of the purported fact, that the Company’s breaches raised by the Claimant (as the grounds for his constructive dismissal) were not as serious of a breach which would entitle the Claimant to claim that he was constructively dismissed. The Claimant submits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in Reply dated 21st June 2024 that the Company’s contention is unsustainable on the following grounds:</w:t>
      </w:r>
      <w:r>
        <w:t>
</w:t>
      </w:r>
    </w:p>
    <w:p>
      <w:pPr>
        <w:keepNext w:val="0"/>
        <w:numPr>
          <w:numId w:val="8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contention had never been pleaded by the Company and was not even put to the Claimant despite the Claimant had been heavily cross- examined; and</w:t>
      </w:r>
    </w:p>
    <w:p>
      <w:pPr>
        <w:keepNext w:val="0"/>
        <w:numPr>
          <w:numId w:val="8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case of </w:t>
      </w:r>
      <w:r>
        <w:rPr>
          <w:rFonts w:ascii="arial" w:eastAsia="arial" w:hAnsi="arial" w:cs="arial"/>
          <w:b w:val="0"/>
          <w:i/>
          <w:strike w:val="0"/>
          <w:noProof w:val="0"/>
          <w:color w:val="000000"/>
          <w:position w:val="0"/>
          <w:sz w:val="24"/>
          <w:u w:val="none"/>
          <w:vertAlign w:val="baseline"/>
        </w:rPr>
        <w:t xml:space="preserve">Masitah Mohamad v University College Bestari  </w:t>
      </w:r>
      <w:r>
        <w:rPr>
          <w:rFonts w:ascii="arial" w:eastAsia="arial" w:hAnsi="arial" w:cs="arial"/>
          <w:b w:val="0"/>
          <w:i w:val="0"/>
          <w:strike w:val="0"/>
          <w:noProof w:val="0"/>
          <w:color w:val="000000"/>
          <w:position w:val="0"/>
          <w:sz w:val="24"/>
          <w:u w:val="none"/>
          <w:vertAlign w:val="baseline"/>
        </w:rPr>
        <w:t>[2020] ILJU 311; [2021] 1 ILR 157 cited in the Company’s submission can be distinguished from the present case as in the said case it was found that that there was no fundamental breach of the claimant’s employment contract, since the company had paid the claimant all her salaries, albeit delayed, as the delay was due to the company had been in a difficult financial situation and the company had not evinced any intention not to be bound by the terms of the claimant’s contract. Furthermore, in the said case, it was found that the claimant had condoned the company’s actions of delaying her salary payments.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The Claimant also submits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in Reply dated 21st June 2024 that, in relation to the Company’s contention that the Claimant was not a credible witness as there were six instances of the Claimant’s testimony that reflected the Claimant’s demeanour being difficult, defensive, evasive and/or contradictory, –</w:t>
      </w:r>
      <w:r>
        <w:t>
</w:t>
      </w:r>
    </w:p>
    <w:p>
      <w:pPr>
        <w:keepNext w:val="0"/>
        <w:numPr>
          <w:numId w:val="8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such inconsistencies do not reflect the Claimant’s demeanour as difficult, defensive or evasive and do not necessarily render the entire evidence incredible unless the evidence given becomes so irreconcilable;</w:t>
      </w:r>
    </w:p>
    <w:p>
      <w:pPr>
        <w:keepNext w:val="0"/>
        <w:numPr>
          <w:numId w:val="8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Raja AzIan Shah FJ in the case of </w:t>
      </w:r>
      <w:r>
        <w:rPr>
          <w:rFonts w:ascii="arial" w:eastAsia="arial" w:hAnsi="arial" w:cs="arial"/>
          <w:b w:val="0"/>
          <w:i/>
          <w:strike w:val="0"/>
          <w:noProof w:val="0"/>
          <w:color w:val="000000"/>
          <w:position w:val="0"/>
          <w:sz w:val="24"/>
          <w:u w:val="none"/>
          <w:vertAlign w:val="baseline"/>
        </w:rPr>
        <w:t xml:space="preserve">PP v Datuk Haji Harun Bin Haji Idris (No 2)  </w:t>
      </w:r>
      <w:r>
        <w:rPr>
          <w:rFonts w:ascii="arial" w:eastAsia="arial" w:hAnsi="arial" w:cs="arial"/>
          <w:b w:val="0"/>
          <w:i w:val="0"/>
          <w:strike w:val="0"/>
          <w:noProof w:val="0"/>
          <w:color w:val="000000"/>
          <w:position w:val="0"/>
          <w:sz w:val="24"/>
          <w:u w:val="none"/>
          <w:vertAlign w:val="baseline"/>
        </w:rPr>
        <w:t>[1977] 1 MLJ 15; [1976] CLJU 184 stated that “</w:t>
      </w:r>
      <w:r>
        <w:rPr>
          <w:rFonts w:ascii="arial" w:eastAsia="arial" w:hAnsi="arial" w:cs="arial"/>
          <w:b w:val="0"/>
          <w:i/>
          <w:strike w:val="0"/>
          <w:noProof w:val="0"/>
          <w:color w:val="000000"/>
          <w:position w:val="0"/>
          <w:sz w:val="24"/>
          <w:u w:val="none"/>
          <w:vertAlign w:val="baseline"/>
        </w:rPr>
        <w:t>[i]n my opinion discrepancies there will always be, because in the circumstances in which the events happened, every witness does not remember the same thing and he does not remember accurately every single thing that happened. It may be open to criticism, or it might be better if they took down a notebook and wrote down every single thing that happened and every single thing that was said. But they did not know that they are going to be witnesses at this trial. I shall be almost inclined to think that if there are no discrepancies, it might be suggested that they have concocted their accounts of what had happened or what had been said because their versions are too consistent. The question is whether the existence of certain discrepancies is sufficient to destroy their credibility. There is no rule of law that the testimony of a witness must either be believed in its entirety or not at all. A court is fully competent, for good and cogent reasons, to accept one part of the testimony of a witness and to reject the other. It is, therefore, necessary to scrutinize each evidence very carefully as this involves the question of weight to be given to certain evidence in particular circumstances…</w:t>
      </w:r>
      <w:r>
        <w:rPr>
          <w:rFonts w:ascii="arial" w:eastAsia="arial" w:hAnsi="arial" w:cs="arial"/>
          <w:b w:val="0"/>
          <w:i w:val="0"/>
          <w:strike w:val="0"/>
          <w:noProof w:val="0"/>
          <w:color w:val="000000"/>
          <w:position w:val="0"/>
          <w:sz w:val="24"/>
          <w:u w:val="none"/>
          <w:vertAlign w:val="baseline"/>
        </w:rPr>
        <w:t>”;</w:t>
      </w:r>
    </w:p>
    <w:p>
      <w:pPr>
        <w:keepNext w:val="0"/>
        <w:numPr>
          <w:numId w:val="8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abovementioned principles have been applied by the Industrial Court in the case of </w:t>
      </w:r>
      <w:r>
        <w:rPr>
          <w:rFonts w:ascii="arial" w:eastAsia="arial" w:hAnsi="arial" w:cs="arial"/>
          <w:b w:val="0"/>
          <w:i/>
          <w:strike w:val="0"/>
          <w:noProof w:val="0"/>
          <w:color w:val="000000"/>
          <w:position w:val="0"/>
          <w:sz w:val="24"/>
          <w:u w:val="none"/>
          <w:vertAlign w:val="baseline"/>
        </w:rPr>
        <w:t xml:space="preserve">Siew Chee Keong v RHB Bank Berhad  </w:t>
      </w:r>
      <w:r>
        <w:rPr>
          <w:rFonts w:ascii="arial" w:eastAsia="arial" w:hAnsi="arial" w:cs="arial"/>
          <w:b w:val="0"/>
          <w:i w:val="0"/>
          <w:strike w:val="0"/>
          <w:noProof w:val="0"/>
          <w:color w:val="000000"/>
          <w:position w:val="0"/>
          <w:sz w:val="24"/>
          <w:u w:val="none"/>
          <w:vertAlign w:val="baseline"/>
        </w:rPr>
        <w:t>[2019] ILRU 1415; and</w:t>
      </w:r>
    </w:p>
    <w:p>
      <w:pPr>
        <w:keepNext w:val="0"/>
        <w:numPr>
          <w:numId w:val="8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were also instances whereby the Company’s witnesses were defensive, difficult, evasive and had refused to answer directly to the questions posed and had given contradictory testimonies.</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Company’s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The Company, in denying the allegation of constructive dismissal by the Claimant, avers as follows:</w:t>
      </w:r>
      <w:r>
        <w:t>
</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resigned on his own accord on 2nd October 2021 and there was no dismissal in law on 18th October 2021;</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never, either on 2 October 2021 or thereafter, issued any notice of constructive dismissal to the Company;</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never placed on ‘cold storage’ and the Company had given the appropriate opportunity for the Claimant to grow within the Company;</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granted appropriate salary increments to the Claimant in accordance with the Company’s increment policy;</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addressed the concerns raised in the Claimant’s email dated 7th February 2018 during a call on 9th February 2018 and vide a subsequent email dated 12th February 2018. The Claimant did not raise any further grievance and the issues were deemed resolved;</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due to the COVID-19 pandemic and the impact of the same on the business of the Company, the Company had on 27th March 2020 made an announcement to defer merit increases and promotions for all employees of the Company, including the Claimant;</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subsequent to the announcement, the Company had granted a salary revision to increase the Claimant’s annual salary to RM80,850.00 effective 1st August 2020, vide a letter dated 13th August 2020. This salary revision which was granted to the Claimant amounted to a 6% salary increment despite the freezing of the annual salary review. The Claimant was subsequently granted another salary increment of 7.5% effective 1st April 2021;</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upon internal review conducted sometime approximately in August 2020, the Company confirmed that the Claimant was no longer performing sales or marketing tasks after the Claimant transitioned into his role as the ‘PGP Deliver Manager (East Malaysia)’. Therefore, the Company had on 13th August 2020 informed the Claimant that he was no longer entitled to the Car Allowance and Petrol Card benefits. A series of virtual meetings have also taken place between the Company and the Claimant between August 2020 and September 2021, to address the Claimant’s grievances, and for the Company to explain why the said benefits were removed. The Company had therefore addressed the concerns raised in the Claimant’s email dated 18th August 2020 accordingly;</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series of virtual meetings have been held by the Company with the Claimant between February 2021 and September 2021, to discuss the Claimant’s grievances and for the Company to explain and clarify the Claimant’s role and responsibilities as the ‘PGP Deliver Manager (East Malaysia)’ based on the job description which the Claimant had agreed to. The Company had therefore addressed the concerns raised in the Claimant’s email dated 6 February 2021 accordingly;</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been offered a redesignation of roles after proper consultation with him and the Claimant has been awarded fair and reasonable salary increments; and</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three Spot Awards were issued not just to the Claimant but also to his team members, as the management of the cross-border delivery between Malaysia-Brunei during the Movement Control Order was a collective effort of the PGP Department team and the awards issued was a result of a team achievement.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In relation thereto, the Company also contends that –</w:t>
      </w:r>
      <w:r>
        <w:t>
</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allegedly committed a misconduct on 19th July 2021. Therefore, the 1st Show Cause Letter was issued to the Claimant by the Company to request for the Claimant’s explanation as to the alleged misconduct. Upon the Claimant’s explanation, the Company found that it required further explanation from the Claimant before deciding on the matter;</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following thereto, the Company issued the 2nd Show Cause Letter with revised allegations based on information given by the Claimant and to allow the Claimant another opportunity to explain himself;</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issued the Claimant with the Warning Letter as the Company found the Claimant’s reply and explanation to be unsatisfactory;</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upon internal review conducted sometime approximately in August 2021, the Company confirmed that the Claimant was no longer entertaining government officials as part of his duties after the Claimant transitioned into his role as the ‘PGP Deliver Manager (East Malaysia)’. Therefore, the Company had on 4 August 2021 vide an email informed the Claimant that the Claimant was no longer entitled to the Golf Club subscription fee benefits effective 1st August 2020;</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found that the Claimant had allegedly committed a subsequent misconduct and issued the Claimant the 3rd Show Cause Letter to request for the Claimant’s explanation. After considering the Claimant’s reply the Company issued the Caution Letter as the Company found the Claimant’s reply and explanation to be unsatisfactory;</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had sent an email dated 24th September 2021 to the Claimant to inform the Claimant about how she felt regarding a statement which was made by the Claimant during a transport safety KPI meeting on 23rd September 2021 and reminded the Claimant to be more cautious and professional in the way he speaks or spreads information;</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 actions taken by the Company in relation to the Claimant’s employment, including the management of the Claimant, are within the Company’s prerogative, in accordance with the Claimant’s express and implied terms and conditions of employment, and in accordance with fair labour practice;</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disciplinary actions taken are in accordance with the Company’s Discipline &amp; Disciplinary Procedures Policy after it was found that the Claimant had conducted himself in a manner contrary to his express and implied terms and conditions of employment; and</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allegations of constructive dismissal and/or forced resignation have no basis whatsoever and are denied based on the following reasons, amongst others – </w:t>
      </w:r>
    </w:p>
    <w:p>
      <w:pPr>
        <w:keepNext w:val="0"/>
        <w:numPr>
          <w:numId w:val="9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never induced or pressured the Claimant to resign;</w:t>
      </w:r>
    </w:p>
    <w:p>
      <w:pPr>
        <w:keepNext w:val="0"/>
        <w:numPr>
          <w:numId w:val="9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did not write to the Company to allege that he was constructively dismissed and/or forced to resign as so alleged; and</w:t>
      </w:r>
    </w:p>
    <w:p>
      <w:pPr>
        <w:keepNext w:val="0"/>
        <w:numPr>
          <w:numId w:val="9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overall conduct is not reflective of someone who was forced to resign or someone who was placed in situation of a constructive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Company’s Written Submissions dated 13th May 2024 and the Company’s Written Submissions in Reply dated 21st June 2024, submits that –</w:t>
      </w:r>
      <w:r>
        <w:t>
</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were issues with the Claimant’s credibility as there were notable instances of the Claimant’s testimony which clearly reflects his demeanour which at times was difficult, defensive, evasive, and/or contradictory. These instances were his answers as regards the date of commencement of his employment, the approximate number of weeks when he stated “</w:t>
      </w:r>
      <w:r>
        <w:rPr>
          <w:rFonts w:ascii="arial" w:eastAsia="arial" w:hAnsi="arial" w:cs="arial"/>
          <w:b w:val="0"/>
          <w:i/>
          <w:strike w:val="0"/>
          <w:noProof w:val="0"/>
          <w:color w:val="000000"/>
          <w:position w:val="0"/>
          <w:sz w:val="24"/>
          <w:u w:val="none"/>
          <w:vertAlign w:val="baseline"/>
        </w:rPr>
        <w:t>the past few weeks</w:t>
      </w:r>
      <w:r>
        <w:rPr>
          <w:rFonts w:ascii="arial" w:eastAsia="arial" w:hAnsi="arial" w:cs="arial"/>
          <w:b w:val="0"/>
          <w:i w:val="0"/>
          <w:strike w:val="0"/>
          <w:noProof w:val="0"/>
          <w:color w:val="000000"/>
          <w:position w:val="0"/>
          <w:sz w:val="24"/>
          <w:u w:val="none"/>
          <w:vertAlign w:val="baseline"/>
        </w:rPr>
        <w:t xml:space="preserve">” in his letter dated 2nd October 2021, the Company’s right to issue show cause letter, the calculation of number of days from the date he was put on PIP to the date he resigned, the contents of his email dated 3rd October 2019 and the announcement made by the Company on 27th March 2020 in relation to the deferment of increments and promotions for all employees due to Covid pandemic. In relation thereto, references were made to the Industrial Court cases of </w:t>
      </w:r>
      <w:r>
        <w:rPr>
          <w:rFonts w:ascii="arial" w:eastAsia="arial" w:hAnsi="arial" w:cs="arial"/>
          <w:b w:val="0"/>
          <w:i/>
          <w:strike w:val="0"/>
          <w:noProof w:val="0"/>
          <w:color w:val="000000"/>
          <w:position w:val="0"/>
          <w:sz w:val="24"/>
          <w:u w:val="none"/>
          <w:vertAlign w:val="baseline"/>
        </w:rPr>
        <w:t xml:space="preserve">Chandrakandan Munusamy Pemborong Pentex Sdn Bhd v Sasitharan Neelamegam  </w:t>
      </w:r>
      <w:r>
        <w:rPr>
          <w:rFonts w:ascii="arial" w:eastAsia="arial" w:hAnsi="arial" w:cs="arial"/>
          <w:b w:val="0"/>
          <w:i w:val="0"/>
          <w:strike w:val="0"/>
          <w:noProof w:val="0"/>
          <w:color w:val="000000"/>
          <w:position w:val="0"/>
          <w:sz w:val="24"/>
          <w:u w:val="none"/>
          <w:vertAlign w:val="baseline"/>
        </w:rPr>
        <w:t xml:space="preserve">[1991] 2 ILR 730, </w:t>
      </w:r>
      <w:r>
        <w:rPr>
          <w:rFonts w:ascii="arial" w:eastAsia="arial" w:hAnsi="arial" w:cs="arial"/>
          <w:b w:val="0"/>
          <w:i/>
          <w:strike w:val="0"/>
          <w:noProof w:val="0"/>
          <w:color w:val="000000"/>
          <w:position w:val="0"/>
          <w:sz w:val="24"/>
          <w:u w:val="none"/>
          <w:vertAlign w:val="baseline"/>
        </w:rPr>
        <w:t xml:space="preserve">Afzal bin Amran v Etiqa Insurance Berhad  </w:t>
      </w:r>
      <w:r>
        <w:rPr>
          <w:rFonts w:ascii="arial" w:eastAsia="arial" w:hAnsi="arial" w:cs="arial"/>
          <w:b w:val="0"/>
          <w:i w:val="0"/>
          <w:strike w:val="0"/>
          <w:noProof w:val="0"/>
          <w:color w:val="000000"/>
          <w:position w:val="0"/>
          <w:sz w:val="24"/>
          <w:u w:val="none"/>
          <w:vertAlign w:val="baseline"/>
        </w:rPr>
        <w:t xml:space="preserve">[2017] ILJU 59; [2017] 2 ILR 512and </w:t>
      </w:r>
      <w:r>
        <w:rPr>
          <w:rFonts w:ascii="arial" w:eastAsia="arial" w:hAnsi="arial" w:cs="arial"/>
          <w:b w:val="0"/>
          <w:i/>
          <w:strike w:val="0"/>
          <w:noProof w:val="0"/>
          <w:color w:val="000000"/>
          <w:position w:val="0"/>
          <w:sz w:val="24"/>
          <w:u w:val="none"/>
          <w:vertAlign w:val="baseline"/>
        </w:rPr>
        <w:t xml:space="preserve">Daniel a/l Subramaniam v Sime Darby Plantation Sdn Bhd  </w:t>
      </w:r>
      <w:r>
        <w:rPr>
          <w:rFonts w:ascii="arial" w:eastAsia="arial" w:hAnsi="arial" w:cs="arial"/>
          <w:b w:val="0"/>
          <w:i w:val="0"/>
          <w:strike w:val="0"/>
          <w:noProof w:val="0"/>
          <w:color w:val="000000"/>
          <w:position w:val="0"/>
          <w:sz w:val="24"/>
          <w:u w:val="none"/>
          <w:vertAlign w:val="baseline"/>
        </w:rPr>
        <w:t>[2018] ILJU 130; [2018] 3 ILR 573;</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law on constructive dismissal is as stated in the Supreme Court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[1988] 1 MLJ 92; [1988] 1 CLJ 45; [1988] 1 CLJ Rep 298</w:t>
      </w:r>
      <w:r>
        <w:rPr>
          <w:rFonts w:ascii="arial" w:eastAsia="arial" w:hAnsi="arial" w:cs="arial"/>
          <w:b w:val="0"/>
          <w:i/>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xml:space="preserve"> as well as the Court of Appeal cases of </w:t>
      </w:r>
      <w:r>
        <w:rPr>
          <w:rFonts w:ascii="arial" w:eastAsia="arial" w:hAnsi="arial" w:cs="arial"/>
          <w:b w:val="0"/>
          <w:i/>
          <w:strike w:val="0"/>
          <w:noProof w:val="0"/>
          <w:color w:val="000000"/>
          <w:position w:val="0"/>
          <w:sz w:val="24"/>
          <w:u w:val="none"/>
          <w:vertAlign w:val="baseline"/>
        </w:rPr>
        <w:t xml:space="preserve">Quah Swee Khoon v Sime Darby Bhd  </w:t>
      </w:r>
      <w:r>
        <w:rPr>
          <w:rFonts w:ascii="arial" w:eastAsia="arial" w:hAnsi="arial" w:cs="arial"/>
          <w:b w:val="0"/>
          <w:i w:val="0"/>
          <w:strike w:val="0"/>
          <w:noProof w:val="0"/>
          <w:color w:val="000000"/>
          <w:position w:val="0"/>
          <w:sz w:val="24"/>
          <w:u w:val="none"/>
          <w:vertAlign w:val="baseline"/>
        </w:rPr>
        <w:t xml:space="preserve">[2000] 2 MLJ 600; [2001] 1 CLJ 9 and </w:t>
      </w:r>
      <w:r>
        <w:rPr>
          <w:rFonts w:ascii="arial" w:eastAsia="arial" w:hAnsi="arial" w:cs="arial"/>
          <w:b w:val="0"/>
          <w:i/>
          <w:strike w:val="0"/>
          <w:noProof w:val="0"/>
          <w:color w:val="000000"/>
          <w:position w:val="0"/>
          <w:sz w:val="24"/>
          <w:u w:val="none"/>
          <w:vertAlign w:val="baseline"/>
        </w:rPr>
        <w:t xml:space="preserve">Anwar bin Abd Rahim v Bayer (M) Sdn Bhd  </w:t>
      </w:r>
      <w:r>
        <w:rPr>
          <w:rFonts w:ascii="arial" w:eastAsia="arial" w:hAnsi="arial" w:cs="arial"/>
          <w:b w:val="0"/>
          <w:i w:val="0"/>
          <w:strike w:val="0"/>
          <w:noProof w:val="0"/>
          <w:color w:val="000000"/>
          <w:position w:val="0"/>
          <w:sz w:val="24"/>
          <w:u w:val="none"/>
          <w:vertAlign w:val="baseline"/>
        </w:rPr>
        <w:t xml:space="preserve">[1998] 2 MLJ 599; [1998] 2 CLJ 197. The Company further submits that in the case of </w:t>
      </w:r>
      <w:r>
        <w:rPr>
          <w:rFonts w:ascii="arial" w:eastAsia="arial" w:hAnsi="arial" w:cs="arial"/>
          <w:b w:val="0"/>
          <w:i/>
          <w:strike w:val="0"/>
          <w:noProof w:val="0"/>
          <w:color w:val="000000"/>
          <w:position w:val="0"/>
          <w:sz w:val="24"/>
          <w:u w:val="none"/>
          <w:vertAlign w:val="baseline"/>
        </w:rPr>
        <w:t xml:space="preserve">Govindasamy a/l Muthusamy v Industrial Court Malaysia and Anor </w:t>
      </w:r>
      <w:r>
        <w:rPr>
          <w:rFonts w:ascii="arial" w:eastAsia="arial" w:hAnsi="arial" w:cs="arial"/>
          <w:b w:val="0"/>
          <w:i w:val="0"/>
          <w:strike w:val="0"/>
          <w:noProof w:val="0"/>
          <w:color w:val="000000"/>
          <w:position w:val="0"/>
          <w:sz w:val="24"/>
          <w:u w:val="none"/>
          <w:vertAlign w:val="baseline"/>
        </w:rPr>
        <w:t xml:space="preserve">[2007] MLJU 684; [2007] 10 CLJ 266, the High Court set forth the conditions that have to be met for the Claimant to succeed in a case of constructive dismissal which has now been affirmed by the Court of Appeal in the case of </w:t>
      </w:r>
      <w:r>
        <w:rPr>
          <w:rFonts w:ascii="arial" w:eastAsia="arial" w:hAnsi="arial" w:cs="arial"/>
          <w:b w:val="0"/>
          <w:i/>
          <w:strike w:val="0"/>
          <w:noProof w:val="0"/>
          <w:color w:val="000000"/>
          <w:position w:val="0"/>
          <w:sz w:val="24"/>
          <w:u w:val="none"/>
          <w:vertAlign w:val="baseline"/>
        </w:rPr>
        <w:t xml:space="preserve">Keretapi Tanah Melayu Berhad v Mohan Vythialingam &amp; Anor; &amp; Another Appeal  </w:t>
      </w:r>
      <w:r>
        <w:rPr>
          <w:rFonts w:ascii="arial" w:eastAsia="arial" w:hAnsi="arial" w:cs="arial"/>
          <w:b w:val="0"/>
          <w:i w:val="0"/>
          <w:strike w:val="0"/>
          <w:noProof w:val="0"/>
          <w:color w:val="000000"/>
          <w:position w:val="0"/>
          <w:sz w:val="24"/>
          <w:u w:val="none"/>
          <w:vertAlign w:val="baseline"/>
        </w:rPr>
        <w:t>[2023] 3 MLJ 557;</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Court of Appeal in the case of </w:t>
      </w:r>
      <w:r>
        <w:rPr>
          <w:rFonts w:ascii="arial" w:eastAsia="arial" w:hAnsi="arial" w:cs="arial"/>
          <w:b w:val="0"/>
          <w:i/>
          <w:strike w:val="0"/>
          <w:noProof w:val="0"/>
          <w:color w:val="000000"/>
          <w:position w:val="0"/>
          <w:sz w:val="24"/>
          <w:u w:val="none"/>
          <w:vertAlign w:val="baseline"/>
        </w:rPr>
        <w:t xml:space="preserve">Sanbos (M) Sdn Bhd v Gan Soon Huat  </w:t>
      </w:r>
      <w:r>
        <w:rPr>
          <w:rFonts w:ascii="arial" w:eastAsia="arial" w:hAnsi="arial" w:cs="arial"/>
          <w:b w:val="0"/>
          <w:i w:val="0"/>
          <w:strike w:val="0"/>
          <w:noProof w:val="0"/>
          <w:color w:val="000000"/>
          <w:position w:val="0"/>
          <w:sz w:val="24"/>
          <w:u w:val="none"/>
          <w:vertAlign w:val="baseline"/>
        </w:rPr>
        <w:t xml:space="preserve">[2021] 4 MLJ 924; [2021] 3 ILR 11whereby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the employee cannot rely on reasons not given in the letter of resignation for considering himself constructively dismissed, all other allegations raised by the Claimant in his pleadings and/or testimony, in relation to alleged breaches prior to 6th February 2021 by the Company should therefore be disregarded and not entertained by this Court as it was never listed in the Claimant’s resignation letter dated 2nd October 2021;</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purported failure by the Company to address outstanding grievances including the salary increments which was raised in the Claimant’s email dated 6 February 2021 does not amount to a fundamental breach of terms and conditions of employment which entitle the Claimant to plead constructive dismissal. In addition, the Company also submits that the Company is not obliged to promote its employees after a certain period and cited the High Court decision in the case of In this regard, we wish to also cite the recent High Court decision in the case of </w:t>
      </w:r>
      <w:r>
        <w:rPr>
          <w:rFonts w:ascii="arial" w:eastAsia="arial" w:hAnsi="arial" w:cs="arial"/>
          <w:b w:val="0"/>
          <w:i/>
          <w:strike w:val="0"/>
          <w:noProof w:val="0"/>
          <w:color w:val="000000"/>
          <w:position w:val="0"/>
          <w:sz w:val="24"/>
          <w:u w:val="none"/>
          <w:vertAlign w:val="baseline"/>
        </w:rPr>
        <w:t xml:space="preserve">Thanaletchumy a/p Ramanujam v The Royal Selangor Golf Club &amp; Anor  </w:t>
      </w:r>
      <w:r>
        <w:rPr>
          <w:rFonts w:ascii="arial" w:eastAsia="arial" w:hAnsi="arial" w:cs="arial"/>
          <w:b w:val="0"/>
          <w:i w:val="0"/>
          <w:strike w:val="0"/>
          <w:noProof w:val="0"/>
          <w:color w:val="000000"/>
          <w:position w:val="0"/>
          <w:sz w:val="24"/>
          <w:u w:val="none"/>
          <w:vertAlign w:val="baseline"/>
        </w:rPr>
        <w:t>[2024] MLJU 759;</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granted a salary revision to increase the Claimant’s salary by 6% effective 1st August 2020 and a non-contractual increment of 7.5% in April 2021. In relation thereto, the Company also submits that despite the grievances raised by the Claimant, his salary was nonetheless increased every tear even though the Company was not obliged under his terms of employment to do so as such increments are always subject to the discretion of the Company;</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no evidence was presented by the Claimant to show that the petrol and car allowances benefits as well as the Golf Club Subscription Fee were contractual in nature and/or were part of his terms and conditions of employment. Instead, the said benefits were not fixed contractual entitlements and subject to the type of duties performed by the Claimant. Furthermore, there were valid reasons for the removal of the said benefits i.e. the Claimant was no longer performing the sales or marketing tasks after the transition to the role of PGP Deliver Manager. Thus, the Company submits that the principle enunciated in the Industrial Court cases of </w:t>
      </w:r>
      <w:r>
        <w:rPr>
          <w:rFonts w:ascii="arial" w:eastAsia="arial" w:hAnsi="arial" w:cs="arial"/>
          <w:b w:val="0"/>
          <w:i/>
          <w:strike w:val="0"/>
          <w:noProof w:val="0"/>
          <w:color w:val="000000"/>
          <w:position w:val="0"/>
          <w:sz w:val="24"/>
          <w:u w:val="none"/>
          <w:vertAlign w:val="baseline"/>
        </w:rPr>
        <w:t xml:space="preserve">Law Tik Long v Hong Nam Industry (M) Sdn Bhd  </w:t>
      </w:r>
      <w:r>
        <w:rPr>
          <w:rFonts w:ascii="arial" w:eastAsia="arial" w:hAnsi="arial" w:cs="arial"/>
          <w:b w:val="0"/>
          <w:i w:val="0"/>
          <w:strike w:val="0"/>
          <w:noProof w:val="0"/>
          <w:color w:val="000000"/>
          <w:position w:val="0"/>
          <w:sz w:val="24"/>
          <w:u w:val="none"/>
          <w:vertAlign w:val="baseline"/>
        </w:rPr>
        <w:t xml:space="preserve">[2012] 1 ILR 89 and </w:t>
      </w:r>
      <w:r>
        <w:rPr>
          <w:rFonts w:ascii="arial" w:eastAsia="arial" w:hAnsi="arial" w:cs="arial"/>
          <w:b w:val="0"/>
          <w:i/>
          <w:strike w:val="0"/>
          <w:noProof w:val="0"/>
          <w:color w:val="000000"/>
          <w:position w:val="0"/>
          <w:sz w:val="24"/>
          <w:u w:val="none"/>
          <w:vertAlign w:val="baseline"/>
        </w:rPr>
        <w:t>Yap</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Choo Heeon v Fimco Management Sdn Bhd  </w:t>
      </w:r>
      <w:r>
        <w:rPr>
          <w:rFonts w:ascii="arial" w:eastAsia="arial" w:hAnsi="arial" w:cs="arial"/>
          <w:b w:val="0"/>
          <w:i w:val="0"/>
          <w:strike w:val="0"/>
          <w:noProof w:val="0"/>
          <w:color w:val="000000"/>
          <w:position w:val="0"/>
          <w:sz w:val="24"/>
          <w:u w:val="none"/>
          <w:vertAlign w:val="baseline"/>
        </w:rPr>
        <w:t>[2012] 3 ILR 124 in relation to the withdrawal of the entitlement of the company’s car which was not included in the term of the claimant’s contract of employment could also be extended in the present case as regards the petrol and car allowance benefits. Furthermore, the Company submits that, in any event, the Claimant did not leave soon enough after the alleged breach of the removal of the said benefits and the said delay amounts to an affirmation of the purported breach and defeats the claim of constructive dismissal;</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on 6th February 2021 raised his grievances to the Company, where some of these grievances dated back to 2017 but had only tendered his resignation claiming constructive dismissal on 2nd October 2021. As there was a delay of approximately eight months in claiming constructive dismissal on specific grounds, the said delay amounts to an affirmation of the purported breach and defeats the claim of constructive dismissal. In relation thereto, the Company in referring to Industrial Court cases of </w:t>
      </w:r>
      <w:r>
        <w:rPr>
          <w:rFonts w:ascii="arial" w:eastAsia="arial" w:hAnsi="arial" w:cs="arial"/>
          <w:b w:val="0"/>
          <w:i/>
          <w:strike w:val="0"/>
          <w:noProof w:val="0"/>
          <w:color w:val="000000"/>
          <w:position w:val="0"/>
          <w:sz w:val="24"/>
          <w:u w:val="none"/>
          <w:vertAlign w:val="baseline"/>
        </w:rPr>
        <w:t xml:space="preserve">Pexxon Sdn Bhd v Sia Qui Yau  </w:t>
      </w:r>
      <w:r>
        <w:rPr>
          <w:rFonts w:ascii="arial" w:eastAsia="arial" w:hAnsi="arial" w:cs="arial"/>
          <w:b w:val="0"/>
          <w:i w:val="0"/>
          <w:strike w:val="0"/>
          <w:noProof w:val="0"/>
          <w:color w:val="000000"/>
          <w:position w:val="0"/>
          <w:sz w:val="24"/>
          <w:u w:val="none"/>
          <w:vertAlign w:val="baseline"/>
        </w:rPr>
        <w:t xml:space="preserve">[1989] 2 ILR 235, </w:t>
      </w:r>
      <w:r>
        <w:rPr>
          <w:rFonts w:ascii="arial" w:eastAsia="arial" w:hAnsi="arial" w:cs="arial"/>
          <w:b w:val="0"/>
          <w:i/>
          <w:strike w:val="0"/>
          <w:noProof w:val="0"/>
          <w:color w:val="000000"/>
          <w:position w:val="0"/>
          <w:sz w:val="24"/>
          <w:u w:val="none"/>
          <w:vertAlign w:val="baseline"/>
        </w:rPr>
        <w:t xml:space="preserve">Sek Yuen Hwa v Metro Homes Sdn Bhd [Award No. 1001 of 2017] </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val="0"/>
          <w:i/>
          <w:strike w:val="0"/>
          <w:noProof w:val="0"/>
          <w:color w:val="000000"/>
          <w:position w:val="0"/>
          <w:sz w:val="24"/>
          <w:u w:val="none"/>
          <w:vertAlign w:val="baseline"/>
        </w:rPr>
        <w:t xml:space="preserve">Shahrul Fadly Roslan v RP Design Illuminazione (M) Sdn Bhd [Award No. 488 of 2018] </w:t>
      </w:r>
      <w:r>
        <w:rPr>
          <w:rFonts w:ascii="arial" w:eastAsia="arial" w:hAnsi="arial" w:cs="arial"/>
          <w:b w:val="0"/>
          <w:i w:val="0"/>
          <w:strike w:val="0"/>
          <w:noProof w:val="0"/>
          <w:color w:val="000000"/>
          <w:position w:val="0"/>
          <w:sz w:val="24"/>
          <w:u w:val="none"/>
          <w:vertAlign w:val="baseline"/>
        </w:rPr>
        <w:t xml:space="preserve"> further submits that where an employee delays in claiming constructive dismissal on specific ground, such delay amounts to an affirmation of the purported breach and defeats the claim of constructive dismissal;</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did not assign any additional jobs from one Chaw Leong Yong to the Claimant and the Claimant had failed to show that he was assigned additional jobs from one Chaw Leong Yong. In any event, the Company submits that the assignment of any job duties without any salary adjustment does not amount to a breach of fundamental terms of employment and cited the Industrial Court case of </w:t>
      </w:r>
      <w:r>
        <w:rPr>
          <w:rFonts w:ascii="arial" w:eastAsia="arial" w:hAnsi="arial" w:cs="arial"/>
          <w:b w:val="0"/>
          <w:i/>
          <w:strike w:val="0"/>
          <w:noProof w:val="0"/>
          <w:color w:val="000000"/>
          <w:position w:val="0"/>
          <w:sz w:val="24"/>
          <w:u w:val="none"/>
          <w:vertAlign w:val="baseline"/>
        </w:rPr>
        <w:t xml:space="preserve">Zainal Abidin bin Abdullah v DI Perdana Utara Sdn Bhd  </w:t>
      </w:r>
      <w:r>
        <w:rPr>
          <w:rFonts w:ascii="arial" w:eastAsia="arial" w:hAnsi="arial" w:cs="arial"/>
          <w:b w:val="0"/>
          <w:i w:val="0"/>
          <w:strike w:val="0"/>
          <w:noProof w:val="0"/>
          <w:color w:val="000000"/>
          <w:position w:val="0"/>
          <w:sz w:val="24"/>
          <w:u w:val="none"/>
          <w:vertAlign w:val="baseline"/>
        </w:rPr>
        <w:t>[2012] 1 ILJ 498 and the fact that the Claimant had waited more than three months before he resigned and claimed constructive dismissal the Claimant had affirmed alleged breach of the Company;</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relation to the Show Cause Letters, the Company was well within its prerogative to subject its employees to the necessary disciplinary action process as outlined in the Industrial Court case of </w:t>
      </w:r>
      <w:r>
        <w:rPr>
          <w:rFonts w:ascii="arial" w:eastAsia="arial" w:hAnsi="arial" w:cs="arial"/>
          <w:b w:val="0"/>
          <w:i/>
          <w:strike w:val="0"/>
          <w:noProof w:val="0"/>
          <w:color w:val="000000"/>
          <w:position w:val="0"/>
          <w:sz w:val="24"/>
          <w:u w:val="none"/>
          <w:vertAlign w:val="baseline"/>
        </w:rPr>
        <w:t xml:space="preserve">Nur Ezlina binti Ismail v UMW Toyota Motor Sdn Bhd  </w:t>
      </w:r>
      <w:r>
        <w:rPr>
          <w:rFonts w:ascii="arial" w:eastAsia="arial" w:hAnsi="arial" w:cs="arial"/>
          <w:b w:val="0"/>
          <w:i w:val="0"/>
          <w:strike w:val="0"/>
          <w:noProof w:val="0"/>
          <w:color w:val="000000"/>
          <w:position w:val="0"/>
          <w:sz w:val="24"/>
          <w:u w:val="none"/>
          <w:vertAlign w:val="baseline"/>
        </w:rPr>
        <w:t>[2020] ILJU 146; [2020] 2 ILR 401 and the Company had complied with its disciplinary procedures. Furthermore, the disciplinary action did not result in any demotion, salary reduction and/or benefits reduction and there was no breach of fundamental terms of employment. In any event, even if the issuance of back to back Show Cause Letters, Warning Letter and Caution Letter amounted to a serious breach of the fundamental terms of the Claimant’s employment, the Claimant had failed to leave soon enough after the alleged breach i.e. he had done so approximately two months after the Warning Letter was issued on 17th August 2021 and 14 days after the Caution Letter was issued on 17th September 2021;</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failed to show how COW-1’s email dated 24th September 2021 allegedly reprimanding the Claimant, which the Claimant claimed had intimidated him, was a breach of fundamental terms of his employment as COW-1 being the Claimant’s superior was well within her prerogative to remind the Claimant to be mindful of how he speak to avoid similar incidents of potential misunderstanding and there was no breach of fundamental terms of employment. In relation thereto, the Company made reference to the High Court case of </w:t>
      </w:r>
      <w:r>
        <w:rPr>
          <w:rFonts w:ascii="arial" w:eastAsia="arial" w:hAnsi="arial" w:cs="arial"/>
          <w:b w:val="0"/>
          <w:i/>
          <w:strike w:val="0"/>
          <w:noProof w:val="0"/>
          <w:color w:val="000000"/>
          <w:position w:val="0"/>
          <w:sz w:val="24"/>
          <w:u w:val="none"/>
          <w:vertAlign w:val="baseline"/>
        </w:rPr>
        <w:t xml:space="preserve">Federal Auto Holdings Berhad &amp; Anor v Md Mazlan Bin Abd Halim  </w:t>
      </w:r>
      <w:r>
        <w:rPr>
          <w:rFonts w:ascii="arial" w:eastAsia="arial" w:hAnsi="arial" w:cs="arial"/>
          <w:b w:val="0"/>
          <w:i w:val="0"/>
          <w:strike w:val="0"/>
          <w:noProof w:val="0"/>
          <w:color w:val="000000"/>
          <w:position w:val="0"/>
          <w:sz w:val="24"/>
          <w:u w:val="none"/>
          <w:vertAlign w:val="baseline"/>
        </w:rPr>
        <w:t xml:space="preserve">[2010] ILJU 19 whereby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even though the conduct of the managing director was unreasonable given the circumstances it could not amount to a breach of a fundamental term of the employment contract as the correct test in a constructive dismissal situation is the contract test and not unreasonable test;</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Industrial Court cases of </w:t>
      </w:r>
      <w:r>
        <w:rPr>
          <w:rFonts w:ascii="arial" w:eastAsia="arial" w:hAnsi="arial" w:cs="arial"/>
          <w:b w:val="0"/>
          <w:i/>
          <w:strike w:val="0"/>
          <w:noProof w:val="0"/>
          <w:color w:val="000000"/>
          <w:position w:val="0"/>
          <w:sz w:val="24"/>
          <w:u w:val="none"/>
          <w:vertAlign w:val="baseline"/>
        </w:rPr>
        <w:t xml:space="preserve">Moshila Palanisamy v Blue Wave Shipping (M) Sdn Bhd  </w:t>
      </w:r>
      <w:r>
        <w:rPr>
          <w:rFonts w:ascii="arial" w:eastAsia="arial" w:hAnsi="arial" w:cs="arial"/>
          <w:b w:val="0"/>
          <w:i w:val="0"/>
          <w:strike w:val="0"/>
          <w:noProof w:val="0"/>
          <w:color w:val="000000"/>
          <w:position w:val="0"/>
          <w:sz w:val="24"/>
          <w:u w:val="none"/>
          <w:vertAlign w:val="baseline"/>
        </w:rPr>
        <w:t xml:space="preserve">[2022] 1 ILR 514 and </w:t>
      </w:r>
      <w:r>
        <w:rPr>
          <w:rFonts w:ascii="arial" w:eastAsia="arial" w:hAnsi="arial" w:cs="arial"/>
          <w:b w:val="0"/>
          <w:i/>
          <w:strike w:val="0"/>
          <w:noProof w:val="0"/>
          <w:color w:val="000000"/>
          <w:position w:val="0"/>
          <w:sz w:val="24"/>
          <w:u w:val="none"/>
          <w:vertAlign w:val="baseline"/>
        </w:rPr>
        <w:t xml:space="preserve">Azura Norden v Small Medium Enterprise Development Bank Malaysia Berhad  </w:t>
      </w:r>
      <w:r>
        <w:rPr>
          <w:rFonts w:ascii="arial" w:eastAsia="arial" w:hAnsi="arial" w:cs="arial"/>
          <w:b w:val="0"/>
          <w:i w:val="0"/>
          <w:strike w:val="0"/>
          <w:noProof w:val="0"/>
          <w:color w:val="000000"/>
          <w:position w:val="0"/>
          <w:sz w:val="24"/>
          <w:u w:val="none"/>
          <w:vertAlign w:val="baseline"/>
        </w:rPr>
        <w:t>[2021] 3 ILR 297, the Company was well within its prerogative to manage the work performance of its employees through PIPs, and there was no breach of fundamental terms of employment. Furthermore, the Company had sufficient basis to place the Claimant on PIP as the Company had found that the Claimant’s performance started deteriorating since the final few months prior to his resignation, where the Claimant was not able to complete his jobs/tasks assigned;</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resignation in this case was with notice, instead of an immediate resignation without notice i.e. the Claimant was still willing to continue serving his notice period and had continued to do so for approximately two weeks after the issuance of his resignation letter dated 2nd October 2021 until the Company actually accepted the resignation and told the Claimant that he need not continue serving his notice period of three months. In this regard, reference was made to Industrial Court case of </w:t>
      </w:r>
      <w:r>
        <w:rPr>
          <w:rFonts w:ascii="arial" w:eastAsia="arial" w:hAnsi="arial" w:cs="arial"/>
          <w:b w:val="0"/>
          <w:i/>
          <w:strike w:val="0"/>
          <w:noProof w:val="0"/>
          <w:color w:val="000000"/>
          <w:position w:val="0"/>
          <w:sz w:val="24"/>
          <w:u w:val="none"/>
          <w:vertAlign w:val="baseline"/>
        </w:rPr>
        <w:t xml:space="preserve">Masitah Mohamad v University College Bestari  </w:t>
      </w:r>
      <w:r>
        <w:rPr>
          <w:rFonts w:ascii="arial" w:eastAsia="arial" w:hAnsi="arial" w:cs="arial"/>
          <w:b w:val="0"/>
          <w:i w:val="0"/>
          <w:strike w:val="0"/>
          <w:noProof w:val="0"/>
          <w:color w:val="000000"/>
          <w:position w:val="0"/>
          <w:sz w:val="24"/>
          <w:u w:val="none"/>
          <w:vertAlign w:val="baseline"/>
        </w:rPr>
        <w:t xml:space="preserve">[2020] ILJU 311; [2021] 1 ILR 157 whereby in the said case the claimant did not walk out immediately but instead gave a one-month notice when she resigned and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the employee must leave the employment immediately for reason of the employer’s breach and for no other cause and it is also important that there is no condonation on the part of the employee; and</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should this Court rule that the Claimant was constructively dismissed, reinstatement is not the appropriate remedy and any compensation granted by this Court (should there be a finding of an unjust dismissal of the Claimant) should be scaled down accordingly, in view of the delay in completion of the hearing of this matter, i.e. approximately two years and six months, which was at no fault of the Company. In this regard, the Company draw support from the Industrial Court cases of </w:t>
      </w:r>
      <w:r>
        <w:rPr>
          <w:rFonts w:ascii="arial" w:eastAsia="arial" w:hAnsi="arial" w:cs="arial"/>
          <w:b w:val="0"/>
          <w:i/>
          <w:strike w:val="0"/>
          <w:noProof w:val="0"/>
          <w:color w:val="000000"/>
          <w:position w:val="0"/>
          <w:sz w:val="24"/>
          <w:u w:val="none"/>
          <w:vertAlign w:val="baseline"/>
        </w:rPr>
        <w:t xml:space="preserve">Hong Leong Bank Bhdv Phung Tze Thiam John Phung  </w:t>
      </w:r>
      <w:r>
        <w:rPr>
          <w:rFonts w:ascii="arial" w:eastAsia="arial" w:hAnsi="arial" w:cs="arial"/>
          <w:b w:val="0"/>
          <w:i w:val="0"/>
          <w:strike w:val="0"/>
          <w:noProof w:val="0"/>
          <w:color w:val="000000"/>
          <w:position w:val="0"/>
          <w:sz w:val="24"/>
          <w:u w:val="none"/>
          <w:vertAlign w:val="baseline"/>
        </w:rPr>
        <w:t xml:space="preserve">[2008] 2 MLJ 785; [2008] 1 LNS 921 and </w:t>
      </w:r>
      <w:r>
        <w:rPr>
          <w:rFonts w:ascii="arial" w:eastAsia="arial" w:hAnsi="arial" w:cs="arial"/>
          <w:b w:val="0"/>
          <w:i/>
          <w:strike w:val="0"/>
          <w:noProof w:val="0"/>
          <w:color w:val="000000"/>
          <w:position w:val="0"/>
          <w:sz w:val="24"/>
          <w:u w:val="none"/>
          <w:vertAlign w:val="baseline"/>
        </w:rPr>
        <w:t xml:space="preserve">Ike Video Distributor Sdn Bhd v Chan Chee Bin  </w:t>
      </w:r>
      <w:r>
        <w:rPr>
          <w:rFonts w:ascii="arial" w:eastAsia="arial" w:hAnsi="arial" w:cs="arial"/>
          <w:b w:val="0"/>
          <w:i w:val="0"/>
          <w:strike w:val="0"/>
          <w:noProof w:val="0"/>
          <w:color w:val="000000"/>
          <w:position w:val="0"/>
          <w:sz w:val="24"/>
          <w:u w:val="none"/>
          <w:vertAlign w:val="baseline"/>
        </w:rPr>
        <w:t>[2004] ILJU 74; [2004] 2 ILR 687.</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Remedies sought by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The Claimant prays that this Court makes such order that he be reinstated to his former position without any loss of wages, allowance, service and seniority, privileges or benefits of any kind and/or such other alternative relief this Court deems fit and proper. The Claimant further prays that any order for back wages include consequential orders that the Company pays all statutory contributions together with interests and/or dividends not limited to the Employment Provident Fund and/or SOCSO as well as interest of 8% per annum on all monetary awards made by this Court.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Role of the Industrial Court, Burden of Proof and Standard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It is noted that the role or function of the Industrial Court has been clearly stated in the following cases:</w:t>
      </w:r>
      <w:r>
        <w:t>
</w:t>
      </w:r>
    </w:p>
    <w:p>
      <w:pPr>
        <w:keepNext w:val="0"/>
        <w:numPr>
          <w:numId w:val="9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Supreme Court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[1988] 1 MLJ 92; [1988] 1 CLJ 45; [1988] 1 CLJ Rep 298, where at p. 302, Salleh Abas LP, in delivering the judgment of the Supreme Court, referring to section 20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said, “</w:t>
      </w:r>
      <w:r>
        <w:rPr>
          <w:rFonts w:ascii="arial" w:eastAsia="arial" w:hAnsi="arial" w:cs="arial"/>
          <w:b w:val="0"/>
          <w:i/>
          <w:strike w:val="0"/>
          <w:noProof w:val="0"/>
          <w:color w:val="000000"/>
          <w:position w:val="0"/>
          <w:sz w:val="24"/>
          <w:u w:val="none"/>
          <w:vertAlign w:val="baseline"/>
        </w:rPr>
        <w:t>When the Industrial Court is dealing with a reference under</w:t>
      </w:r>
      <w:r>
        <w:rPr>
          <w:rFonts w:ascii="arial" w:eastAsia="arial" w:hAnsi="arial" w:cs="arial"/>
          <w:b w:val="0"/>
          <w:i w:val="0"/>
          <w:strike w:val="0"/>
          <w:noProof w:val="0"/>
          <w:color w:val="000000"/>
          <w:position w:val="0"/>
          <w:sz w:val="24"/>
          <w:u w:val="none"/>
          <w:vertAlign w:val="baseline"/>
        </w:rPr>
        <w:t xml:space="preserve"> s. 20, </w:t>
      </w:r>
      <w:r>
        <w:rPr>
          <w:rFonts w:ascii="arial" w:eastAsia="arial" w:hAnsi="arial" w:cs="arial"/>
          <w:b w:val="0"/>
          <w:i/>
          <w:strike w:val="0"/>
          <w:noProof w:val="0"/>
          <w:color w:val="000000"/>
          <w:position w:val="0"/>
          <w:sz w:val="24"/>
          <w:u w:val="none"/>
          <w:vertAlign w:val="baseline"/>
        </w:rPr>
        <w:t>the first thing that the Court will have to do is to ask itself a question whether there was a dismissal, and if so, whether it was with or without just cause or excuse</w:t>
      </w:r>
      <w:r>
        <w:rPr>
          <w:rFonts w:ascii="arial" w:eastAsia="arial" w:hAnsi="arial" w:cs="arial"/>
          <w:b w:val="0"/>
          <w:i w:val="0"/>
          <w:strike w:val="0"/>
          <w:noProof w:val="0"/>
          <w:color w:val="000000"/>
          <w:position w:val="0"/>
          <w:sz w:val="24"/>
          <w:u w:val="none"/>
          <w:vertAlign w:val="baseline"/>
        </w:rPr>
        <w:t xml:space="preserve"> “; and</w:t>
      </w:r>
    </w:p>
    <w:p>
      <w:pPr>
        <w:keepNext w:val="0"/>
        <w:numPr>
          <w:numId w:val="9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in the case of </w:t>
      </w:r>
      <w:r>
        <w:rPr>
          <w:rFonts w:ascii="arial" w:eastAsia="arial" w:hAnsi="arial" w:cs="arial"/>
          <w:b w:val="0"/>
          <w:i/>
          <w:strike w:val="0"/>
          <w:noProof w:val="0"/>
          <w:color w:val="000000"/>
          <w:position w:val="0"/>
          <w:sz w:val="24"/>
          <w:u w:val="none"/>
          <w:vertAlign w:val="baseline"/>
        </w:rPr>
        <w:t xml:space="preserve">Goon Kwee Phoy v J&amp;P Coats (M) Bhd  </w:t>
      </w:r>
      <w:r>
        <w:rPr>
          <w:rFonts w:ascii="arial" w:eastAsia="arial" w:hAnsi="arial" w:cs="arial"/>
          <w:b w:val="0"/>
          <w:i w:val="0"/>
          <w:strike w:val="0"/>
          <w:noProof w:val="0"/>
          <w:color w:val="000000"/>
          <w:position w:val="0"/>
          <w:sz w:val="24"/>
          <w:u w:val="none"/>
          <w:vertAlign w:val="baseline"/>
        </w:rPr>
        <w:t>[1981] 2 MLJ 129; [1981] 1 LNS 30, where His Lordship Raja Azlan Shah, CJ (Malaya) (as HRH then was) stated that “</w:t>
      </w:r>
      <w:r>
        <w:rPr>
          <w:rFonts w:ascii="arial" w:eastAsia="arial" w:hAnsi="arial" w:cs="arial"/>
          <w:b w:val="0"/>
          <w:i/>
          <w:strike w:val="0"/>
          <w:noProof w:val="0"/>
          <w:color w:val="000000"/>
          <w:position w:val="0"/>
          <w:sz w:val="24"/>
          <w:u w:val="none"/>
          <w:vertAlign w:val="baseline"/>
        </w:rPr>
        <w:t>Where representations are made and are referred to the Industrial Court for enquiry, it is the duty of that court to determine whether the termination or dismissal is with or without just cause or excuse. If the employer chooses to give a reason for the action taken by him, the duty of the Industrial Court will be to enquire whether that excuse or reason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It is further noted in cases where a claimant is dismissed by the company, the burden is on the company to proof that the dismissal was with just cause or excuse. In the Industrial Court case of </w:t>
      </w:r>
      <w:r>
        <w:rPr>
          <w:rFonts w:ascii="arial" w:eastAsia="arial" w:hAnsi="arial" w:cs="arial"/>
          <w:b w:val="0"/>
          <w:i/>
          <w:strike w:val="0"/>
          <w:noProof w:val="0"/>
          <w:color w:val="000000"/>
          <w:position w:val="0"/>
          <w:sz w:val="24"/>
          <w:u w:val="none"/>
          <w:vertAlign w:val="baseline"/>
        </w:rPr>
        <w:t xml:space="preserve">Ireka Construction Berhad v Chantiravathan a/l Subramaniam James  </w:t>
      </w:r>
      <w:r>
        <w:rPr>
          <w:rFonts w:ascii="arial" w:eastAsia="arial" w:hAnsi="arial" w:cs="arial"/>
          <w:b w:val="0"/>
          <w:i w:val="0"/>
          <w:strike w:val="0"/>
          <w:noProof w:val="0"/>
          <w:color w:val="000000"/>
          <w:position w:val="0"/>
          <w:sz w:val="24"/>
          <w:u w:val="none"/>
          <w:vertAlign w:val="baseline"/>
        </w:rPr>
        <w:t>[1995] 2 ILR 11, where at p. 15, the Learned Chairman, Her Ladyship Siti Saleha Dato’ Sheikh Abu Bakar, stated “</w:t>
      </w:r>
      <w:r>
        <w:rPr>
          <w:rFonts w:ascii="arial" w:eastAsia="arial" w:hAnsi="arial" w:cs="arial"/>
          <w:b w:val="0"/>
          <w:i/>
          <w:strike w:val="0"/>
          <w:noProof w:val="0"/>
          <w:color w:val="000000"/>
          <w:position w:val="0"/>
          <w:sz w:val="24"/>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the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MLJ 129; [2002] 3 CLJ 314 the Court of Appeal had laid down the principle that the standard of proof that is required to prove a case in the Industrial Court is one that is on the balance of probabilities. His lordship Justice Abdul Hamid Mohamad, JCA stated “</w:t>
      </w:r>
      <w:r>
        <w:rPr>
          <w:rFonts w:ascii="arial" w:eastAsia="arial" w:hAnsi="arial" w:cs="arial"/>
          <w:b w:val="0"/>
          <w:i/>
          <w:strike w:val="0"/>
          <w:noProof w:val="0"/>
          <w:color w:val="000000"/>
          <w:position w:val="0"/>
          <w:sz w:val="24"/>
          <w:u w:val="none"/>
          <w:vertAlign w:val="baseline"/>
        </w:rPr>
        <w:t xml:space="preserve">[t]hus, we can see that the preponderant view is that the Industrial Court, when hearing a claim of unjust dismissal, even where the ground is one of dishonest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including “theft”, is not required to be satisfied beyond reasonable doubt that the employee has “committed the offence”, as in a criminal prosecution. On the other hand, we see that the courts and learned authors have used such terms as “solid and sensible grounds”, “sufficient to measure up to a preponderance of the evidence,” “whether a case... has been made out”, “on the balance of probabilities” and “evidence of probative value”.</w:t>
      </w:r>
    </w:p>
    <w:p>
      <w:pPr>
        <w:keepNext w:val="0"/>
        <w:spacing w:before="0" w:after="0" w:line="300" w:lineRule="atLeast"/>
        <w:ind w:left="0" w:right="0" w:firstLine="0"/>
        <w:jc w:val="both"/>
      </w:pPr>
      <w:r>
        <w:br/>
      </w:r>
      <w:r>
        <w:rPr>
          <w:rFonts w:ascii="arial" w:eastAsia="arial" w:hAnsi="arial" w:cs="arial"/>
          <w:b w:val="0"/>
          <w:i/>
          <w:strike w:val="0"/>
          <w:noProof w:val="0"/>
          <w:color w:val="000000"/>
          <w:position w:val="0"/>
          <w:sz w:val="24"/>
          <w:u w:val="none"/>
          <w:vertAlign w:val="baseline"/>
        </w:rPr>
        <w:t>In our view the passage quoted from Administrative Law by H.W.R. Wade &amp; C.F. Forsyth offers the clearest statement on the standard of proof required, that is the civil standard based on the balance of probabilities, which is flexible, so that the degree of probability required is proportionate to the nature of gravity of the issue. But, again, if we may add, these are not “passwords” that the failure to use them or if some other words are used, the decision is automatically rendered bad in law</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Thus, the role or function of the Industrial Court is to determine whether there was a dismissal and if so whether on the balance of probabilities the said dismissal was with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 to be determined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In order for the Court to determine whether there was a dismissal and if so whether on the balance of probabilities the said dismissal was with just cause or excuse, the critical issue this Court would need to determine is whether there was constructive dismissal of the Claimant’s employment by the Company.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This Court’s Findings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The concept of constructive dismissal and its application to section 20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has been clearly stated by the Supreme Court in the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[1988] 1 MLJ 92; [1988] 1 CLJ 45; [1988] 1 CLJ Rep 298. Salleh Abas LP, at pp. 300 – 302,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In England where this expression originated there had been a great deal of unsettled opinions amongst chairmen of industrial tribunals and also among Judges who sat to hear appeals from those tribunals. According to the Court of Appeal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Western Excavation (ECC) Ltd. v Sharp  </w:t>
      </w:r>
      <w:r>
        <w:rPr>
          <w:rFonts w:ascii="arial" w:eastAsia="arial" w:hAnsi="arial" w:cs="arial"/>
          <w:b w:val="0"/>
          <w:i w:val="0"/>
          <w:strike w:val="0"/>
          <w:noProof w:val="0"/>
          <w:color w:val="000000"/>
          <w:position w:val="0"/>
          <w:sz w:val="18"/>
          <w:u w:val="none"/>
          <w:vertAlign w:val="baseline"/>
        </w:rPr>
        <w:t>[1978] IRLR 27</w:t>
      </w:r>
      <w:r>
        <w:rPr>
          <w:rFonts w:ascii="arial" w:eastAsia="arial" w:hAnsi="arial" w:cs="arial"/>
          <w:b w:val="0"/>
          <w:i/>
          <w:strike w:val="0"/>
          <w:noProof w:val="0"/>
          <w:color w:val="000000"/>
          <w:position w:val="0"/>
          <w:sz w:val="18"/>
          <w:u w:val="none"/>
          <w:vertAlign w:val="baseline"/>
        </w:rPr>
        <w:t>, it means no more than the common law right of an employee to repudiate his contract of service where the conduct of his employer is such that the latter is guilty of a breach going to the root of the contract or where he has evinced an intention no longer to be bound by the contract. In such situations the employee is entitled to regard himself as being dismissed and walk out of his employment.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 </w:t>
      </w:r>
      <w:r>
        <w:rPr>
          <w:rFonts w:ascii="arial" w:eastAsia="arial" w:hAnsi="arial" w:cs="arial"/>
          <w:b w:val="0"/>
          <w:i/>
          <w:strike w:val="0"/>
          <w:noProof w:val="0"/>
          <w:color w:val="000000"/>
          <w:position w:val="0"/>
          <w:sz w:val="18"/>
          <w:u w:val="none"/>
          <w:vertAlign w:val="baseline"/>
        </w:rPr>
        <w:t>the first thing that the Court will have to do is to ask itself a question whether there was a dismissal, and if so, whether it was with or without just cause or excuse. ... We think that the word “dismissal” in this section should be interpreted with reference to the common law principle. Thus it would be a dismissal if an employer is guilty of a breach which goes to the root of the contract or if he has evinced an intention no longer to be bound by it. In such situation the employee is entitled to regard the contract as terminated and himself as being dismissed.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Bouzourou v The Ottoman Bank  </w:t>
      </w:r>
      <w:r>
        <w:rPr>
          <w:rFonts w:ascii="arial" w:eastAsia="arial" w:hAnsi="arial" w:cs="arial"/>
          <w:b w:val="0"/>
          <w:i w:val="0"/>
          <w:strike w:val="0"/>
          <w:noProof w:val="0"/>
          <w:color w:val="000000"/>
          <w:position w:val="0"/>
          <w:sz w:val="18"/>
          <w:u w:val="none"/>
          <w:vertAlign w:val="baseline"/>
        </w:rPr>
        <w:t xml:space="preserve">[1930] AC 271 and </w:t>
      </w:r>
      <w:r>
        <w:rPr>
          <w:rFonts w:ascii="arial" w:eastAsia="arial" w:hAnsi="arial" w:cs="arial"/>
          <w:b w:val="0"/>
          <w:i/>
          <w:strike w:val="0"/>
          <w:noProof w:val="0"/>
          <w:color w:val="000000"/>
          <w:position w:val="0"/>
          <w:sz w:val="18"/>
          <w:u w:val="none"/>
          <w:vertAlign w:val="baseline"/>
        </w:rPr>
        <w:t xml:space="preserve">Donovan v Invicta Airways Ltd.  </w:t>
      </w:r>
      <w:r>
        <w:rPr>
          <w:rFonts w:ascii="arial" w:eastAsia="arial" w:hAnsi="arial" w:cs="arial"/>
          <w:b w:val="0"/>
          <w:i w:val="0"/>
          <w:strike w:val="0"/>
          <w:noProof w:val="0"/>
          <w:color w:val="000000"/>
          <w:position w:val="0"/>
          <w:sz w:val="18"/>
          <w:u w:val="none"/>
          <w:vertAlign w:val="baseline"/>
        </w:rPr>
        <w:t>[1970] Lloyd’s LR 486</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The applicable test as regards constructive dismissal, i.e. the contract test, has also been laid down by the Supreme Court in the abovementioned case of </w:t>
      </w:r>
      <w:r>
        <w:rPr>
          <w:rFonts w:ascii="arial" w:eastAsia="arial" w:hAnsi="arial" w:cs="arial"/>
          <w:b w:val="0"/>
          <w:i/>
          <w:strike w:val="0"/>
          <w:noProof w:val="0"/>
          <w:color w:val="000000"/>
          <w:position w:val="0"/>
          <w:sz w:val="24"/>
          <w:u w:val="none"/>
          <w:vertAlign w:val="baseline"/>
        </w:rPr>
        <w:t>Wong Chee Hong v Cathay Organization (M) Sdn Bhd</w:t>
      </w:r>
      <w:r>
        <w:rPr>
          <w:rFonts w:ascii="arial" w:eastAsia="arial" w:hAnsi="arial" w:cs="arial"/>
          <w:b w:val="0"/>
          <w:i w:val="0"/>
          <w:strike w:val="0"/>
          <w:noProof w:val="0"/>
          <w:color w:val="000000"/>
          <w:position w:val="0"/>
          <w:sz w:val="24"/>
          <w:u w:val="none"/>
          <w:vertAlign w:val="baseline"/>
        </w:rPr>
        <w:t xml:space="preserve"> . Salleh Abas LP, at pp. 301 – 302,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common law has always recognized the right of an employee to terminate his contract of service and therefore to consider himself as discharged from further obligations if the employer is guilty of such breach as affects the foundation of the contract or if the employer has evinced or shown an intention not to be bound by it any longer. It was an attempt to enlarge the right of the employee of unilateral termination of his contract beyond the perimeter of the common law by an unreasonable conduct of his employer that the expression “constructive dismissal” was used. ... But many thought, and a few decisions were made, that an employee in addition to his common law right could terminate the contract if his employer acted unreasonably. Lord Denning MR, with whom the other two Lord Justices in the case of Western Excavation (supra) reiterating an earlier decision of the Court of Appeal presided by him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Marriott v Oxford and District Co-operative Society Ltd.  </w:t>
      </w:r>
      <w:r>
        <w:rPr>
          <w:rFonts w:ascii="arial" w:eastAsia="arial" w:hAnsi="arial" w:cs="arial"/>
          <w:b w:val="0"/>
          <w:i w:val="0"/>
          <w:strike w:val="0"/>
          <w:noProof w:val="0"/>
          <w:color w:val="000000"/>
          <w:position w:val="0"/>
          <w:sz w:val="18"/>
          <w:u w:val="none"/>
          <w:vertAlign w:val="baseline"/>
        </w:rPr>
        <w:t>[1969] 3 All ER 1126</w:t>
      </w:r>
      <w:r>
        <w:rPr>
          <w:rFonts w:ascii="arial" w:eastAsia="arial" w:hAnsi="arial" w:cs="arial"/>
          <w:b w:val="0"/>
          <w:i/>
          <w:strike w:val="0"/>
          <w:noProof w:val="0"/>
          <w:color w:val="000000"/>
          <w:position w:val="0"/>
          <w:sz w:val="18"/>
          <w:u w:val="none"/>
          <w:vertAlign w:val="baseline"/>
        </w:rPr>
        <w:t>) rejected this test of unreasonableness. In no uncertain terms the learned Master of the Rolls declared that the test of dismissal … is a contract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Thus it is clear that even in England, “constructive dismissal” does not mean that an employee can automatically terminate the contract when his employer acts or behaves unreasonably towards him. Indeed if it were so, it is dangerous and can lead to abuse and unsettled industrial relation. ... What is left of the expression is now no more than the employee’s right under the common law, which we have stated earlier and goes no further. Alternative expression with the same meaning, such as “implied dismissal” or even “circumstantial dismissal” may well be coined and used. But all these could not go beyond the common law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When the Industrial Court is dealing with a reference under </w:t>
      </w:r>
      <w:r>
        <w:rPr>
          <w:rFonts w:ascii="arial" w:eastAsia="arial" w:hAnsi="arial" w:cs="arial"/>
          <w:b w:val="0"/>
          <w:i w:val="0"/>
          <w:strike w:val="0"/>
          <w:noProof w:val="0"/>
          <w:color w:val="000000"/>
          <w:position w:val="0"/>
          <w:sz w:val="18"/>
          <w:u w:val="none"/>
          <w:vertAlign w:val="baseline"/>
        </w:rPr>
        <w:t xml:space="preserve">s. 20, the first thing that the Court will have to do is to ask itself a question whether there was a dismissal, and if so, whether it was with or without just cause or excuse. Dismissal without just cause or excuse may well be similar in concepts to the UK legislation on unfair dismissal, but these two are not exactly identical. Section 20 of our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is entirely different from para. (c) of s. 55(2) of the UK Protection of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1978. Therefore we cannot see how the test of unreasonableness which is the basis of the much advocated concept of constructive dismissal by a certain school of thought in UK should be introduced as an aid to the interpretation of the word “dismissal” in our s. 20. </w:t>
      </w:r>
      <w:r>
        <w:rPr>
          <w:rFonts w:ascii="arial" w:eastAsia="arial" w:hAnsi="arial" w:cs="arial"/>
          <w:b w:val="0"/>
          <w:i/>
          <w:strike w:val="0"/>
          <w:noProof w:val="0"/>
          <w:color w:val="000000"/>
          <w:position w:val="0"/>
          <w:sz w:val="18"/>
          <w:u w:val="none"/>
          <w:vertAlign w:val="baseline"/>
        </w:rPr>
        <w:t>We think that the word “dismissal” in this section should be interpreted with reference to the common law principle.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Thus it would be a dismissal if an employer is guilty of a breach which goes to the </w:t>
      </w:r>
      <w:r>
        <w:rPr>
          <w:rFonts w:ascii="arial" w:eastAsia="arial" w:hAnsi="arial" w:cs="arial"/>
          <w:b/>
          <w:i/>
          <w:strike w:val="0"/>
          <w:noProof w:val="0"/>
          <w:color w:val="000000"/>
          <w:position w:val="0"/>
          <w:sz w:val="18"/>
          <w:u w:val="single"/>
          <w:vertAlign w:val="baseline"/>
        </w:rPr>
        <w:t>root of the contract</w:t>
      </w:r>
      <w:r>
        <w:rPr>
          <w:rFonts w:ascii="arial" w:eastAsia="arial" w:hAnsi="arial" w:cs="arial"/>
          <w:b w:val="0"/>
          <w:i/>
          <w:strike w:val="0"/>
          <w:noProof w:val="0"/>
          <w:color w:val="000000"/>
          <w:position w:val="0"/>
          <w:sz w:val="18"/>
          <w:u w:val="single"/>
          <w:vertAlign w:val="baseline"/>
        </w:rPr>
        <w:t xml:space="preserve"> or if he </w:t>
      </w:r>
      <w:r>
        <w:rPr>
          <w:rFonts w:ascii="arial" w:eastAsia="arial" w:hAnsi="arial" w:cs="arial"/>
          <w:b/>
          <w:i/>
          <w:strike w:val="0"/>
          <w:noProof w:val="0"/>
          <w:color w:val="000000"/>
          <w:position w:val="0"/>
          <w:sz w:val="18"/>
          <w:u w:val="single"/>
          <w:vertAlign w:val="baseline"/>
        </w:rPr>
        <w:t>has evincedan intention no longer to be bound by it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In such situation the employee is entitled to regard the contract a sterm in atedand himself as being dismissed.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Bouzourou v The Ottoman Bank  </w:t>
      </w:r>
      <w:r>
        <w:rPr>
          <w:rFonts w:ascii="arial" w:eastAsia="arial" w:hAnsi="arial" w:cs="arial"/>
          <w:b w:val="0"/>
          <w:i w:val="0"/>
          <w:strike w:val="0"/>
          <w:noProof w:val="0"/>
          <w:color w:val="000000"/>
          <w:position w:val="0"/>
          <w:sz w:val="18"/>
          <w:u w:val="none"/>
          <w:vertAlign w:val="baseline"/>
        </w:rPr>
        <w:t xml:space="preserve">[1930] AC 271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Donovan v Invicta Airways Ltd.  </w:t>
      </w:r>
      <w:r>
        <w:rPr>
          <w:rFonts w:ascii="arial" w:eastAsia="arial" w:hAnsi="arial" w:cs="arial"/>
          <w:b w:val="0"/>
          <w:i w:val="0"/>
          <w:strike w:val="0"/>
          <w:noProof w:val="0"/>
          <w:color w:val="000000"/>
          <w:position w:val="0"/>
          <w:sz w:val="18"/>
          <w:u w:val="none"/>
          <w:vertAlign w:val="baseline"/>
        </w:rPr>
        <w:t>[1970] Lloyd’s LR 486</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The contract test has been applied by the courts in Malaysia for purposes of constructive dismissal cases including by the Court of Appeal in the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 xml:space="preserve"> [2023] MLJU 1865; [2023] 4 ILR 1 whereby S Nantha Balan JCA, at pp. 7 – 10,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[11] In Malaysia, the concept of “constructive dismissal” was given judicial recognition by the then Supreme Court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Wong Chee Hong v Cathay Organization (M) Sdn Bhd  </w:t>
      </w:r>
      <w:r>
        <w:rPr>
          <w:rFonts w:ascii="arial" w:eastAsia="arial" w:hAnsi="arial" w:cs="arial"/>
          <w:b w:val="0"/>
          <w:i w:val="0"/>
          <w:strike w:val="0"/>
          <w:noProof w:val="0"/>
          <w:color w:val="000000"/>
          <w:position w:val="0"/>
          <w:sz w:val="18"/>
          <w:u w:val="none"/>
          <w:vertAlign w:val="baseline"/>
        </w:rPr>
        <w:t>[1988] 1 CLJ 45; ; [1988] 1 CLJ (Rep) 298; ; [1988] 1 MLJ 92, ; [1987] 1 MLRA 346 (SC)</w:t>
      </w:r>
      <w:r>
        <w:rPr>
          <w:rFonts w:ascii="arial" w:eastAsia="arial" w:hAnsi="arial" w:cs="arial"/>
          <w:b w:val="0"/>
          <w:i/>
          <w:strike w:val="0"/>
          <w:noProof w:val="0"/>
          <w:color w:val="000000"/>
          <w:position w:val="0"/>
          <w:sz w:val="18"/>
          <w:u w:val="none"/>
          <w:vertAlign w:val="baseline"/>
        </w:rPr>
        <w:t xml:space="preserve"> (“ Wong Chee Hong”).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[14]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Bayer (M) Sdn Bhd v Anwar Abd Rahim  </w:t>
      </w:r>
      <w:r>
        <w:rPr>
          <w:rFonts w:ascii="arial" w:eastAsia="arial" w:hAnsi="arial" w:cs="arial"/>
          <w:b w:val="0"/>
          <w:i w:val="0"/>
          <w:strike w:val="0"/>
          <w:noProof w:val="0"/>
          <w:color w:val="000000"/>
          <w:position w:val="0"/>
          <w:sz w:val="18"/>
          <w:u w:val="none"/>
          <w:vertAlign w:val="baseline"/>
        </w:rPr>
        <w:t>[1996] 2 CLJ 49; ; [1995] MLJU 558 (HC)</w:t>
      </w:r>
      <w:r>
        <w:rPr>
          <w:rFonts w:ascii="arial" w:eastAsia="arial" w:hAnsi="arial" w:cs="arial"/>
          <w:b w:val="0"/>
          <w:i/>
          <w:strike w:val="0"/>
          <w:noProof w:val="0"/>
          <w:color w:val="000000"/>
          <w:position w:val="0"/>
          <w:sz w:val="18"/>
          <w:u w:val="none"/>
          <w:vertAlign w:val="baseline"/>
        </w:rPr>
        <w:t>, Low Hop Bing JC (as he then was) applied the principle that was enunciated in Wong Chee Hong (supra) and reiterated that the test in a constructive dismissal case is not the “test of unreasonableness”, but the “contract test”. The learned judge rendered a lucid explanation on the test and the conditions which must be fulfilled in the following words (pp. 52 to 53 of the CLJ report):</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In my judgment, in order to succeed in a claim for constructive dismissal, the employee must prove to the satisfaction of the Court that the employer is guilty of a breach which goes to the root of the contract or if the employer has evinced an intention no longer to be bound by it. It is only in such a situation that the employee is entitled to regard the contract as terminated and treat himself as being dismissed. Constructive dismissal does not mean that an employee can automatically terminate the contract when his employer acts or behaves unreasonably towards him. Indeed, if it were so, it is dangerous and can lead to abuse and unsettled industrial relations. Thus, it is settled law that the test applicable in a constructive dismissal case is “the contract test” and not “the test of reasonableness”. To claim constructive dismissal, four conditions must be fulfilled. These conditions are:</w:t>
      </w:r>
      <w:r>
        <w:t>
</w:t>
      </w:r>
    </w:p>
    <w:p>
      <w:pPr>
        <w:keepNext w:val="0"/>
        <w:numPr>
          <w:numId w:val="97"/>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There must be a breach of contract by the employer;</w:t>
      </w:r>
    </w:p>
    <w:p>
      <w:pPr>
        <w:keepNext w:val="0"/>
        <w:numPr>
          <w:numId w:val="98"/>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 breach must be sufficiently important to justify the employee resigning;</w:t>
      </w:r>
    </w:p>
    <w:p>
      <w:pPr>
        <w:keepNext w:val="0"/>
        <w:numPr>
          <w:numId w:val="99"/>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 employee must leave in response to the breach and not for any other unconnected reasons; and</w:t>
      </w:r>
    </w:p>
    <w:p>
      <w:pPr>
        <w:keepNext w:val="0"/>
        <w:numPr>
          <w:numId w:val="100"/>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He must not occasion any undue delay in terminating the contract, otherwise he will be deemed to have waived the breach and agreed to vary the contract…</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[15]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Anwar Abdul Rahim v Bayer (M) Sdn Bhd  </w:t>
      </w:r>
      <w:r>
        <w:rPr>
          <w:rFonts w:ascii="arial" w:eastAsia="arial" w:hAnsi="arial" w:cs="arial"/>
          <w:b w:val="0"/>
          <w:i w:val="0"/>
          <w:strike w:val="0"/>
          <w:noProof w:val="0"/>
          <w:color w:val="000000"/>
          <w:position w:val="0"/>
          <w:sz w:val="18"/>
          <w:u w:val="none"/>
          <w:vertAlign w:val="baseline"/>
        </w:rPr>
        <w:t>[1998] 2 CLJ 197; ; [1998] 2 MLJ 599 (CA)</w:t>
      </w:r>
      <w:r>
        <w:rPr>
          <w:rFonts w:ascii="arial" w:eastAsia="arial" w:hAnsi="arial" w:cs="arial"/>
          <w:b w:val="0"/>
          <w:i/>
          <w:strike w:val="0"/>
          <w:noProof w:val="0"/>
          <w:color w:val="000000"/>
          <w:position w:val="0"/>
          <w:sz w:val="18"/>
          <w:u w:val="none"/>
          <w:vertAlign w:val="baseline"/>
        </w:rPr>
        <w:t>, Mahadev Shankar JCA affirmed the decision of the High Court and reiterated that the test for constructive dismissal is the “contract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[16] At p. 205 (CLJ); pp. 605 to 606 of the MLJ report Justice Shankar said:</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It has been repeatedly held by our courts that the proper approach in deciding whether constructive dismissal has taken place is not to ask oneself whether the employer’s conduct was unfair or unreasonable (the unreasonableness test) but whether “the conduct of the employer was such that the employer was guilty of a breach going to the root of the contract or whether he has evinced an intention no longer to be bound by the contract”.</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[18] From the perspective of the “contract test”, constructive dismissal is essentially and conceptually predicated on the employer’s unilateral variation of the contract of employment which amounts to a fundamental breach and regarded as conduct which is repudiatory of the contract of employment, entitling the employee to walk out and claim that he had been constructively dismissed.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[19] Thus, two questions arise for consideration in determining whether a claim based on constructive dismissal can succeed. The first question is - did the employer’s conduct amount to a breach of the contract of employment going to the root of the contract, (ie, “fundamental breach”)? The second question is - did the employee make up his mind and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at the appropriate point in time soon after the conduct of which he had complained had taken place? This takes us to the question of delay on the part of the employee.</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Thus, based on the abovementioned cases, in a constructive dismissal case, such as the present case, the burden is on the Claimant to proof that on the balance of probabilities, based on the contract test, he has been constructively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xml:space="preserve">  As per the conditions laid down in the case of </w:t>
      </w:r>
      <w:r>
        <w:rPr>
          <w:rFonts w:ascii="arial" w:eastAsia="arial" w:hAnsi="arial" w:cs="arial"/>
          <w:b w:val="0"/>
          <w:i/>
          <w:strike w:val="0"/>
          <w:noProof w:val="0"/>
          <w:color w:val="000000"/>
          <w:position w:val="0"/>
          <w:sz w:val="24"/>
          <w:u w:val="none"/>
          <w:vertAlign w:val="baseline"/>
        </w:rPr>
        <w:t xml:space="preserve">Bayer (M) Sdn Bhd v Anwar Abd Rahim  </w:t>
      </w:r>
      <w:r>
        <w:rPr>
          <w:rFonts w:ascii="arial" w:eastAsia="arial" w:hAnsi="arial" w:cs="arial"/>
          <w:b w:val="0"/>
          <w:i w:val="0"/>
          <w:strike w:val="0"/>
          <w:noProof w:val="0"/>
          <w:color w:val="000000"/>
          <w:position w:val="0"/>
          <w:sz w:val="24"/>
          <w:u w:val="none"/>
          <w:vertAlign w:val="baseline"/>
        </w:rPr>
        <w:t>[1995] MLJU 558; [1996] 2 CLJ 49, the Claimant would have to fulfill the following four conditions –</w:t>
      </w:r>
      <w:r>
        <w:t>
</w:t>
      </w:r>
    </w:p>
    <w:p>
      <w:pPr>
        <w:keepNext w:val="0"/>
        <w:numPr>
          <w:numId w:val="10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breach of the terms of the letter of appointment dated 23 rd October 2002 by the Company;</w:t>
      </w:r>
    </w:p>
    <w:p>
      <w:pPr>
        <w:keepNext w:val="0"/>
        <w:numPr>
          <w:numId w:val="10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breach must be sufficiently important to justify the Claimant’s claim of constructive dismissal;</w:t>
      </w:r>
    </w:p>
    <w:p>
      <w:pPr>
        <w:keepNext w:val="0"/>
        <w:numPr>
          <w:numId w:val="10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left his employment in response to the breach and not for any other unconnected reasons; and</w:t>
      </w:r>
    </w:p>
    <w:p>
      <w:pPr>
        <w:keepNext w:val="0"/>
        <w:numPr>
          <w:numId w:val="10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no undue delay on the part of the Claimant in leaving his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Having considered the evidence given by the Claimant and the Company as well as the Bundles of Documents and submissions of both the Claimant and the Company, this Court finds that in relation to the Claimant’s salary –</w:t>
      </w:r>
      <w:r>
        <w:t>
</w:t>
      </w:r>
    </w:p>
    <w:p>
      <w:pPr>
        <w:keepNext w:val="0"/>
        <w:numPr>
          <w:numId w:val="10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admitted that the Claimant’s salary was increased every year even though the Company contended that it was not obliged under the Claimant’s terms of employment to do so as such increments are always subject to the discretion of the Company;</w:t>
      </w:r>
    </w:p>
    <w:p>
      <w:pPr>
        <w:keepNext w:val="0"/>
        <w:numPr>
          <w:numId w:val="10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3rd October 2019, the Company had promised that the Claimant’s salary would be adjusted in April 2020 . The said email was in reply to an email sent by the Claimant on 30th September 2019. However, no such adjustment was made to the Claimant’s salary;</w:t>
      </w:r>
    </w:p>
    <w:p>
      <w:pPr>
        <w:keepNext w:val="0"/>
        <w:numPr>
          <w:numId w:val="10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terms and conditions of the Claimant’s employment are as follows – </w:t>
      </w:r>
    </w:p>
    <w:p>
      <w:pPr>
        <w:keepNext w:val="0"/>
        <w:numPr>
          <w:numId w:val="10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Letter of Offer dated 4th April 2006 stipulates that Annual Increments/Bonuses are non-contractual and depends on the employee’s performance and the performance of the company as well as applicable to those who have been confirmed and pro-rated to the period of service;</w:t>
      </w:r>
    </w:p>
    <w:p>
      <w:pPr>
        <w:keepNext w:val="0"/>
        <w:numPr>
          <w:numId w:val="10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upon the Company’s acquisition by Linde Group and its transformation from Eastern Oxygen Industries Sdn Bhd to Linde EOX Sdn. Bhd, the revised terms and conditions of the Claimant’s employment as stipulated in the Company’s Letter dated 1st January 2013 provide,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[p]ursuant to the harmonization of HR policies and terms and conditions of service, the Company is pleased to advise that on an overall basis,</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 xml:space="preserve">the harmonized terms and conditions of services are </w:t>
      </w:r>
      <w:r>
        <w:rPr>
          <w:rFonts w:ascii="arial" w:eastAsia="arial" w:hAnsi="arial" w:cs="arial"/>
          <w:b/>
          <w:i/>
          <w:strike w:val="0"/>
          <w:noProof w:val="0"/>
          <w:color w:val="000000"/>
          <w:position w:val="0"/>
          <w:sz w:val="24"/>
          <w:u w:val="single"/>
          <w:vertAlign w:val="baseline"/>
        </w:rPr>
        <w:t>more favourable</w:t>
      </w:r>
      <w:r>
        <w:rPr>
          <w:rFonts w:ascii="arial" w:eastAsia="arial" w:hAnsi="arial" w:cs="arial"/>
          <w:b w:val="0"/>
          <w:i w:val="0"/>
          <w:strike w:val="0"/>
          <w:noProof w:val="0"/>
          <w:color w:val="000000"/>
          <w:position w:val="0"/>
          <w:sz w:val="24"/>
          <w:u w:val="single"/>
          <w:vertAlign w:val="baseline"/>
        </w:rPr>
        <w:t xml:space="preserve"> than your current terms and conditions of service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 The said</w:t>
      </w:r>
      <w:r>
        <w:rPr>
          <w:rFonts w:ascii="arial" w:eastAsia="arial" w:hAnsi="arial" w:cs="arial"/>
          <w:b w:val="0"/>
          <w:i w:val="0"/>
          <w:strike w:val="0"/>
          <w:noProof w:val="0"/>
          <w:color w:val="000000"/>
          <w:position w:val="0"/>
          <w:sz w:val="24"/>
          <w:u w:val="none"/>
          <w:vertAlign w:val="baseline"/>
        </w:rPr>
        <w:t xml:space="preserve"> letter further stipulates in item no. 4 – “</w:t>
      </w:r>
      <w:r>
        <w:rPr>
          <w:rFonts w:ascii="arial" w:eastAsia="arial" w:hAnsi="arial" w:cs="arial"/>
          <w:b w:val="0"/>
          <w:i/>
          <w:strike w:val="0"/>
          <w:noProof w:val="0"/>
          <w:color w:val="000000"/>
          <w:position w:val="0"/>
          <w:sz w:val="24"/>
          <w:u w:val="none"/>
          <w:vertAlign w:val="baseline"/>
        </w:rPr>
        <w:t>Benefits &amp; Performance Bonuses</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the following terms and conditions –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You shall be eligible for all benefits that the Company provides for all permanent employees (according to your grade level) of the company and also discretionary performance bonuses. An abridged version of the benefits as per Appendix A is enclosed …</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Please note that any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discretionary bonus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entitlements are subject to the rules of the relevant bonus scheme…</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Please note that benefits,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salary scales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and performance bonuses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are reviewed periodically and subject to change from time to time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and</w:t>
      </w:r>
      <w:r>
        <w:t>
</w:t>
      </w:r>
    </w:p>
    <w:p>
      <w:pPr>
        <w:keepNext w:val="0"/>
        <w:numPr>
          <w:numId w:val="10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Contract of Employment dated 1st October 2015 also contains provisions relating to “</w:t>
      </w:r>
      <w:r>
        <w:rPr>
          <w:rFonts w:ascii="arial" w:eastAsia="arial" w:hAnsi="arial" w:cs="arial"/>
          <w:b w:val="0"/>
          <w:i/>
          <w:strike w:val="0"/>
          <w:noProof w:val="0"/>
          <w:color w:val="000000"/>
          <w:position w:val="0"/>
          <w:sz w:val="24"/>
          <w:u w:val="none"/>
          <w:vertAlign w:val="baseline"/>
        </w:rPr>
        <w:t>Benefits &amp; Performance Bonuses</w:t>
      </w:r>
      <w:r>
        <w:rPr>
          <w:rFonts w:ascii="arial" w:eastAsia="arial" w:hAnsi="arial" w:cs="arial"/>
          <w:b w:val="0"/>
          <w:i w:val="0"/>
          <w:strike w:val="0"/>
          <w:noProof w:val="0"/>
          <w:color w:val="000000"/>
          <w:position w:val="0"/>
          <w:sz w:val="24"/>
          <w:u w:val="none"/>
          <w:vertAlign w:val="baseline"/>
        </w:rPr>
        <w:t>” which are essentially word for word with item no. 4 of the Company’s Letter dated 1st January 2013. Notwithstanding the fact that the said provisions further make reference to an abridged version of the benefits appended as per Appendix A, a copy of the said Appendix A is not appended to the Bundle of Documents; and</w:t>
      </w:r>
    </w:p>
    <w:p>
      <w:pPr>
        <w:keepNext w:val="0"/>
        <w:numPr>
          <w:numId w:val="10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based on the terms and conditions of the Claimant’s employment – </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salary increments prior to the Company’s acquisition by Linde Group and its transformation from Eastern Oxygen Industries Sdn Bhd to Linde EOX Sdn. Bhd, i.e. as per the Letter of Offer dated 4th April 2006, were non-contractual and depended on the employee’s performance;</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clear that upon the Company’s acquisition by Linde Group and its transformation from Eastern Oxygen Industries Sdn Bhd to Linde EOX Sdn. Bhd, the Claimant’s terms and conditions of service as stipulated in the Company’s Letter dated 1st January 2013 were </w:t>
      </w:r>
      <w:r>
        <w:rPr>
          <w:rFonts w:ascii="arial" w:eastAsia="arial" w:hAnsi="arial" w:cs="arial"/>
          <w:b w:val="0"/>
          <w:i w:val="0"/>
          <w:strike w:val="0"/>
          <w:noProof w:val="0"/>
          <w:color w:val="000000"/>
          <w:position w:val="0"/>
          <w:sz w:val="24"/>
          <w:u w:val="single"/>
          <w:vertAlign w:val="baseline"/>
        </w:rPr>
        <w:t>more favourable</w:t>
      </w:r>
      <w:r>
        <w:rPr>
          <w:rFonts w:ascii="arial" w:eastAsia="arial" w:hAnsi="arial" w:cs="arial"/>
          <w:b w:val="0"/>
          <w:i w:val="0"/>
          <w:strike w:val="0"/>
          <w:noProof w:val="0"/>
          <w:color w:val="000000"/>
          <w:position w:val="0"/>
          <w:sz w:val="24"/>
          <w:u w:val="none"/>
          <w:vertAlign w:val="baseline"/>
        </w:rPr>
        <w:t xml:space="preserve"> than the terms and conditions of service contained in the Letter of Offer dated 4th April 2006;</w:t>
      </w:r>
    </w:p>
    <w:p>
      <w:pPr>
        <w:keepNext w:val="0"/>
        <w:numPr>
          <w:numId w:val="10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Letter dated 1st January 2013 and the Contract of Employment dated 1st October 2015 </w:t>
      </w:r>
      <w:r>
        <w:rPr>
          <w:rFonts w:ascii="arial" w:eastAsia="arial" w:hAnsi="arial" w:cs="arial"/>
          <w:b w:val="0"/>
          <w:i w:val="0"/>
          <w:strike w:val="0"/>
          <w:noProof w:val="0"/>
          <w:color w:val="000000"/>
          <w:position w:val="0"/>
          <w:sz w:val="24"/>
          <w:u w:val="single"/>
          <w:vertAlign w:val="baseline"/>
        </w:rPr>
        <w:t>do not contain provision to the effect that salary increments are non-contractual</w:t>
      </w:r>
      <w:r>
        <w:rPr>
          <w:rFonts w:ascii="arial" w:eastAsia="arial" w:hAnsi="arial" w:cs="arial"/>
          <w:b w:val="0"/>
          <w:i w:val="0"/>
          <w:strike w:val="0"/>
          <w:noProof w:val="0"/>
          <w:color w:val="000000"/>
          <w:position w:val="0"/>
          <w:sz w:val="24"/>
          <w:u w:val="none"/>
          <w:vertAlign w:val="baseline"/>
        </w:rPr>
        <w:t xml:space="preserve"> and depended on the employee’s performance. Instead, as stipulated in the Company’s Letter dated 1st January 2013 and the Contract of Employment dated 1st October 2015 the </w:t>
      </w:r>
      <w:r>
        <w:rPr>
          <w:rFonts w:ascii="arial" w:eastAsia="arial" w:hAnsi="arial" w:cs="arial"/>
          <w:b w:val="0"/>
          <w:i w:val="0"/>
          <w:strike w:val="0"/>
          <w:noProof w:val="0"/>
          <w:color w:val="000000"/>
          <w:position w:val="0"/>
          <w:sz w:val="24"/>
          <w:u w:val="single"/>
          <w:vertAlign w:val="baseline"/>
        </w:rPr>
        <w:t>salary scales are reviewed periodically</w:t>
      </w:r>
      <w:r>
        <w:rPr>
          <w:rFonts w:ascii="arial" w:eastAsia="arial" w:hAnsi="arial" w:cs="arial"/>
          <w:b w:val="0"/>
          <w:i w:val="0"/>
          <w:strike w:val="0"/>
          <w:noProof w:val="0"/>
          <w:color w:val="000000"/>
          <w:position w:val="0"/>
          <w:sz w:val="24"/>
          <w:u w:val="none"/>
          <w:vertAlign w:val="baseline"/>
        </w:rPr>
        <w:t xml:space="preserve"> and subject to change from time to time;</w:t>
      </w:r>
    </w:p>
    <w:p>
      <w:pPr>
        <w:keepNext w:val="0"/>
        <w:numPr>
          <w:numId w:val="10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addition, the Company’s Letter dated 1st January 2013 and the Contract of Employment dated 1st October 2015 merely provide that </w:t>
      </w:r>
      <w:r>
        <w:rPr>
          <w:rFonts w:ascii="arial" w:eastAsia="arial" w:hAnsi="arial" w:cs="arial"/>
          <w:b/>
          <w:i w:val="0"/>
          <w:strike w:val="0"/>
          <w:noProof w:val="0"/>
          <w:color w:val="000000"/>
          <w:position w:val="0"/>
          <w:sz w:val="24"/>
          <w:u w:val="single"/>
          <w:vertAlign w:val="baseline"/>
        </w:rPr>
        <w:t>bonuses</w:t>
      </w:r>
      <w:r>
        <w:rPr>
          <w:rFonts w:ascii="arial" w:eastAsia="arial" w:hAnsi="arial" w:cs="arial"/>
          <w:b w:val="0"/>
          <w:i w:val="0"/>
          <w:strike w:val="0"/>
          <w:noProof w:val="0"/>
          <w:color w:val="000000"/>
          <w:position w:val="0"/>
          <w:sz w:val="24"/>
          <w:u w:val="single"/>
          <w:vertAlign w:val="baseline"/>
        </w:rPr>
        <w:t xml:space="preserve"> are discretionary</w:t>
      </w:r>
      <w:r>
        <w:rPr>
          <w:rFonts w:ascii="arial" w:eastAsia="arial" w:hAnsi="arial" w:cs="arial"/>
          <w:b w:val="0"/>
          <w:i w:val="0"/>
          <w:strike w:val="0"/>
          <w:noProof w:val="0"/>
          <w:color w:val="000000"/>
          <w:position w:val="0"/>
          <w:sz w:val="24"/>
          <w:u w:val="none"/>
          <w:vertAlign w:val="baseline"/>
        </w:rPr>
        <w:t>; and</w:t>
      </w:r>
    </w:p>
    <w:p>
      <w:pPr>
        <w:keepNext w:val="0"/>
        <w:numPr>
          <w:numId w:val="1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view of the abovementioned considerations and the fact that prior to 2019 the Company had given the Claimant his annual salary increments, this Court finds the Company’s submission that the Company was not obliged to increase the Claimant’s salary as such increments were always subject to the discretion of the Company does not make sense.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In relation to the Company’s removal of the Claimant’s monthly car allowance of RM1,000.00 and petrol card allowance of RM650.00 effective 1st August 2020 as per the Company’s letter dated 13th August 2020 as well as the cessation of the Claimant’s Golf Club Subscription Fee Claim effective 1st August 2020 as per email dated 4th August 2021, this Court notes that in the Company’s letter dated 1st November 2019 in relation to the Claimant’s redesignation as a PGP Deliver Manager, the said letter also stated that “</w:t>
      </w:r>
      <w:r>
        <w:rPr>
          <w:rFonts w:ascii="arial" w:eastAsia="arial" w:hAnsi="arial" w:cs="arial"/>
          <w:b w:val="0"/>
          <w:i/>
          <w:strike w:val="0"/>
          <w:noProof w:val="0"/>
          <w:color w:val="000000"/>
          <w:position w:val="0"/>
          <w:sz w:val="24"/>
          <w:u w:val="none"/>
          <w:vertAlign w:val="baseline"/>
        </w:rPr>
        <w:t>[a]ll other terms of employment remain unchanged</w:t>
      </w:r>
      <w:r>
        <w:rPr>
          <w:rFonts w:ascii="arial" w:eastAsia="arial" w:hAnsi="arial" w:cs="arial"/>
          <w:b w:val="0"/>
          <w:i w:val="0"/>
          <w:strike w:val="0"/>
          <w:noProof w:val="0"/>
          <w:color w:val="000000"/>
          <w:position w:val="0"/>
          <w:sz w:val="24"/>
          <w:u w:val="none"/>
          <w:vertAlign w:val="baseline"/>
        </w:rPr>
        <w:t>”. Following thereto, having considered the evidence given by the Claimant and the Company as well as the Bundles of Documents and submissions of both the Claimant and the Company, below are this Court’s findings –</w:t>
      </w:r>
      <w:r>
        <w:t>
</w:t>
      </w:r>
    </w:p>
    <w:p>
      <w:pPr>
        <w:keepNext w:val="0"/>
        <w:numPr>
          <w:numId w:val="1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reasons given by the Company for the removal of the Claimant’s monthly car allowance and petrol card allowance, i.e. the Claimant was no longer performing sales or marketing tasks after he transitioned into the role of the PGP Deliver Manager - East Malaysia, was neither stated in the Company’s letter dated 13th August 2020 nor was it proven at the hearing. Instead, the letter dated 13th August 2020 merely stated that “</w:t>
      </w:r>
      <w:r>
        <w:rPr>
          <w:rFonts w:ascii="arial" w:eastAsia="arial" w:hAnsi="arial" w:cs="arial"/>
          <w:b w:val="0"/>
          <w:i/>
          <w:strike w:val="0"/>
          <w:noProof w:val="0"/>
          <w:color w:val="000000"/>
          <w:position w:val="0"/>
          <w:sz w:val="24"/>
          <w:u w:val="none"/>
          <w:vertAlign w:val="baseline"/>
        </w:rPr>
        <w:t>in view of the change on your job nature</w:t>
      </w:r>
      <w:r>
        <w:rPr>
          <w:rFonts w:ascii="arial" w:eastAsia="arial" w:hAnsi="arial" w:cs="arial"/>
          <w:b w:val="0"/>
          <w:i w:val="0"/>
          <w:strike w:val="0"/>
          <w:noProof w:val="0"/>
          <w:color w:val="000000"/>
          <w:position w:val="0"/>
          <w:sz w:val="24"/>
          <w:u w:val="none"/>
          <w:vertAlign w:val="baseline"/>
        </w:rPr>
        <w:t>”;</w:t>
      </w:r>
    </w:p>
    <w:p>
      <w:pPr>
        <w:keepNext w:val="0"/>
        <w:numPr>
          <w:numId w:val="1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action is highly questionable as the car and petrol card allowances were only removed nine months after the Claimant had transitioned into the role of the PGP Deliver Manager. It would have made more sense for the Company to notify the Claimant about the said removal on 23rd October 2019, i.e. the day COW-1 forwarded an e-mail to the Claimant forwarding his Job Description as the PGP Deliver Manager, or at the very least on the same day he received his redesignation letter;</w:t>
      </w:r>
    </w:p>
    <w:p>
      <w:pPr>
        <w:keepNext w:val="0"/>
        <w:numPr>
          <w:numId w:val="1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cessation of the golf club subscription, it is rather peculiar and quite odd as to why the Claimant was only informed about the cessation one (1) year after the car and petrol card allowances have been removed and was it a mere coincidence that the cessation notification was emailed to the Claimant on the same day the 2nd Show Cause Letter was issued and after the Claimant’s reply to the 1st Show Cause Letter;</w:t>
      </w:r>
    </w:p>
    <w:p>
      <w:pPr>
        <w:keepNext w:val="0"/>
        <w:numPr>
          <w:numId w:val="1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delay in the notifications of the removal of these allowances was never explained by the Company be it in the correspondence forwarded to the Claimant or during the hearing;</w:t>
      </w:r>
    </w:p>
    <w:p>
      <w:pPr>
        <w:keepNext w:val="0"/>
        <w:numPr>
          <w:numId w:val="1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item no. 4 – “</w:t>
      </w:r>
      <w:r>
        <w:rPr>
          <w:rFonts w:ascii="arial" w:eastAsia="arial" w:hAnsi="arial" w:cs="arial"/>
          <w:b w:val="0"/>
          <w:i/>
          <w:strike w:val="0"/>
          <w:noProof w:val="0"/>
          <w:color w:val="000000"/>
          <w:position w:val="0"/>
          <w:sz w:val="24"/>
          <w:u w:val="none"/>
          <w:vertAlign w:val="baseline"/>
        </w:rPr>
        <w:t>Benefits &amp; Performance Bonuses</w:t>
      </w:r>
      <w:r>
        <w:rPr>
          <w:rFonts w:ascii="arial" w:eastAsia="arial" w:hAnsi="arial" w:cs="arial"/>
          <w:b w:val="0"/>
          <w:i w:val="0"/>
          <w:strike w:val="0"/>
          <w:noProof w:val="0"/>
          <w:color w:val="000000"/>
          <w:position w:val="0"/>
          <w:sz w:val="24"/>
          <w:u w:val="none"/>
          <w:vertAlign w:val="baseline"/>
        </w:rPr>
        <w:t>” of the Company’s Letter dated 1st January 2013 makes reference to an abridged version of the benefits which is appended as per Appendix A to the Company’s Letter dated 1st January 2013. It is observed that item no. 4 of the Contract of Employment dated 1st October 2015 also contains provisions relating to “</w:t>
      </w:r>
      <w:r>
        <w:rPr>
          <w:rFonts w:ascii="arial" w:eastAsia="arial" w:hAnsi="arial" w:cs="arial"/>
          <w:b w:val="0"/>
          <w:i/>
          <w:strike w:val="0"/>
          <w:noProof w:val="0"/>
          <w:color w:val="000000"/>
          <w:position w:val="0"/>
          <w:sz w:val="24"/>
          <w:u w:val="none"/>
          <w:vertAlign w:val="baseline"/>
        </w:rPr>
        <w:t>Benefits &amp; Performance Bonuses</w:t>
      </w:r>
      <w:r>
        <w:rPr>
          <w:rFonts w:ascii="arial" w:eastAsia="arial" w:hAnsi="arial" w:cs="arial"/>
          <w:b w:val="0"/>
          <w:i w:val="0"/>
          <w:strike w:val="0"/>
          <w:noProof w:val="0"/>
          <w:color w:val="000000"/>
          <w:position w:val="0"/>
          <w:sz w:val="24"/>
          <w:u w:val="none"/>
          <w:vertAlign w:val="baseline"/>
        </w:rPr>
        <w:t xml:space="preserve">” which are essentially word for word with item no. 4 of the Company’s Letter dated 1st January 2013. As a copy of the abridged version of the benefits which was supposed to be appended as Appendix A to the Contract of Employment dated 1st October 2015 was not provided in the Bundle of Documents, one could only hazard a guess that a similar provision could also be found in Appendix A to the Contract of Employment dated 1st October 2015 . In this regard – </w:t>
      </w:r>
    </w:p>
    <w:p>
      <w:pPr>
        <w:keepNext w:val="0"/>
        <w:numPr>
          <w:numId w:val="1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item no. 14 in Appendix A to the Company’s Letter dated 1st January 2013, i.e. in relation to “</w:t>
      </w:r>
      <w:r>
        <w:rPr>
          <w:rFonts w:ascii="arial" w:eastAsia="arial" w:hAnsi="arial" w:cs="arial"/>
          <w:b w:val="0"/>
          <w:i/>
          <w:strike w:val="0"/>
          <w:noProof w:val="0"/>
          <w:color w:val="000000"/>
          <w:position w:val="0"/>
          <w:sz w:val="24"/>
          <w:u w:val="none"/>
          <w:vertAlign w:val="baseline"/>
        </w:rPr>
        <w:t>Handphone Policy</w:t>
      </w:r>
      <w:r>
        <w:rPr>
          <w:rFonts w:ascii="arial" w:eastAsia="arial" w:hAnsi="arial" w:cs="arial"/>
          <w:b w:val="0"/>
          <w:i w:val="0"/>
          <w:strike w:val="0"/>
          <w:noProof w:val="0"/>
          <w:color w:val="000000"/>
          <w:position w:val="0"/>
          <w:sz w:val="24"/>
          <w:u w:val="none"/>
          <w:vertAlign w:val="baseline"/>
        </w:rPr>
        <w:t xml:space="preserve">”, provides in its </w:t>
      </w:r>
      <w:r>
        <w:rPr>
          <w:rFonts w:ascii="arial" w:eastAsia="arial" w:hAnsi="arial" w:cs="arial"/>
          <w:b w:val="0"/>
          <w:i/>
          <w:strike w:val="0"/>
          <w:noProof w:val="0"/>
          <w:color w:val="000000"/>
          <w:position w:val="0"/>
          <w:sz w:val="24"/>
          <w:u w:val="none"/>
          <w:vertAlign w:val="baseline"/>
        </w:rPr>
        <w:t>chaussette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[t]his reimbursement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shall be with drawn should there be change stoy our job</w:t>
      </w:r>
      <w:r>
        <w:rPr>
          <w:rFonts w:ascii="arial" w:eastAsia="arial" w:hAnsi="arial" w:cs="arial"/>
          <w:b w:val="0"/>
          <w:i w:val="0"/>
          <w:strike w:val="0"/>
          <w:noProof w:val="0"/>
          <w:color w:val="000000"/>
          <w:position w:val="0"/>
          <w:sz w:val="24"/>
          <w:u w:val="none"/>
          <w:vertAlign w:val="baseline"/>
        </w:rPr>
        <w:t xml:space="preserve"> “ and item no. 15 in Appendix A to the Company’s Letter dated 1st January 2013, i.e. in relation to “</w:t>
      </w:r>
      <w:r>
        <w:rPr>
          <w:rFonts w:ascii="arial" w:eastAsia="arial" w:hAnsi="arial" w:cs="arial"/>
          <w:b w:val="0"/>
          <w:i/>
          <w:strike w:val="0"/>
          <w:noProof w:val="0"/>
          <w:color w:val="000000"/>
          <w:position w:val="0"/>
          <w:sz w:val="24"/>
          <w:u w:val="none"/>
          <w:vertAlign w:val="baseline"/>
        </w:rPr>
        <w:t>Car Policy</w:t>
      </w:r>
      <w:r>
        <w:rPr>
          <w:rFonts w:ascii="arial" w:eastAsia="arial" w:hAnsi="arial" w:cs="arial"/>
          <w:b w:val="0"/>
          <w:i w:val="0"/>
          <w:strike w:val="0"/>
          <w:noProof w:val="0"/>
          <w:color w:val="000000"/>
          <w:position w:val="0"/>
          <w:sz w:val="24"/>
          <w:u w:val="none"/>
          <w:vertAlign w:val="baseline"/>
        </w:rPr>
        <w:t xml:space="preserve">”, provides,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[t]his benefit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will be with drawn should there be changes to your job scope and requirement</w:t>
      </w:r>
      <w:r>
        <w:rPr>
          <w:rFonts w:ascii="arial" w:eastAsia="arial" w:hAnsi="arial" w:cs="arial"/>
          <w:b w:val="0"/>
          <w:i w:val="0"/>
          <w:strike w:val="0"/>
          <w:noProof w:val="0"/>
          <w:color w:val="000000"/>
          <w:position w:val="0"/>
          <w:sz w:val="24"/>
          <w:u w:val="none"/>
          <w:vertAlign w:val="baseline"/>
        </w:rPr>
        <w:t xml:space="preserve"> “;</w:t>
      </w:r>
    </w:p>
    <w:p>
      <w:pPr>
        <w:keepNext w:val="0"/>
        <w:numPr>
          <w:numId w:val="1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upon perusing the provisions of item no. 14 and item no. 15 as provided in Appendix A to the Company’s Letter dated 1st January 2013, it is observed that the </w:t>
      </w:r>
      <w:r>
        <w:rPr>
          <w:rFonts w:ascii="arial" w:eastAsia="arial" w:hAnsi="arial" w:cs="arial"/>
          <w:b w:val="0"/>
          <w:i/>
          <w:strike w:val="0"/>
          <w:noProof w:val="0"/>
          <w:color w:val="000000"/>
          <w:position w:val="0"/>
          <w:sz w:val="24"/>
          <w:u w:val="none"/>
          <w:vertAlign w:val="baseline"/>
        </w:rPr>
        <w:t>chaussette</w:t>
      </w:r>
      <w:r>
        <w:rPr>
          <w:rFonts w:ascii="arial" w:eastAsia="arial" w:hAnsi="arial" w:cs="arial"/>
          <w:b w:val="0"/>
          <w:i w:val="0"/>
          <w:strike w:val="0"/>
          <w:noProof w:val="0"/>
          <w:color w:val="000000"/>
          <w:position w:val="0"/>
          <w:sz w:val="24"/>
          <w:u w:val="none"/>
          <w:vertAlign w:val="baseline"/>
        </w:rPr>
        <w:t xml:space="preserve"> in item no. 14, i.e. in relation to “</w:t>
      </w:r>
      <w:r>
        <w:rPr>
          <w:rFonts w:ascii="arial" w:eastAsia="arial" w:hAnsi="arial" w:cs="arial"/>
          <w:b w:val="0"/>
          <w:i/>
          <w:strike w:val="0"/>
          <w:noProof w:val="0"/>
          <w:color w:val="000000"/>
          <w:position w:val="0"/>
          <w:sz w:val="24"/>
          <w:u w:val="none"/>
          <w:vertAlign w:val="baseline"/>
        </w:rPr>
        <w:t>Handphone Policy</w:t>
      </w:r>
      <w:r>
        <w:rPr>
          <w:rFonts w:ascii="arial" w:eastAsia="arial" w:hAnsi="arial" w:cs="arial"/>
          <w:b w:val="0"/>
          <w:i w:val="0"/>
          <w:strike w:val="0"/>
          <w:noProof w:val="0"/>
          <w:color w:val="000000"/>
          <w:position w:val="0"/>
          <w:sz w:val="24"/>
          <w:u w:val="none"/>
          <w:vertAlign w:val="baseline"/>
        </w:rPr>
        <w:t>” contains similar wordings to item no. 15 in Appendix A to the Company’s Letter dated 1st January 2013, i.e. in relation to “</w:t>
      </w:r>
      <w:r>
        <w:rPr>
          <w:rFonts w:ascii="arial" w:eastAsia="arial" w:hAnsi="arial" w:cs="arial"/>
          <w:b w:val="0"/>
          <w:i/>
          <w:strike w:val="0"/>
          <w:noProof w:val="0"/>
          <w:color w:val="000000"/>
          <w:position w:val="0"/>
          <w:sz w:val="24"/>
          <w:u w:val="none"/>
          <w:vertAlign w:val="baseline"/>
        </w:rPr>
        <w:t>Car Policy</w:t>
      </w:r>
      <w:r>
        <w:rPr>
          <w:rFonts w:ascii="arial" w:eastAsia="arial" w:hAnsi="arial" w:cs="arial"/>
          <w:b w:val="0"/>
          <w:i w:val="0"/>
          <w:strike w:val="0"/>
          <w:noProof w:val="0"/>
          <w:color w:val="000000"/>
          <w:position w:val="0"/>
          <w:sz w:val="24"/>
          <w:u w:val="none"/>
          <w:vertAlign w:val="baseline"/>
        </w:rPr>
        <w:t xml:space="preserve">”, except that the </w:t>
      </w:r>
      <w:r>
        <w:rPr>
          <w:rFonts w:ascii="arial" w:eastAsia="arial" w:hAnsi="arial" w:cs="arial"/>
          <w:b w:val="0"/>
          <w:i/>
          <w:strike w:val="0"/>
          <w:noProof w:val="0"/>
          <w:color w:val="000000"/>
          <w:position w:val="0"/>
          <w:sz w:val="24"/>
          <w:u w:val="none"/>
          <w:vertAlign w:val="baseline"/>
        </w:rPr>
        <w:t>chaussette</w:t>
      </w:r>
      <w:r>
        <w:rPr>
          <w:rFonts w:ascii="arial" w:eastAsia="arial" w:hAnsi="arial" w:cs="arial"/>
          <w:b w:val="0"/>
          <w:i w:val="0"/>
          <w:strike w:val="0"/>
          <w:noProof w:val="0"/>
          <w:color w:val="000000"/>
          <w:position w:val="0"/>
          <w:sz w:val="24"/>
          <w:u w:val="none"/>
          <w:vertAlign w:val="baseline"/>
        </w:rPr>
        <w:t xml:space="preserve"> in item no. 14 uses the words “</w:t>
      </w:r>
      <w:r>
        <w:rPr>
          <w:rFonts w:ascii="arial" w:eastAsia="arial" w:hAnsi="arial" w:cs="arial"/>
          <w:b w:val="0"/>
          <w:i/>
          <w:strike w:val="0"/>
          <w:noProof w:val="0"/>
          <w:color w:val="000000"/>
          <w:position w:val="0"/>
          <w:sz w:val="24"/>
          <w:u w:val="single"/>
          <w:vertAlign w:val="baseline"/>
        </w:rPr>
        <w:t>shall</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be withdrawn</w:t>
      </w:r>
      <w:r>
        <w:rPr>
          <w:rFonts w:ascii="arial" w:eastAsia="arial" w:hAnsi="arial" w:cs="arial"/>
          <w:b w:val="0"/>
          <w:i w:val="0"/>
          <w:strike w:val="0"/>
          <w:noProof w:val="0"/>
          <w:color w:val="000000"/>
          <w:position w:val="0"/>
          <w:sz w:val="24"/>
          <w:u w:val="none"/>
          <w:vertAlign w:val="baseline"/>
        </w:rPr>
        <w:t>”, i.e.</w:t>
      </w:r>
    </w:p>
    <w:p>
      <w:pPr>
        <w:keepNext w:val="0"/>
        <w:numPr>
          <w:numId w:val="1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which denotes a mandatory requirement, as opposed to the wordings contained in item no. 15 which only uses the words “</w:t>
      </w:r>
      <w:r>
        <w:rPr>
          <w:rFonts w:ascii="arial" w:eastAsia="arial" w:hAnsi="arial" w:cs="arial"/>
          <w:b w:val="0"/>
          <w:i/>
          <w:strike w:val="0"/>
          <w:noProof w:val="0"/>
          <w:color w:val="000000"/>
          <w:position w:val="0"/>
          <w:sz w:val="24"/>
          <w:u w:val="single"/>
          <w:vertAlign w:val="baseline"/>
        </w:rPr>
        <w:t>w i l l</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be withdrawn</w:t>
      </w:r>
      <w:r>
        <w:rPr>
          <w:rFonts w:ascii="arial" w:eastAsia="arial" w:hAnsi="arial" w:cs="arial"/>
          <w:b w:val="0"/>
          <w:i w:val="0"/>
          <w:strike w:val="0"/>
          <w:noProof w:val="0"/>
          <w:color w:val="000000"/>
          <w:position w:val="0"/>
          <w:sz w:val="24"/>
          <w:u w:val="none"/>
          <w:vertAlign w:val="baseline"/>
        </w:rPr>
        <w:t>”; and</w:t>
      </w:r>
    </w:p>
    <w:p>
      <w:pPr>
        <w:keepNext w:val="0"/>
        <w:numPr>
          <w:numId w:val="1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it would not be unreasonable to assume that the exact same provisions of item no. 14 and item no. 15 could also be found in Appendix A to the Contract of Employment dated 1st October 2015, word for word, thus, it begs the question why was the reimbursement for the handphone bills not withdrawn as well. Based on the premise that changes had been made to the Claimant’s job as per the reasons given by the Company for the removal of the Claimant’s monthly car allowance and petrol card allowance, i.e. the Claimant no longer holds the position of Marketing Manager – Govt &amp; Bulk as he had been redesignated as a PGP Deliver Manager - East Malaysia and he was no longer performing sales or marketing tasks, surely the reimbursement for the handphone bills should also be withdrawn as the said withdrawal was a mandatory requirement as per the wordings of item no. 14;</w:t>
      </w:r>
    </w:p>
    <w:p>
      <w:pPr>
        <w:keepNext w:val="0"/>
        <w:numPr>
          <w:numId w:val="1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if the Claimant was no longer performing sales or marketing tasks upon his redesignation (as per the Company’s contention), – </w:t>
      </w:r>
    </w:p>
    <w:p>
      <w:pPr>
        <w:keepNext w:val="0"/>
        <w:numPr>
          <w:numId w:val="1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why did the letter dated 1st November 2019 state that the Claimant was still required to report to PGP Business Manager with dotted reporting to PGP Distribution Optimization Manager?;</w:t>
      </w:r>
    </w:p>
    <w:p>
      <w:pPr>
        <w:keepNext w:val="0"/>
        <w:numPr>
          <w:numId w:val="1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why did the Claimant still receive the said allowances in his previous role prior to the redesignation even though in the Claimant’s previous role the Claimant was also not required to do sales and marketing? The fact that the Claimant was still receiving the said allowances in his previous role was confirmed by COW-2 in his testimony. Furthermore, COW-2 also testified that the fixed monetary allowances and non-monetary benefits were important for the employees of the Company; and</w:t>
      </w:r>
    </w:p>
    <w:p>
      <w:pPr>
        <w:keepNext w:val="0"/>
        <w:numPr>
          <w:numId w:val="1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why did Johnny Goh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3rd October, when referring to the Claimant’s new role as PGP Deliver Manager, state,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I need you to take this on and absorb all the know how and quickly</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be on the ground to engage and deliver productivity</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and optimize our deliver model</w:t>
      </w:r>
      <w:r>
        <w:rPr>
          <w:rFonts w:ascii="arial" w:eastAsia="arial" w:hAnsi="arial" w:cs="arial"/>
          <w:b w:val="0"/>
          <w:i w:val="0"/>
          <w:strike w:val="0"/>
          <w:noProof w:val="0"/>
          <w:color w:val="000000"/>
          <w:position w:val="0"/>
          <w:sz w:val="24"/>
          <w:u w:val="none"/>
          <w:vertAlign w:val="baseline"/>
        </w:rPr>
        <w:t>”?;</w:t>
      </w:r>
    </w:p>
    <w:p>
      <w:pPr>
        <w:keepNext w:val="0"/>
        <w:numPr>
          <w:numId w:val="1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been constantly raising his grievances regarding the removal of the said allowances up to the time of his constructive dismissal and the Claimant had also stated in his emails dated 18th August 2020 and 6th February 2021 that the car allowance and petrol card allowance were removed without sufficient notice or explanation and without consensus. As per his email dated 6th February 2021, the Claimant had approached his reporting manager several times to highlight his grievances of “losing contributory factors” of his earnings which he had had over 16 years but was instead told to leave if he was not happy with what he was getting; and</w:t>
      </w:r>
    </w:p>
    <w:p>
      <w:pPr>
        <w:keepNext w:val="0"/>
        <w:numPr>
          <w:numId w:val="1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failed to show evidence to the effect that it had obtained the Claimant’s consent prior to the said removal and COW-1 confirmed that by virtue of the Claimant’s email dated 18th August 2020 the Claimant was clearly not happy and was complaining relating to the same.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In relation to the above, this Court further finds that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(a)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Johnny Goh’s email dated 3rd October 2019, the Company had promised the Claimant that “</w:t>
      </w:r>
      <w:r>
        <w:rPr>
          <w:rFonts w:ascii="arial" w:eastAsia="arial" w:hAnsi="arial" w:cs="arial"/>
          <w:b w:val="0"/>
          <w:i/>
          <w:strike w:val="0"/>
          <w:noProof w:val="0"/>
          <w:color w:val="000000"/>
          <w:position w:val="0"/>
          <w:sz w:val="24"/>
          <w:u w:val="none"/>
          <w:vertAlign w:val="baseline"/>
        </w:rPr>
        <w:t>[o]nce you have fully understood and taken up the role, we will have the additional adjustment in April ‘20 as you have no experience in this currently…</w:t>
      </w:r>
      <w:r>
        <w:rPr>
          <w:rFonts w:ascii="arial" w:eastAsia="arial" w:hAnsi="arial" w:cs="arial"/>
          <w:b w:val="0"/>
          <w:i w:val="0"/>
          <w:strike w:val="0"/>
          <w:noProof w:val="0"/>
          <w:color w:val="000000"/>
          <w:position w:val="0"/>
          <w:sz w:val="24"/>
          <w:u w:val="none"/>
          <w:vertAlign w:val="baseline"/>
        </w:rPr>
        <w:t>”. The said email was in reply to an email sent by the Claimant on 30th September 2019;</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(b) the Company averred that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13th August 2020, it had granted a salary revision to increase the Claimant’s annual salary to RM80,850.00 effective 1st August 2020, which amounted to a 6% salary increment despite the freezing of the annual salary review. Furthermore, the Company averred that the Claimant was subsequently granted another salary increment of 7.5% effective 1st April 2021;</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(c) as per the Company’s letter dated 13th August 2020, the Claimant received a revision of his annual salary of RM80,850.00 (i.e. RM6,737.50 per month) effective 1st August 2020. However, the salary revision was countered by the removal of the Claimant’s monthly car allowance of RM1,000.00 and petrol card allowance of RM650.00. As pointed out by the Claimant in his submissions, the Claimant’s monthly total take home salary prior to 1st August 2020, together with the Claimant’s monthly car allowance of RM1,000.00 and petrol card allowance of RM650.00, was RM8006.10. Following the removal of these two allowances the Claimant’s monthly total take home salary commencing 1 st August 2020 was RM6,737.50. Therefore, even though the Claimant’s basic monthly salary had been increased by about 6%, the removal of these two allowances essentially negated the “increased” in the Claimant’s revised salary; and</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(d) as per the Company’s averment that the Claimant was subsequently granted another salary increment of 7.5% effective 1 st April 2021, this contradicted COW-1’s testimony whereby COW-1 testified the increment of 7.5% received by the Claimant was pursuant to his performance appraisal for the year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Moreover, as the Claimant was the one who “</w:t>
      </w:r>
      <w:r>
        <w:rPr>
          <w:rFonts w:ascii="arial" w:eastAsia="arial" w:hAnsi="arial" w:cs="arial"/>
          <w:b w:val="0"/>
          <w:i/>
          <w:strike w:val="0"/>
          <w:noProof w:val="0"/>
          <w:color w:val="000000"/>
          <w:position w:val="0"/>
          <w:sz w:val="24"/>
          <w:u w:val="none"/>
          <w:vertAlign w:val="baseline"/>
        </w:rPr>
        <w:t>had developed the business</w:t>
      </w:r>
      <w:r>
        <w:rPr>
          <w:rFonts w:ascii="arial" w:eastAsia="arial" w:hAnsi="arial" w:cs="arial"/>
          <w:b w:val="0"/>
          <w:i w:val="0"/>
          <w:strike w:val="0"/>
          <w:noProof w:val="0"/>
          <w:color w:val="000000"/>
          <w:position w:val="0"/>
          <w:sz w:val="24"/>
          <w:u w:val="none"/>
          <w:vertAlign w:val="baseline"/>
        </w:rPr>
        <w:t xml:space="preserve">” for the Company in Kuching, as per Johnny Goh’s own admission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12th February 2018, and had been given additional responsibilities due to the Company’s retrenchment exercise done in 2020 without additional pay, which was not disputed by the Head of PGP when he replied to the Claimant’s email vide email dated 16th July 2021, it is concerning to find that the Company had not only failed to address the Claimant’s grievances but also found it fitting to further intimidate the Claimant by issuing back to back Show Cause Letters, Warning Letter and Caution Letter as well as placing the Claimant under a PIP. Whilst this Court notes that it is the Company’s prerogative to manage the work performance of its employees through PIPs, the fact remains that the Claimant, who had served the Company for more than 15 years, has had no performance issue as the Claimant was never issued with any warning or letter with regards to his performance.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The Company also submits that the Claimant did not leave soon enough after the alleged breach of the removal of the allowances and the said delay amounts to an affirmation of the purported breach and defeats the claim of constructive dismissal. In relation thereto, this Court observes that –</w:t>
      </w:r>
      <w:r>
        <w:t>
</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spoken to Kenneth Par (COW-2’s then Head of Department) in November 2017 as regards his voluntary acceptance of a retrenchment as for the past five years he had not moved in his position, minimal salary increment and no plans for career development. He was then informed by Kenneth Par that the matter will be brought up to the attention of to Johnny Goh, the Claimant’s Head of Department at that material time;</w:t>
      </w:r>
    </w:p>
    <w:p>
      <w:pPr>
        <w:keepNext w:val="0"/>
        <w:numPr>
          <w:numId w:val="1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email dated 7th February 2018, the Claimant voiced out his grievances as regards his employment at the Company to Johnny Goh, and further stated in the said email that he was surprised to know that Kenneth Par had not made known to Johnny Goh of the Claimant’s intention relating to the same;</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Johnny Goh, had replied to the Claimant vide email dated 12th February 2018 and suggested that the Claimant speak to his immediate superior / Line Manager as regards his job expectation and share his aspirations to review the job description. Be that as it may, Johnny Goh’s email did not directly address or provide a solution to the grievances raised by the Claimant;</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subsequently, the Claimant was offered the role of PGP Deliver Manager whereby clarification as regards the said role was made by Johnny Goh and COW-1 on 23rd September 2019. As per the Claimant’s email dated 30th September 2019, the Claimant stated that he felt overwhelmed with the offer of a new job positon and scope of work. He also stated that he was optimistic and looking forward to develop his career further with the Company;</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Johnny Goh in his email dated 3rd October 2019, in reply to the Claimant’s email dated 30th September 2019, had promised that the Company would adjust the Claimant’s salary in April 2020 i.e. once the Claimant had fully understood and taken up the new role;</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23rd October 2019, COW-1 forwarded an e-mail to the Claimant regarding his Job Description as PGP Deliver Manager. The Claimant replied to the said email on the same day and stated that he was looking forward to taking on the responsibility and challenge;</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then issued with a redesignation letter dated 1st November 2019 as regards his new role as PGP Deliver Manager – East Malaysia;</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citing the impact of the COVID-19 pandemic on the business of the Company, the Company had on 27th March 2020 made an announcement to defer merit increases and promotions for all employees of the Company;</w:t>
      </w:r>
    </w:p>
    <w:p>
      <w:pPr>
        <w:keepNext w:val="0"/>
        <w:numPr>
          <w:numId w:val="1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13th August 2020, the Company informed the Claimant,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regards the revision of the Claimant’s annual salary to RM80,850.00 and withdrawal of the Claimant’s monthly car allowance of RM1,000.00 as well as petrol card allowance of RM650.00 effective 1st August 2020 in view of the recently reviewed Claimant’s job scope;</w:t>
      </w:r>
    </w:p>
    <w:p>
      <w:pPr>
        <w:keepNext w:val="0"/>
        <w:numPr>
          <w:numId w:val="1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email dated 18th August 2020, the Claimant raised his concerns regarding the revocation by the Company of his employment benefits, namely his petrol allowances of RM650.00 and car allowance of RM1,000.00;</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following thereto, the Company had failed to deliver on its promise to adjust the Claimant’s salary in April 2020. Instead, the Company on the pretext of revising the Claimant’s annual salary in August 2020 to RM80,850.00 had actually given the Claimant a salary cut. This was in view of the fact that it was established prior to 1 st August 2020 the Claimant’s total monthly salary including the said allowances was RM8,006.10 per month (i.e. basic salary was RM6,356.10) and after</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1st August 2020 even though the Claimant’s basic salary was increased by about 6% i.e. to RM6,737.50, there had been a decreased in the Claimant’s total monthly salary (as the allowances had been withdrawn);</w:t>
      </w:r>
    </w:p>
    <w:p>
      <w:pPr>
        <w:keepNext w:val="0"/>
        <w:numPr>
          <w:numId w:val="1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email dated 6th February 2021, the Claimant again reiterated his grievances regarding his lack of career development and removal of employment benefits which resulted in a loss of total income whilst taking on additional responsibilities for the Company. As per the said email, the Claimant had approached his reporting manager several times to highlight his grievances of “losing contributory factors” of his earnings which he had had over 16 years but was instead told to leave if he was not happy with what he was getting and to which the Claimant further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[t]his in law is constructive dismissal</w:t>
      </w:r>
      <w:r>
        <w:rPr>
          <w:rFonts w:ascii="arial" w:eastAsia="arial" w:hAnsi="arial" w:cs="arial"/>
          <w:b w:val="0"/>
          <w:i w:val="0"/>
          <w:strike w:val="0"/>
          <w:noProof w:val="0"/>
          <w:color w:val="000000"/>
          <w:position w:val="0"/>
          <w:sz w:val="24"/>
          <w:u w:val="none"/>
          <w:vertAlign w:val="baseline"/>
        </w:rPr>
        <w:t xml:space="preserve"> “;</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chronology of event narrated in the Claimant’s resignation letter – </w:t>
      </w:r>
    </w:p>
    <w:p>
      <w:pPr>
        <w:keepNext w:val="0"/>
        <w:numPr>
          <w:numId w:val="1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a Teams Meeting with the Human Resources on 11th March 2021 but both parties failed to reach an agreed solution regarding the Claimant’s grievances;</w:t>
      </w:r>
    </w:p>
    <w:p>
      <w:pPr>
        <w:keepNext w:val="0"/>
        <w:numPr>
          <w:numId w:val="1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took leave from 5th April 2021 until 9th April 2021 due to unhappiness and stress as his grievances remained unresolved;</w:t>
      </w:r>
    </w:p>
    <w:p>
      <w:pPr>
        <w:keepNext w:val="0"/>
        <w:numPr>
          <w:numId w:val="1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5th July 2021 i.e. during the mid-year PMP Review, the Claimant had again raised his grievances;</w:t>
      </w:r>
    </w:p>
    <w:p>
      <w:pPr>
        <w:keepNext w:val="0"/>
        <w:numPr>
          <w:numId w:val="1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15th July 2021, the Claimant was given additional job description without salary adjustment when the PGP Distribution Optimization Manager (one Chaw Leong Yong) left the Company sometime in June/July 2021; and</w:t>
      </w:r>
    </w:p>
    <w:p>
      <w:pPr>
        <w:keepNext w:val="0"/>
        <w:numPr>
          <w:numId w:val="1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on medical leave from 19th July 2021 until 21st July 2021;</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following Marzli Muhammad’s instruction, the Claimant had to assist with the Indonesian Consulate’s request on 19th July 2021 even though he was under the prescription of Sertraline medication after visiting the doctor on Saturday 17 July 2021;</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issued 1st Show Cause Letter on 28th July 2021;</w:t>
      </w:r>
    </w:p>
    <w:p>
      <w:pPr>
        <w:keepNext w:val="0"/>
        <w:numPr>
          <w:numId w:val="1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4th August 2021, the Company informed the Claimant regarding the cessation of the Claimant’s Golf Club Subscription Fee;</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then issued the Claimant with a 2nd Show Cause Letter dated 4th August 2021;</w:t>
      </w:r>
    </w:p>
    <w:p>
      <w:pPr>
        <w:keepNext w:val="0"/>
        <w:numPr>
          <w:numId w:val="1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17th August 2021 (“Warning Letter”) the Company informed the Claimant that a warning has been issued against the Claimant;</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then issued the Claimant with a 3rd Show Cause Letter dated 1st September 2021;</w:t>
      </w:r>
    </w:p>
    <w:p>
      <w:pPr>
        <w:keepNext w:val="0"/>
        <w:numPr>
          <w:numId w:val="11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17th September 2021 the Claimant was served a caution and reminded the Claimant that the Company would not hesitate to take more severe disciplinary action against the Claimant;</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vide email dated 24th September 2021 reprimanded the Claimant for allegedly making inappropriate comments during a transport safety KPI meeting held on 23rd September 2021;</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29th September 2021 the Claimant was asked to sign and agree to PIP; and</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submitted his resignation letter dated 2nd October 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Based on the observations of the preceding paragraphs, this Court finds that the Claimant’s terms of employment, be it express and/or implied, had been varied by the Company without him being given prior notification and without his consent. This clearly shows that the Company did not intend to be bound by the terms of Claimant’s Contract of Employment. This Court further finds the Company’s conduct and treatment towards the Claimant had completely frustrated the Claimant and demonstrated a breach of the implied term of mutual trust and confidence between the Claimant and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In relation thereto, this Court finds that evidence clearly established that the Claimant had been persistently protesting to the Company as regards his grievances including from the period starting February 2021 until September 2021 which were also listed in chronological order in the Resignation Letter. Thus, it could not be said that the Claimant had acquiesced to the fundamental breach of the Claimant’s Contract of Employment with the Company, particularly the implied term of mutual trust and confidence.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It was clear that the Claimant could no longer tolerate the Company’s treatment towards him which left him with no alternative but to consider himself constructively dismissed. Given the fact that the Claimant was only asked to sign and agree to the PIP on 29th September 2021 and the Claimant had tendered his resignation letter on 2nd October 2021, there was no delay by the Claimant in claiming constructive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Pursuant to the abovementioned circumstances, this Court finds that Claimant has succeeded in proving on the balance of probabilities that he has been constructively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Since the Claimant has succeeded in proving that he had been constructively dismissed, the Company would now need to proof that the dismissal was not due to an unjust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The Company contends that –</w:t>
      </w:r>
      <w:r>
        <w:t>
</w:t>
      </w:r>
    </w:p>
    <w:p>
      <w:pPr>
        <w:keepNext w:val="0"/>
        <w:numPr>
          <w:numId w:val="1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regards the Show Cause Letters, Warning Letter and Caution Letter in relation to the alleged misconduct, the Company was well within its prerogative to subject its employees to the necessary disciplinary action process in relation to the incident involving the visitors from Indonesian Consulate;</w:t>
      </w:r>
    </w:p>
    <w:p>
      <w:pPr>
        <w:keepNext w:val="0"/>
        <w:numPr>
          <w:numId w:val="1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well within its prerogative to manage the work performance of its employees through PIPs; and</w:t>
      </w:r>
    </w:p>
    <w:p>
      <w:pPr>
        <w:keepNext w:val="0"/>
        <w:numPr>
          <w:numId w:val="1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 actions taken by the Company in relation to the Claimant’s employment, including the management of the Claimant, are within the Company’s prerogative, in accordance with the Claimant’s express and implied terms and conditions of employment, and in accordance with fair labour practice.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This Court is unable to accept the Company’s contention mentioned above in view of the following:</w:t>
      </w:r>
      <w:r>
        <w:t>
</w:t>
      </w:r>
    </w:p>
    <w:p>
      <w:pPr>
        <w:keepNext w:val="0"/>
        <w:numPr>
          <w:numId w:val="1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regarding the alleged misconduct involving the incident of the visitors from Indonesian Consulate, the Claimant had explained the situation further by making reference to WhatsApp communications with the Indonesian Consulate’s Personal Assistant and instructions obtained from Marzli Muhammad. Upon perusal of the WhatsApp communication, it was evident that the Claimant had already advised the Indonesian Consulate that they could not come to the Company’s site without prior approval. However, as the diplomatic personnel of the Indonesian Consulate had insisted in visiting the Company’s site, the Claimant had no choice but to assist the Indonesian Consulate’s request on 19th July 2021 as “</w:t>
      </w:r>
      <w:r>
        <w:rPr>
          <w:rFonts w:ascii="arial" w:eastAsia="arial" w:hAnsi="arial" w:cs="arial"/>
          <w:b w:val="0"/>
          <w:i/>
          <w:strike w:val="0"/>
          <w:noProof w:val="0"/>
          <w:color w:val="000000"/>
          <w:position w:val="0"/>
          <w:sz w:val="24"/>
          <w:u w:val="none"/>
          <w:vertAlign w:val="baseline"/>
        </w:rPr>
        <w:t>…[t]he Consulate was trying to get in touch and reach out to Linde EOX’s staff even ex- staffs of Linde EOX including Paul Yeo, Jimmy Tan and Wong Yew Ming to get an immediate action of which the Indonesian Consulate decided to the visit [sic] the office themselves to seek immediate and urgent attention on their predicament on the shortage of oxygen in Kalimantan as they have not got any action from Linde Malaysia…”</w:t>
      </w:r>
      <w:r>
        <w:rPr>
          <w:rFonts w:ascii="arial" w:eastAsia="arial" w:hAnsi="arial" w:cs="arial"/>
          <w:b w:val="0"/>
          <w:i w:val="0"/>
          <w:strike w:val="0"/>
          <w:noProof w:val="0"/>
          <w:color w:val="000000"/>
          <w:position w:val="0"/>
          <w:sz w:val="24"/>
          <w:u w:val="none"/>
          <w:vertAlign w:val="baseline"/>
        </w:rPr>
        <w:t>;</w:t>
      </w:r>
    </w:p>
    <w:p>
      <w:pPr>
        <w:keepNext w:val="0"/>
        <w:numPr>
          <w:numId w:val="1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indeed the Claimant had committed a series of misconduct as alleged in the 1st Show Cause Letter and 2nd Show Cause Letter which the Company deemed serious as these actions “</w:t>
      </w:r>
      <w:r>
        <w:rPr>
          <w:rFonts w:ascii="arial" w:eastAsia="arial" w:hAnsi="arial" w:cs="arial"/>
          <w:b w:val="0"/>
          <w:i/>
          <w:strike w:val="0"/>
          <w:noProof w:val="0"/>
          <w:color w:val="000000"/>
          <w:position w:val="0"/>
          <w:sz w:val="24"/>
          <w:u w:val="none"/>
          <w:vertAlign w:val="baseline"/>
        </w:rPr>
        <w:t xml:space="preserve">constitute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of safety violation towards the Company’s legitimate directives and … [t]he management deems your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of safety violations as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of serious misconduct</w:t>
      </w:r>
      <w:r>
        <w:rPr>
          <w:rFonts w:ascii="arial" w:eastAsia="arial" w:hAnsi="arial" w:cs="arial"/>
          <w:b w:val="0"/>
          <w:i w:val="0"/>
          <w:strike w:val="0"/>
          <w:noProof w:val="0"/>
          <w:color w:val="000000"/>
          <w:position w:val="0"/>
          <w:sz w:val="24"/>
          <w:u w:val="none"/>
          <w:vertAlign w:val="baseline"/>
        </w:rPr>
        <w:t xml:space="preserve">” – </w:t>
      </w:r>
    </w:p>
    <w:p>
      <w:pPr>
        <w:keepNext w:val="0"/>
        <w:numPr>
          <w:numId w:val="1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why was the Claimant only given a warning;</w:t>
      </w:r>
    </w:p>
    <w:p>
      <w:pPr>
        <w:keepNext w:val="0"/>
        <w:numPr>
          <w:numId w:val="1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why was the site manager, Wee Wei Boon, who was just at the back of the Indonesian Consulate’s car did not approach the car to check who the visitors were but instead had allowed the Claimant to enter the site as the Claimant was never stopped and/or cautioned and/or warned against entering the site at the material time;</w:t>
      </w:r>
    </w:p>
    <w:p>
      <w:pPr>
        <w:keepNext w:val="0"/>
        <w:numPr>
          <w:numId w:val="1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why did COW-1 not speak to Marzli Muhammad or the guard who was on duty at the guard house to find out what actually transpired at the site on 19th July 2021;</w:t>
      </w:r>
    </w:p>
    <w:p>
      <w:pPr>
        <w:keepNext w:val="0"/>
        <w:numPr>
          <w:numId w:val="1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why was no evidence produced to substantiate COW-1’s testimony that she had spoken to one Wee Wei Boon relating to the incident;</w:t>
      </w:r>
    </w:p>
    <w:p>
      <w:pPr>
        <w:keepNext w:val="0"/>
        <w:numPr>
          <w:numId w:val="1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security matters were directly under the SHEQ Department and the person who was in charge of the SHEQ in Sarawak is COW-1’s husband, there arose a conflict of interest when COW-1 was the one who allegedly investigated the said incident and thereafter issued the Warning Letter to the Claimant; and</w:t>
      </w:r>
    </w:p>
    <w:p>
      <w:pPr>
        <w:keepNext w:val="0"/>
        <w:numPr>
          <w:numId w:val="1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it was further alleged that the said misconduct constituted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safety violation towards the Company’s legitimate directives, why was the “legitimate directives” not produced before this Court;</w:t>
      </w:r>
    </w:p>
    <w:p>
      <w:pPr>
        <w:keepNext w:val="0"/>
        <w:numPr>
          <w:numId w:val="1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even though it is the prerogative of the Company to place the Claimant under a PIP, such prerogative must be exercised fairly and reasonably as the Company did not provide any details in its pleadings as to the Claimant’s purported poor performance. COW-1 also testified that she had discussed with the Human Resources to place the Claimant under PIP. However, COW-1’s evidence was neither corroborated by witnesses from the Company’s Human Resources nor documentary evidence;</w:t>
      </w:r>
    </w:p>
    <w:p>
      <w:pPr>
        <w:keepNext w:val="0"/>
        <w:numPr>
          <w:numId w:val="1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Furthermore, COW-1 confirmed – </w:t>
      </w:r>
    </w:p>
    <w:p>
      <w:pPr>
        <w:keepNext w:val="0"/>
        <w:numPr>
          <w:numId w:val="1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performance was good in Financial Year (“FY”) 2020, despite all the grievances raised by the Claimant and his unhappiness;</w:t>
      </w:r>
    </w:p>
    <w:p>
      <w:pPr>
        <w:keepNext w:val="0"/>
        <w:numPr>
          <w:numId w:val="1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granted a 7.5% increment based on the Claimant’s performance appraisal in the PMS for FY 2020 ; and</w:t>
      </w:r>
    </w:p>
    <w:p>
      <w:pPr>
        <w:keepNext w:val="0"/>
        <w:numPr>
          <w:numId w:val="1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did the mid-year 2021 appraisal for the Claimant’s performance in FY 2021, and Claimant’s performance was satisfactory. COW-1 further confirmed that despite all the grievances and unhappiness of the Claimant in 2021, he still performed reasonably.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Bearing in mind subsection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acting according to equity and good conscience and the substantial merits of the case without regard to technicalities and legal form, this Court thus finds that the Claimant’s dismissal was without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This Court will now proceed to consider the appropriate remedy applicable to the Claimant. The Claimant prays that this Court makes such order that he be reinstated to his former position without any loss of wages, allowance, service and seniority, privileges or benefits of any kind and/or such other alternative relief this Court deems fit and proper. The Claimant further prays that any order for back wages include consequential orders that the Company pays all statutory contributions together with interests and/or dividends not limited to the Employment Provident Fund and/or SOCSO as well as interest of 8% per annum on all monetary awards made by this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Based on the facts of this case, this Court views that reinstatement of the Claimant to his former position is not a suitable remedy and not in the interest of industrial harmony. Hence, the Court will not order reinstatement of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As such, the appropriate remedy in the circumstances of this case will be compensation in lieu of reinstatement. Thus, this Court orders that the Claimant be paid one month wages of the last drawn salary of RM 7,242.82, for every year of service completed i.e. 15 years.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This Court further orders that the Claimant be paid compensation in the form of back wages. As there is evidence of post dismissal earnings or income of the Claimant in this case, a 20% deduction will be made to the compensation in the form of back wages.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Therefore, based on the Claimant’s last drawn salary of RM7,242.82, the total amount of compensation in lieu of reinstatement and back wages payable to the Claimant is as follows:</w:t>
      </w:r>
      <w:r>
        <w:t>
</w:t>
      </w:r>
    </w:p>
    <w:p>
      <w:pPr>
        <w:keepNext w:val="0"/>
        <w:numPr>
          <w:numId w:val="1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Compensation in lieu of reinstatement RM7,242.82 x 15 months = RM108,642.30;</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and</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Backwages</w:t>
      </w:r>
    </w:p>
    <w:p>
      <w:pPr>
        <w:keepNext w:val="0"/>
        <w:numPr>
          <w:numId w:val="1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RM7,242.82 x 24 months = RM173,827.68</w:t>
      </w:r>
    </w:p>
    <w:p>
      <w:pPr>
        <w:keepNext w:val="0"/>
        <w:numPr>
          <w:numId w:val="1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(deduction 20%) - RM34,765.54</w:t>
      </w:r>
    </w:p>
    <w:p>
      <w:pPr>
        <w:keepNext w:val="0"/>
        <w:numPr>
          <w:numId w:val="1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RM139,062.14</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p>
    <w:p>
      <w:pPr>
        <w:keepNext w:val="0"/>
        <w:numPr>
          <w:numId w:val="143"/>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TOTAL = RM247,704.44</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Order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xml:space="preserve">  This Court hereby orders that the Company pays the Claimant the total sum of </w:t>
      </w:r>
      <w:r>
        <w:rPr>
          <w:rFonts w:ascii="arial" w:eastAsia="arial" w:hAnsi="arial" w:cs="arial"/>
          <w:b/>
          <w:i w:val="0"/>
          <w:strike w:val="0"/>
          <w:noProof w:val="0"/>
          <w:color w:val="000000"/>
          <w:position w:val="0"/>
          <w:sz w:val="24"/>
          <w:u w:val="none"/>
          <w:vertAlign w:val="baseline"/>
        </w:rPr>
        <w:t>Ringgit Malaysia Two Hundred Forty Seven Thousand Seven Hundred Four and Sen Forty Four (RM247,704.44)</w:t>
      </w:r>
      <w:r>
        <w:rPr>
          <w:rFonts w:ascii="arial" w:eastAsia="arial" w:hAnsi="arial" w:cs="arial"/>
          <w:b w:val="0"/>
          <w:i w:val="0"/>
          <w:strike w:val="0"/>
          <w:noProof w:val="0"/>
          <w:color w:val="000000"/>
          <w:position w:val="0"/>
          <w:sz w:val="24"/>
          <w:u w:val="none"/>
          <w:vertAlign w:val="baseline"/>
        </w:rPr>
        <w:t xml:space="preserve"> within 60 days from the date of this Award.</w:t>
      </w:r>
      <w:r>
        <w:t>
</w:t>
      </w:r>
    </w:p>
    <w:p>
      <w:pPr>
        <w:keepNext w:val="0"/>
        <w:spacing w:after="0" w:line="300" w:lineRule="atLeast"/>
        <w:ind w:left="0" w:right="0" w:firstLine="0"/>
        <w:jc w:val="right"/>
      </w:pPr>
      <w:r>
        <w:rPr>
          <w:rFonts w:ascii="arial" w:eastAsia="arial" w:hAnsi="arial" w:cs="arial"/>
          <w:b w:val="0"/>
          <w:i/>
          <w:strike w:val="0"/>
          <w:noProof w:val="0"/>
          <w:color w:val="000000"/>
          <w:position w:val="0"/>
          <w:sz w:val="24"/>
          <w:u w:val="none"/>
          <w:vertAlign w:val="baseline"/>
        </w:rPr>
        <w:t>The claimant’s claims allowed.</w:t>
      </w:r>
      <w:r>
        <w:t>
</w:t>
      </w:r>
    </w:p>
    <w:p>
      <w:pPr>
        <w:keepNext w:val="0"/>
        <w:spacing w:after="0" w:line="300" w:lineRule="atLeast"/>
        <w:ind w:left="0" w:right="0" w:firstLine="0"/>
        <w:jc w:val="right"/>
      </w:pPr>
      <w:bookmarkStart w:id="6" w:name="Reporter"/>
      <w:bookmarkEnd w:id="6"/>
      <w:r>
        <w:rPr>
          <w:rFonts w:ascii="arial" w:eastAsia="arial" w:hAnsi="arial" w:cs="arial"/>
          <w:b w:val="0"/>
          <w:i w:val="0"/>
          <w:strike w:val="0"/>
          <w:noProof w:val="0"/>
          <w:color w:val="000000"/>
          <w:position w:val="0"/>
          <w:sz w:val="24"/>
          <w:u w:val="none"/>
          <w:vertAlign w:val="baseline"/>
        </w:rPr>
        <w:t>Reported by Mohd Kamarul Anwar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Ahmad Faizal bin Khairul Anuar v Linde Eox Sdn Bhd [2025] 2 ILJ 102</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1)"/>
      <w:lvlJc w:val="left"/>
      <w:pPr>
        <w:tabs>
          <w:tab w:val="num" w:pos="1120"/>
        </w:tabs>
        <w:ind w:left="112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2)"/>
      <w:lvlJc w:val="left"/>
      <w:pPr>
        <w:tabs>
          <w:tab w:val="num" w:pos="1120"/>
        </w:tabs>
        <w:ind w:left="112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v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v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ix)"/>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x)"/>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x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x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x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x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v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v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ix)"/>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2"/>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3"/>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4"/>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Ahmad Faizal bin Khairul Anuar v Linde Eox Sdn Bhd [2025] 2 ILJ 102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W1-YXR3-MC4V-7000-00000-00">
    <vt:lpwstr>Doc::/shared/document|contextualFeaturePermID::1522468</vt:lpwstr>
  </property>
  <property fmtid="{D5CDD505-2E9C-101B-9397-08002B2CF9AE}" pid="4" name="LNDeliveryID">
    <vt:lpwstr>286221363</vt:lpwstr>
  </property>
  <property fmtid="{D5CDD505-2E9C-101B-9397-08002B2CF9AE}" pid="5" name="UserPermID">
    <vt:lpwstr>urn:user:PA196491919</vt:lpwstr>
  </property>
</Properties>
</file>