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Amanpal Premsing a/l Darshan Singh v Klinik Mediviron  [2024] ILJU 443</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NUR FAUZAH MOKHTAR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1490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26 September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Mohan Ramakrishnan (with Nishanthinee Palanimalai) (Ramakrishnan &amp; Assoc)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James Ee Kah Fuk (with Emily Hiew Yee Peng) (K F Ee &amp; Co)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3"/>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Nur Fauzah Mokhtar C"/>
            <w:bookmarkEnd w:id="1"/>
            <w:r>
              <w:rPr>
                <w:rFonts w:ascii="arial" w:eastAsia="arial" w:hAnsi="arial" w:cs="arial"/>
                <w:b/>
                <w:i w:val="0"/>
                <w:strike w:val="0"/>
                <w:noProof w:val="0"/>
                <w:color w:val="000000"/>
                <w:position w:val="0"/>
                <w:sz w:val="30"/>
                <w:u w:val="none"/>
                <w:vertAlign w:val="baseline"/>
              </w:rPr>
              <w:t>Nur Fauzah Mokhtar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single"/>
          <w:vertAlign w:val="baseline"/>
        </w:rPr>
        <w:t>REFERENCE</w:t>
      </w:r>
      <w:r>
        <w:rPr>
          <w:rFonts w:ascii="arial" w:eastAsia="arial" w:hAnsi="arial" w:cs="arial"/>
          <w:b/>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xml:space="preserve">  This is a reference from the Honourable Minister of Human Resources, Malaysia made under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in respect of the dismissal of </w:t>
      </w:r>
      <w:r>
        <w:rPr>
          <w:rFonts w:ascii="arial" w:eastAsia="arial" w:hAnsi="arial" w:cs="arial"/>
          <w:b/>
          <w:i w:val="0"/>
          <w:strike w:val="0"/>
          <w:noProof w:val="0"/>
          <w:color w:val="000000"/>
          <w:position w:val="0"/>
          <w:sz w:val="24"/>
          <w:u w:val="none"/>
          <w:vertAlign w:val="baseline"/>
        </w:rPr>
        <w:t>AMANPAL PREMSING A/L DARSHAN SINGH</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KLINIK MEDIVIRON</w:t>
      </w:r>
      <w:r>
        <w:rPr>
          <w:rFonts w:ascii="arial" w:eastAsia="arial" w:hAnsi="arial" w:cs="arial"/>
          <w:b w:val="0"/>
          <w:i w:val="0"/>
          <w:strike w:val="0"/>
          <w:noProof w:val="0"/>
          <w:color w:val="000000"/>
          <w:position w:val="0"/>
          <w:sz w:val="24"/>
          <w:u w:val="none"/>
          <w:vertAlign w:val="baseline"/>
        </w:rPr>
        <w:t xml:space="preserve"> (“the Company”) on </w:t>
      </w:r>
      <w:r>
        <w:rPr>
          <w:rFonts w:ascii="arial" w:eastAsia="arial" w:hAnsi="arial" w:cs="arial"/>
          <w:b/>
          <w:i w:val="0"/>
          <w:strike w:val="0"/>
          <w:noProof w:val="0"/>
          <w:color w:val="000000"/>
          <w:position w:val="0"/>
          <w:sz w:val="24"/>
          <w:u w:val="none"/>
          <w:vertAlign w:val="baseline"/>
        </w:rPr>
        <w:t>1st April 2020</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The hearing of this case was initially fixed for two days i.e. on 4th August 2022 and 9th December 2022 but was postponed to 30th January 2023 and 31st January 2023 upon the request of the Claimant’s counsel. Subsequent thereto, the hearing dates which were fixed on 30 th January 2023 and 31st January 2023 had to be vacated as this Court was without a Chairman during the said period. New hearing dates for this case were then fixed on 11th October 2023 and 12th October 2023.</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Upon being appointed and assigned to this Court commencing on 2 nd May 2023, I proceeded to hear this case on 11th October 2023 which concluded on 12th October 2023. The Company called two (2) witnesses i.e. Ng Kuan Choong (“COW-1”) and Siew Han Ngee (“COW-2”). Whilst the Claimant gave evidence on his own behalf.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In handing down this Award the following were considered by the Court:</w:t>
      </w:r>
      <w:r>
        <w:t>
</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record of proceedings;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notes of proceedings;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3rd December 2020;</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28th December 2020;</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Witness Statement (“CLWS1”), the Witness Statement of COW-1 (“COWS1”) and the Witness Statement of COW-2 (“COWS2”);</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Bundles of Documents marked as CLB1, CLB2 and CLB3;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Bundles of Documents marked as COB1, COB2 and COB3;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dated 29th February 2024;</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Submissions dated 1st December 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Supplemental Written Submissions dated 27 th December 2023;</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Written Submissions in Reply dated 29th March 2024; and</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Written Reply Submissions dated 22nd March 2024.</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Background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Based on the pleadings and bundles of documents, this Court takes note of the following –</w:t>
      </w:r>
      <w:r>
        <w:t>
</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is a Clinic owned by Mediviron Group of Clinics with branches all over Malaysia;</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COW-1 utilized the trade name of the Company by conducting business of a medical clinic based in Seremban which,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provides, prescribes and administers drugs as well as performs minor surgical procedure;</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a Government Medical Officer at Hospital Tuanku Jaafar, Seremban and commenced his employment with the Company on 2nd December 2019 as a General Practitioner for a period of one (1) year with a starting basic salary of RM10,000.00 per month. The said salary as well as other terms and conditions of the Claimant’s employment are stipulated in the Contract of Employment signed by the Claimant on 7th August 2019 (“Contract of Employment”);</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pursuant to the terms and conditions of employment as stipulated in the Contract of Employment, the Claimant,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was based at the Clinic in Seremban. As provided in the Contract of Employment, the Claimant may also be required, pursuant to any secondment arrangement between the Company and any other company, to work in the office of the host company of his secondment;</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working hours were eight (8) hours per day from Monday to Saturday from 9.30 a.m. to 6.30 p.m. with a lunch break from 1.00 p.m. to 2.00 p.m., with a maximum of forty-eight (48) hours of work in one (1) week; and</w:t>
      </w:r>
    </w:p>
    <w:p>
      <w:pPr>
        <w:keepNext w:val="0"/>
        <w:numPr>
          <w:numId w:val="2"/>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Letter dated 28th February 2020 (“Notice of Termination”), the Company informed the Claimant that the Clinic in Seremban “</w:t>
      </w:r>
      <w:r>
        <w:rPr>
          <w:rFonts w:ascii="arial" w:eastAsia="arial" w:hAnsi="arial" w:cs="arial"/>
          <w:b w:val="0"/>
          <w:i/>
          <w:strike w:val="0"/>
          <w:noProof w:val="0"/>
          <w:color w:val="000000"/>
          <w:position w:val="0"/>
          <w:sz w:val="24"/>
          <w:u w:val="none"/>
          <w:vertAlign w:val="baseline"/>
        </w:rPr>
        <w:t>…will cease its business operation effective 1st April 2020…</w:t>
      </w:r>
      <w:r>
        <w:rPr>
          <w:rFonts w:ascii="arial" w:eastAsia="arial" w:hAnsi="arial" w:cs="arial"/>
          <w:b w:val="0"/>
          <w:i w:val="0"/>
          <w:strike w:val="0"/>
          <w:noProof w:val="0"/>
          <w:color w:val="000000"/>
          <w:position w:val="0"/>
          <w:sz w:val="24"/>
          <w:u w:val="none"/>
          <w:vertAlign w:val="baseline"/>
        </w:rPr>
        <w:t>” and the Company “</w:t>
      </w:r>
      <w:r>
        <w:rPr>
          <w:rFonts w:ascii="arial" w:eastAsia="arial" w:hAnsi="arial" w:cs="arial"/>
          <w:b w:val="0"/>
          <w:i/>
          <w:strike w:val="0"/>
          <w:noProof w:val="0"/>
          <w:color w:val="000000"/>
          <w:position w:val="0"/>
          <w:sz w:val="24"/>
          <w:u w:val="none"/>
          <w:vertAlign w:val="baseline"/>
        </w:rPr>
        <w:t>…would like to give [the Claimant] one month termination notice…</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Company’s Case and Submissions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Company, in contending that the Claimant’s termination is with just cause and excuse, avers as follows:</w:t>
      </w:r>
      <w:r>
        <w:t>
</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failed, refused and / or neglected to properly carry out, perform and discharged the duties and obligations diligently rendered upon him as required under the Contract of Employment thereby partly contributed to the business losses and the closing of business, due to his incompetence and idleness;</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Notice of Termination by the Company was in compliance with Clauses 15, 31 and 33 of the Contract of Employment;</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served with four (4) weeks’ notice as the Claimant was employed for less than two (2) years from the date of the Notice of Termination;</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was suffering losses which had led to the deterioration of the Company’s business. In relation thereto, the Company had already been making losses for five (5) consecutive months from 1st November 2019 to 31st March 2020 amounting to the total sum of RM76,718.00 ;</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termination was as a result of the cessation of the Company’s business operations due to its financial crisis and the Company was constrained to retrench the Claimant due to the losses incurred and the cessation of its business;</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never recommenced operations and had not reviewed or reorganized its business pursuant to the termination of the Claimant;</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alternative, the Company pleads the defence of frustration in law to set aside the Contract of Employment where unforeseen event renders the contractual obligations impossible or radically changes the parties’ principal purpose for entering into the said Contract of Employment;</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acted in good faith for the benefit of the Company and / or Claimant in accordance with the Contract of Employment;</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discussions were held with the Claimant regarding his poor service to the Company’s customers / patients as well as unacceptable work practices, attitude and work ethics to the Company; and</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was not made known the reasons of the acceptance by the Claimant of the Contract of Employment and the Company verily believes that it had no reason to know.</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xml:space="preserve">  The Company,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Company’s Written Submissions dated 1st December 2023, the Company’s Supplemental Written Submissions dated 27th December 2023 and the Company’s Written Reply Submissions dated 22nd March 2024, submits that –</w:t>
      </w:r>
      <w:r>
        <w:t>
</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testified, as per the Company’s Trading and Profit and Loss Accounts for the period of 1st November 2019 to 31st March 2020, the Company suffered five (5) consecutive months of losses in the sum of RM76,718.00 prior to the cessation of the business;</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COW-2, i.e. the Company’s Accountant, testified that the Company had engaged COW-2’s company to audit and prepare the Company’s Report and Financial Statements for the period of 28 th June 2019 until 31st March 2020. In relation thereto, COW-2’s company had audited the Company’s statement of financial position, statement of income as well as the retained profits and statement of cash flows in accordance with applicable approved accounting standards and practices in Malaysia to give a true and fair view of the Company’s financial position for the period ended 31 st March 2020;</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during cross-examination, the Claimant agreed that under sub-Clauses 15(a) and (f) of the Contract of Employment the Company is only obligated to give the Claimant one (1) month notice of termination if the Company closes its business;</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during cross-examination, the Claimant further agreed that – </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based on the evidence presented before the Court, the reason for the closure of the Company’s business was due to losses suffered by the Company; and</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could not reinstate the Claimant to his original position as the Company had ceased its operation on 1st April 2020, as such, the Claimant is estopped from denying otherwise pursuant to Order 27 Rule 1 Rules of Court 2012 and section 115 of the Evidence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1950;</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 is bound by the terms and conditions of the Contract of Employment at all material times. For this purpose, the Company made reference to the following cases: </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Industrial Court case of </w:t>
      </w:r>
      <w:r>
        <w:rPr>
          <w:rFonts w:ascii="arial" w:eastAsia="arial" w:hAnsi="arial" w:cs="arial"/>
          <w:b w:val="0"/>
          <w:i/>
          <w:strike w:val="0"/>
          <w:noProof w:val="0"/>
          <w:color w:val="000000"/>
          <w:position w:val="0"/>
          <w:sz w:val="24"/>
          <w:u w:val="none"/>
          <w:vertAlign w:val="baseline"/>
        </w:rPr>
        <w:t xml:space="preserve">Muhammad Akmal Haziq Busra v Koperasi Anggota Kerajaan Ipoh Berhad </w:t>
      </w:r>
      <w:r>
        <w:rPr>
          <w:rFonts w:ascii="arial" w:eastAsia="arial" w:hAnsi="arial" w:cs="arial"/>
          <w:b w:val="0"/>
          <w:i w:val="0"/>
          <w:strike w:val="0"/>
          <w:noProof w:val="0"/>
          <w:color w:val="000000"/>
          <w:position w:val="0"/>
          <w:sz w:val="24"/>
          <w:u w:val="none"/>
          <w:vertAlign w:val="baseline"/>
        </w:rPr>
        <w:t xml:space="preserve">[2023] 2 LNS 1619, wherein the Learned Chairman said,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as follows: </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“[54] I am guided by the Court of Appeal case of</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Dato’ SivananthanShanmugam v. Artisan Fokus Sdn. Bhd. </w:t>
      </w:r>
      <w:r>
        <w:rPr>
          <w:rFonts w:ascii="arial" w:eastAsia="arial" w:hAnsi="arial" w:cs="arial"/>
          <w:b w:val="0"/>
          <w:i w:val="0"/>
          <w:strike w:val="0"/>
          <w:noProof w:val="0"/>
          <w:color w:val="000000"/>
          <w:position w:val="0"/>
          <w:sz w:val="18"/>
          <w:u w:val="none"/>
          <w:vertAlign w:val="baseline"/>
        </w:rPr>
        <w:t xml:space="preserve">[2015] 2 CLJ 1062 </w:t>
      </w:r>
      <w:r>
        <w:rPr>
          <w:rFonts w:ascii="arial" w:eastAsia="arial" w:hAnsi="arial" w:cs="arial"/>
          <w:b w:val="0"/>
          <w:i/>
          <w:strike w:val="0"/>
          <w:noProof w:val="0"/>
          <w:color w:val="000000"/>
          <w:position w:val="0"/>
          <w:sz w:val="18"/>
          <w:u w:val="none"/>
          <w:vertAlign w:val="baseline"/>
        </w:rPr>
        <w:t>at 1077 which held:</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“[31] ... In law, parties are bound by the terms of the contract that they have entered into and likewise in this case, the rights and obligations of the parties are governed by the agreement.... The duty of the court is to give effect to the clear intention of the parties as expressed in the agreement. If the words are clear, unambiguous and in unmistakable language, there is very little the court has to do. The court must give effect to the plain meaning of the words however much it may dislike the result.”</w:t>
      </w:r>
      <w:r>
        <w:t>
</w:t>
      </w:r>
    </w:p>
    <w:p/>
    <w:p>
      <w:pPr>
        <w:keepNext w:val="0"/>
        <w:spacing w:before="120" w:after="0" w:line="240" w:lineRule="atLeast"/>
        <w:ind w:left="1880" w:right="0"/>
        <w:jc w:val="both"/>
      </w:pPr>
      <w:r>
        <w:rPr>
          <w:rFonts w:ascii="arial" w:eastAsia="arial" w:hAnsi="arial" w:cs="arial"/>
          <w:b w:val="0"/>
          <w:i/>
          <w:strike w:val="0"/>
          <w:noProof w:val="0"/>
          <w:color w:val="000000"/>
          <w:position w:val="0"/>
          <w:sz w:val="18"/>
          <w:u w:val="none"/>
          <w:vertAlign w:val="baseline"/>
        </w:rPr>
        <w:t>[55] The offer letter dated 30/10/2018 has clearly mentioned in paragraph 2(b) that it has been agreed by the parties that the Claimant could be terminated or dismissed at any time by giving one (1) months’ notice or in lieu of notice, paid one month’s salary without giving any reason for the termination. At the same time, the Company has also paid all termination’s benefits to the Claimant at its discretion as stated in the termination notice (at pages 15 -16 of CLB-1) which was also confirmed and acknowledged by the Claimant in his cross-examination:</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“Soalan: Encik setuju encik telah dibayar notis satu bulan gaji dan faedah penamatan?</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CLW-1: Ya setuju.</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Soalan: Encik setuju dengan saya jika saya nyatakan saya cadangkan encik setuju bahawa mengikut surat tawaran, pihak koperasi telah membayar kepada encik sebulan gaji dengan beri notis sebulan gaji?</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CLW-1: Ya.”</w:t>
      </w:r>
      <w:r>
        <w:t>
</w:t>
      </w:r>
    </w:p>
    <w:p/>
    <w:p>
      <w:pPr>
        <w:keepNext w:val="0"/>
        <w:spacing w:before="120" w:after="0" w:line="240" w:lineRule="atLeast"/>
        <w:ind w:left="1880" w:right="0"/>
        <w:jc w:val="both"/>
      </w:pPr>
      <w:r>
        <w:rPr>
          <w:rFonts w:ascii="arial" w:eastAsia="arial" w:hAnsi="arial" w:cs="arial"/>
          <w:b w:val="0"/>
          <w:i/>
          <w:strike w:val="0"/>
          <w:noProof w:val="0"/>
          <w:color w:val="000000"/>
          <w:position w:val="0"/>
          <w:sz w:val="18"/>
          <w:u w:val="none"/>
          <w:vertAlign w:val="baseline"/>
        </w:rPr>
        <w:t>[56] Therefore, the Claimant’s admission by receiving one (1) month’s salary in lieu of notice together with termination benefits which have been fully paid by the Company at the time of ending the contract period is in contradiction of his claim herein by stating that this termination is an unfair dismissal is a clear mere afterthought. In actual fact, the termination of the fixed term contract is based on the fixed term period which has been agreed upon by both parties. The period of employment of the fixed-term contract has already ended by itself on 31/10/2020. Therefore, the issue of unfair and/or unjustified dismissal is completely non-existent or relevant in this case.</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[57] On final analysis in the instant case, there was no evidence that there was any promise and/or representation by the Company that the Claimant was on permanent employment. This Court is satisfied that it was not a legitimate expectation of the Claimant to expect the Company to automatically extend the contract and/or to convert the status of fixed-term contract basis to a permanent employment.</w:t>
      </w:r>
      <w:r>
        <w:rPr>
          <w:rFonts w:ascii="arial" w:eastAsia="arial" w:hAnsi="arial" w:cs="arial"/>
          <w:b w:val="0"/>
          <w:i w:val="0"/>
          <w:strike w:val="0"/>
          <w:noProof w:val="0"/>
          <w:color w:val="000000"/>
          <w:position w:val="0"/>
          <w:sz w:val="18"/>
          <w:u w:val="none"/>
          <w:vertAlign w:val="baseline"/>
        </w:rPr>
        <w:t xml:space="preserve"> “;</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 xml:space="preserve">(ii) the Federal Court case of </w:t>
      </w:r>
      <w:r>
        <w:rPr>
          <w:rFonts w:ascii="arial" w:eastAsia="arial" w:hAnsi="arial" w:cs="arial"/>
          <w:b w:val="0"/>
          <w:i/>
          <w:strike w:val="0"/>
          <w:noProof w:val="0"/>
          <w:color w:val="000000"/>
          <w:position w:val="0"/>
          <w:sz w:val="18"/>
          <w:u w:val="none"/>
          <w:vertAlign w:val="baseline"/>
        </w:rPr>
        <w:t xml:space="preserve">Dynacast (Melaka) Sdn Bhd &amp; Ors v Vision Cast Sdn Bhd &amp; Anor </w:t>
      </w:r>
      <w:r>
        <w:rPr>
          <w:rFonts w:ascii="arial" w:eastAsia="arial" w:hAnsi="arial" w:cs="arial"/>
          <w:b w:val="0"/>
          <w:i w:val="0"/>
          <w:strike w:val="0"/>
          <w:noProof w:val="0"/>
          <w:color w:val="000000"/>
          <w:position w:val="0"/>
          <w:sz w:val="18"/>
          <w:u w:val="none"/>
          <w:vertAlign w:val="baseline"/>
        </w:rPr>
        <w:t xml:space="preserve">[2016], wherein the plaintiffs alleged that the second defendant had breached,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xml:space="preserve">, the terms of his employment contract and employee confidentiality agreement. In relation thereto question was posed whether the principle of law in </w:t>
      </w:r>
      <w:r>
        <w:rPr>
          <w:rFonts w:ascii="arial" w:eastAsia="arial" w:hAnsi="arial" w:cs="arial"/>
          <w:b w:val="0"/>
          <w:i/>
          <w:strike w:val="0"/>
          <w:noProof w:val="0"/>
          <w:color w:val="000000"/>
          <w:position w:val="0"/>
          <w:sz w:val="18"/>
          <w:u w:val="none"/>
          <w:vertAlign w:val="baseline"/>
        </w:rPr>
        <w:t>Svenson Hair Centre Sdn Bhd v Irene Chin Zee Ling</w:t>
      </w:r>
      <w:r>
        <w:rPr>
          <w:rFonts w:ascii="arial" w:eastAsia="arial" w:hAnsi="arial" w:cs="arial"/>
          <w:b w:val="0"/>
          <w:i w:val="0"/>
          <w:strike w:val="0"/>
          <w:noProof w:val="0"/>
          <w:color w:val="000000"/>
          <w:position w:val="0"/>
          <w:sz w:val="18"/>
          <w:u w:val="none"/>
          <w:vertAlign w:val="baseline"/>
        </w:rPr>
        <w:t xml:space="preserve"> that protection of confidential information ‘does not have any time limits’ was a correct statement of law and would therefore have been binding on the second defendant even after his tenure with the plaintiffs had ended. The Federal Court held,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that “</w:t>
      </w:r>
      <w:r>
        <w:rPr>
          <w:rFonts w:ascii="arial" w:eastAsia="arial" w:hAnsi="arial" w:cs="arial"/>
          <w:b w:val="0"/>
          <w:i/>
          <w:strike w:val="0"/>
          <w:noProof w:val="0"/>
          <w:color w:val="000000"/>
          <w:position w:val="0"/>
          <w:sz w:val="18"/>
          <w:u w:val="none"/>
          <w:vertAlign w:val="baseline"/>
        </w:rPr>
        <w:t>…the proposition of law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Svenson Hair Center Sdn Bhd v. Irene Chin Zee Ling </w:t>
      </w:r>
      <w:r>
        <w:rPr>
          <w:rFonts w:ascii="arial" w:eastAsia="arial" w:hAnsi="arial" w:cs="arial"/>
          <w:b w:val="0"/>
          <w:i w:val="0"/>
          <w:strike w:val="0"/>
          <w:noProof w:val="0"/>
          <w:color w:val="000000"/>
          <w:position w:val="0"/>
          <w:sz w:val="18"/>
          <w:u w:val="none"/>
          <w:vertAlign w:val="baseline"/>
        </w:rPr>
        <w:t>[2008] 8 CLJ 386</w:t>
      </w:r>
      <w:r>
        <w:rPr>
          <w:rFonts w:ascii="arial" w:eastAsia="arial" w:hAnsi="arial" w:cs="arial"/>
          <w:b w:val="0"/>
          <w:i/>
          <w:strike w:val="0"/>
          <w:noProof w:val="0"/>
          <w:color w:val="000000"/>
          <w:position w:val="0"/>
          <w:sz w:val="18"/>
          <w:u w:val="none"/>
          <w:vertAlign w:val="baseline"/>
        </w:rPr>
        <w:t xml:space="preserve"> should be considered in the context of the facts and circumstances of each case. Thus, in that case the protection of confidential information did not have any time limits because cl. 7.02 of the employment agreement expressly stated that the ‘employee agrees that he shall not whether during or after the termination of this agreement without limit in point of time’. As such it depends very much on the term or terms of the agreed contractual obligation or obligations…</w:t>
      </w:r>
      <w:r>
        <w:rPr>
          <w:rFonts w:ascii="arial" w:eastAsia="arial" w:hAnsi="arial" w:cs="arial"/>
          <w:b w:val="0"/>
          <w:i w:val="0"/>
          <w:strike w:val="0"/>
          <w:noProof w:val="0"/>
          <w:color w:val="000000"/>
          <w:position w:val="0"/>
          <w:sz w:val="18"/>
          <w:u w:val="none"/>
          <w:vertAlign w:val="baseline"/>
        </w:rPr>
        <w:t>”; and</w:t>
      </w:r>
      <w:r>
        <w:t>
</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High Court case of </w:t>
      </w:r>
      <w:r>
        <w:rPr>
          <w:rFonts w:ascii="arial" w:eastAsia="arial" w:hAnsi="arial" w:cs="arial"/>
          <w:b w:val="0"/>
          <w:i/>
          <w:strike w:val="0"/>
          <w:noProof w:val="0"/>
          <w:color w:val="000000"/>
          <w:position w:val="0"/>
          <w:sz w:val="24"/>
          <w:u w:val="none"/>
          <w:vertAlign w:val="baseline"/>
        </w:rPr>
        <w:t xml:space="preserve">Malayan Banking Berhad v Marcus Wong &amp; Anor </w:t>
      </w:r>
      <w:r>
        <w:rPr>
          <w:rFonts w:ascii="arial" w:eastAsia="arial" w:hAnsi="arial" w:cs="arial"/>
          <w:b w:val="0"/>
          <w:i w:val="0"/>
          <w:strike w:val="0"/>
          <w:noProof w:val="0"/>
          <w:color w:val="000000"/>
          <w:position w:val="0"/>
          <w:sz w:val="24"/>
          <w:u w:val="none"/>
          <w:vertAlign w:val="baseline"/>
        </w:rPr>
        <w:t xml:space="preserve">[2015] MLJU 1965, wherein the High Court in dealing with the third ground of judicial review, i.e. that the Industrial Court Chairman did not employ the so-called “contract test” in determining whether the 1st respondent was constructively dismissed,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that – </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The “contract test” refers to the question whether the employer had breached the employment contract rather than had merely acted unreasonably.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Anwar Abdul Rahim v. Bayer (M) Sdn Bhd </w:t>
      </w:r>
      <w:r>
        <w:rPr>
          <w:rFonts w:ascii="arial" w:eastAsia="arial" w:hAnsi="arial" w:cs="arial"/>
          <w:b w:val="0"/>
          <w:i w:val="0"/>
          <w:strike w:val="0"/>
          <w:noProof w:val="0"/>
          <w:color w:val="000000"/>
          <w:position w:val="0"/>
          <w:sz w:val="18"/>
          <w:u w:val="none"/>
          <w:vertAlign w:val="baseline"/>
        </w:rPr>
        <w:t>[1998] 2 CLJ 197</w:t>
      </w:r>
      <w:r>
        <w:rPr>
          <w:rFonts w:ascii="arial" w:eastAsia="arial" w:hAnsi="arial" w:cs="arial"/>
          <w:b w:val="0"/>
          <w:i/>
          <w:strike w:val="0"/>
          <w:noProof w:val="0"/>
          <w:color w:val="000000"/>
          <w:position w:val="0"/>
          <w:sz w:val="18"/>
          <w:u w:val="none"/>
          <w:vertAlign w:val="baseline"/>
        </w:rPr>
        <w:t>, the Court of Appeal encapsulated the correct test as follows:</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It has been repeatedly held by our courts that the proper approach in deciding whether constructive dismissal has taken place is not to ask oneself whether the employer’s conduct was unfair or unreasonable (the unreasonableness test) but whether “the conduct of the employer was such that the employer was guilty of a breach going to the root of the contract or whether he has evinced an intention no longer to be bound by the contract.</w:t>
      </w:r>
      <w:r>
        <w:t>
</w:t>
      </w:r>
    </w:p>
    <w:p/>
    <w:p>
      <w:pPr>
        <w:keepNext w:val="0"/>
        <w:spacing w:before="120" w:after="0" w:line="240" w:lineRule="atLeast"/>
        <w:ind w:left="1880" w:right="0"/>
        <w:jc w:val="both"/>
      </w:pPr>
      <w:r>
        <w:rPr>
          <w:rFonts w:ascii="arial" w:eastAsia="arial" w:hAnsi="arial" w:cs="arial"/>
          <w:b w:val="0"/>
          <w:i/>
          <w:strike w:val="0"/>
          <w:noProof w:val="0"/>
          <w:color w:val="000000"/>
          <w:position w:val="0"/>
          <w:sz w:val="18"/>
          <w:u w:val="none"/>
          <w:vertAlign w:val="baseline"/>
        </w:rPr>
        <w:t>In my opinion, although the learned Chairman had referred to the “contract test”, he had misdirected himself by not addressing the issue whether the employer’s alleged breach vis a vis the complaints of the 1st respondent went to the root of the contract of employment…</w:t>
      </w:r>
      <w:r>
        <w:rPr>
          <w:rFonts w:ascii="arial" w:eastAsia="arial" w:hAnsi="arial" w:cs="arial"/>
          <w:b w:val="0"/>
          <w:i w:val="0"/>
          <w:strike w:val="0"/>
          <w:noProof w:val="0"/>
          <w:color w:val="000000"/>
          <w:position w:val="0"/>
          <w:sz w:val="18"/>
          <w:u w:val="none"/>
          <w:vertAlign w:val="baseline"/>
        </w:rPr>
        <w:t>”; and</w:t>
      </w:r>
      <w:r>
        <w:t>
</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this Court ought to apply the contract test as per the High Court case of </w:t>
      </w:r>
      <w:r>
        <w:rPr>
          <w:rFonts w:ascii="arial" w:eastAsia="arial" w:hAnsi="arial" w:cs="arial"/>
          <w:b w:val="0"/>
          <w:i/>
          <w:strike w:val="0"/>
          <w:noProof w:val="0"/>
          <w:color w:val="000000"/>
          <w:position w:val="0"/>
          <w:sz w:val="24"/>
          <w:u w:val="none"/>
          <w:vertAlign w:val="baseline"/>
        </w:rPr>
        <w:t xml:space="preserve">Malayan Banking Berhad v Marcus Wong &amp; Anor </w:t>
      </w:r>
      <w:r>
        <w:rPr>
          <w:rFonts w:ascii="arial" w:eastAsia="arial" w:hAnsi="arial" w:cs="arial"/>
          <w:b w:val="0"/>
          <w:i w:val="0"/>
          <w:strike w:val="0"/>
          <w:noProof w:val="0"/>
          <w:color w:val="000000"/>
          <w:position w:val="0"/>
          <w:sz w:val="24"/>
          <w:u w:val="none"/>
          <w:vertAlign w:val="baseline"/>
        </w:rPr>
        <w:t>[2015] MLJU 1965 as the four weeks’ notice served on the Claimant who was employed for less than two years from the date of the Notice of Termination was in accordance with Clauses 15, 31 and 33 of the Contract of Employment.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In addition to the above, in relation to the present case, the Company made reference to decided cases in India vis-à-vis India’s legislation relating to industrial disputes and submits as follows –</w:t>
      </w:r>
      <w:r>
        <w:t>
</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a textbook on </w:t>
      </w:r>
      <w:r>
        <w:rPr>
          <w:rFonts w:ascii="arial" w:eastAsia="arial" w:hAnsi="arial" w:cs="arial"/>
          <w:b w:val="0"/>
          <w:i/>
          <w:strike w:val="0"/>
          <w:noProof w:val="0"/>
          <w:color w:val="000000"/>
          <w:position w:val="0"/>
          <w:sz w:val="24"/>
          <w:u w:val="none"/>
          <w:vertAlign w:val="baseline"/>
        </w:rPr>
        <w:t>The Law of Industrial Disputes</w:t>
      </w:r>
      <w:r>
        <w:rPr>
          <w:rFonts w:ascii="arial" w:eastAsia="arial" w:hAnsi="arial" w:cs="arial"/>
          <w:b w:val="0"/>
          <w:i w:val="0"/>
          <w:strike w:val="0"/>
          <w:noProof w:val="0"/>
          <w:color w:val="000000"/>
          <w:position w:val="0"/>
          <w:sz w:val="24"/>
          <w:u w:val="none"/>
          <w:vertAlign w:val="baseline"/>
        </w:rPr>
        <w:t xml:space="preserve">, it is categorically stated that the word </w:t>
      </w:r>
      <w:r>
        <w:rPr>
          <w:rFonts w:ascii="arial" w:eastAsia="arial" w:hAnsi="arial" w:cs="arial"/>
          <w:b w:val="0"/>
          <w:i/>
          <w:strike w:val="0"/>
          <w:noProof w:val="0"/>
          <w:color w:val="000000"/>
          <w:position w:val="0"/>
          <w:sz w:val="24"/>
          <w:u w:val="none"/>
          <w:vertAlign w:val="baseline"/>
        </w:rPr>
        <w:t>‘undertaking</w:t>
      </w:r>
      <w:r>
        <w:rPr>
          <w:rFonts w:ascii="arial" w:eastAsia="arial" w:hAnsi="arial" w:cs="arial"/>
          <w:b w:val="0"/>
          <w:i w:val="0"/>
          <w:strike w:val="0"/>
          <w:noProof w:val="0"/>
          <w:color w:val="000000"/>
          <w:position w:val="0"/>
          <w:sz w:val="24"/>
          <w:u w:val="none"/>
          <w:vertAlign w:val="baseline"/>
        </w:rPr>
        <w:t xml:space="preserve">’ as used in the “section” has not been defined in India’s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1953. Section 25F of the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1953 uses the word ‘</w:t>
      </w:r>
      <w:r>
        <w:rPr>
          <w:rFonts w:ascii="arial" w:eastAsia="arial" w:hAnsi="arial" w:cs="arial"/>
          <w:b w:val="0"/>
          <w:i/>
          <w:strike w:val="0"/>
          <w:noProof w:val="0"/>
          <w:color w:val="000000"/>
          <w:position w:val="0"/>
          <w:sz w:val="24"/>
          <w:u w:val="none"/>
          <w:vertAlign w:val="baseline"/>
        </w:rPr>
        <w:t>industry</w:t>
      </w:r>
      <w:r>
        <w:rPr>
          <w:rFonts w:ascii="arial" w:eastAsia="arial" w:hAnsi="arial" w:cs="arial"/>
          <w:b w:val="0"/>
          <w:i w:val="0"/>
          <w:strike w:val="0"/>
          <w:noProof w:val="0"/>
          <w:color w:val="000000"/>
          <w:position w:val="0"/>
          <w:sz w:val="24"/>
          <w:u w:val="none"/>
          <w:vertAlign w:val="baseline"/>
        </w:rPr>
        <w:t xml:space="preserve">’ while section 25G of the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1953 uses the word ‘</w:t>
      </w:r>
      <w:r>
        <w:rPr>
          <w:rFonts w:ascii="arial" w:eastAsia="arial" w:hAnsi="arial" w:cs="arial"/>
          <w:b w:val="0"/>
          <w:i/>
          <w:strike w:val="0"/>
          <w:noProof w:val="0"/>
          <w:color w:val="000000"/>
          <w:position w:val="0"/>
          <w:sz w:val="24"/>
          <w:u w:val="none"/>
          <w:vertAlign w:val="baseline"/>
        </w:rPr>
        <w:t>industrial establishment</w:t>
      </w:r>
      <w:r>
        <w:rPr>
          <w:rFonts w:ascii="arial" w:eastAsia="arial" w:hAnsi="arial" w:cs="arial"/>
          <w:b w:val="0"/>
          <w:i w:val="0"/>
          <w:strike w:val="0"/>
          <w:noProof w:val="0"/>
          <w:color w:val="000000"/>
          <w:position w:val="0"/>
          <w:sz w:val="24"/>
          <w:u w:val="none"/>
          <w:vertAlign w:val="baseline"/>
        </w:rPr>
        <w:t>’. Since these two sections are cognate, the word ‘</w:t>
      </w:r>
      <w:r>
        <w:rPr>
          <w:rFonts w:ascii="arial" w:eastAsia="arial" w:hAnsi="arial" w:cs="arial"/>
          <w:b w:val="0"/>
          <w:i/>
          <w:strike w:val="0"/>
          <w:noProof w:val="0"/>
          <w:color w:val="000000"/>
          <w:position w:val="0"/>
          <w:sz w:val="24"/>
          <w:u w:val="none"/>
          <w:vertAlign w:val="baseline"/>
        </w:rPr>
        <w:t>industrial establishment</w:t>
      </w:r>
      <w:r>
        <w:rPr>
          <w:rFonts w:ascii="arial" w:eastAsia="arial" w:hAnsi="arial" w:cs="arial"/>
          <w:b w:val="0"/>
          <w:i w:val="0"/>
          <w:strike w:val="0"/>
          <w:noProof w:val="0"/>
          <w:color w:val="000000"/>
          <w:position w:val="0"/>
          <w:sz w:val="24"/>
          <w:u w:val="none"/>
          <w:vertAlign w:val="baseline"/>
        </w:rPr>
        <w:t>’ as used in section 25G has to be understood to mean the ‘</w:t>
      </w:r>
      <w:r>
        <w:rPr>
          <w:rFonts w:ascii="arial" w:eastAsia="arial" w:hAnsi="arial" w:cs="arial"/>
          <w:b w:val="0"/>
          <w:i/>
          <w:strike w:val="0"/>
          <w:noProof w:val="0"/>
          <w:color w:val="000000"/>
          <w:position w:val="0"/>
          <w:sz w:val="24"/>
          <w:u w:val="none"/>
          <w:vertAlign w:val="baseline"/>
        </w:rPr>
        <w:t>industry</w:t>
      </w:r>
      <w:r>
        <w:rPr>
          <w:rFonts w:ascii="arial" w:eastAsia="arial" w:hAnsi="arial" w:cs="arial"/>
          <w:b w:val="0"/>
          <w:i w:val="0"/>
          <w:strike w:val="0"/>
          <w:noProof w:val="0"/>
          <w:color w:val="000000"/>
          <w:position w:val="0"/>
          <w:sz w:val="24"/>
          <w:u w:val="none"/>
          <w:vertAlign w:val="baseline"/>
        </w:rPr>
        <w:t xml:space="preserve">’ as used in Section 25F of the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1953. Furthermore, the term ‘</w:t>
      </w:r>
      <w:r>
        <w:rPr>
          <w:rFonts w:ascii="arial" w:eastAsia="arial" w:hAnsi="arial" w:cs="arial"/>
          <w:b w:val="0"/>
          <w:i/>
          <w:strike w:val="0"/>
          <w:noProof w:val="0"/>
          <w:color w:val="000000"/>
          <w:position w:val="0"/>
          <w:sz w:val="24"/>
          <w:u w:val="none"/>
          <w:vertAlign w:val="baseline"/>
        </w:rPr>
        <w:t>industry</w:t>
      </w:r>
      <w:r>
        <w:rPr>
          <w:rFonts w:ascii="arial" w:eastAsia="arial" w:hAnsi="arial" w:cs="arial"/>
          <w:b w:val="0"/>
          <w:i w:val="0"/>
          <w:strike w:val="0"/>
          <w:noProof w:val="0"/>
          <w:color w:val="000000"/>
          <w:position w:val="0"/>
          <w:sz w:val="24"/>
          <w:u w:val="none"/>
          <w:vertAlign w:val="baseline"/>
        </w:rPr>
        <w:t xml:space="preserve">’ has been defined in Section 2 (j) of the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1953, which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includes an undertaking and section 25F of the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1953 is in </w:t>
      </w:r>
      <w:r>
        <w:rPr>
          <w:rFonts w:ascii="arial" w:eastAsia="arial" w:hAnsi="arial" w:cs="arial"/>
          <w:b w:val="0"/>
          <w:i/>
          <w:strike w:val="0"/>
          <w:noProof w:val="0"/>
          <w:color w:val="000000"/>
          <w:position w:val="0"/>
          <w:sz w:val="24"/>
          <w:u w:val="none"/>
          <w:vertAlign w:val="baseline"/>
        </w:rPr>
        <w:t>pari materia</w:t>
      </w:r>
      <w:r>
        <w:rPr>
          <w:rFonts w:ascii="arial" w:eastAsia="arial" w:hAnsi="arial" w:cs="arial"/>
          <w:b w:val="0"/>
          <w:i w:val="0"/>
          <w:strike w:val="0"/>
          <w:noProof w:val="0"/>
          <w:color w:val="000000"/>
          <w:position w:val="0"/>
          <w:sz w:val="24"/>
          <w:u w:val="none"/>
          <w:vertAlign w:val="baseline"/>
        </w:rPr>
        <w:t xml:space="preserve"> to section 2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the case of </w:t>
      </w:r>
      <w:r>
        <w:rPr>
          <w:rFonts w:ascii="arial" w:eastAsia="arial" w:hAnsi="arial" w:cs="arial"/>
          <w:b w:val="0"/>
          <w:i/>
          <w:strike w:val="0"/>
          <w:noProof w:val="0"/>
          <w:color w:val="000000"/>
          <w:position w:val="0"/>
          <w:sz w:val="24"/>
          <w:u w:val="none"/>
          <w:vertAlign w:val="baseline"/>
        </w:rPr>
        <w:t xml:space="preserve">Express Newspaper Ltd v Their Workmen </w:t>
      </w:r>
      <w:r>
        <w:rPr>
          <w:rFonts w:ascii="arial" w:eastAsia="arial" w:hAnsi="arial" w:cs="arial"/>
          <w:b w:val="0"/>
          <w:i w:val="0"/>
          <w:strike w:val="0"/>
          <w:noProof w:val="0"/>
          <w:color w:val="000000"/>
          <w:position w:val="0"/>
          <w:sz w:val="24"/>
          <w:u w:val="none"/>
          <w:vertAlign w:val="baseline"/>
        </w:rPr>
        <w:t>[1962] 2 LLJ 227, the Supreme Court of India held that if the action taken by the employer is not a lockout but is a closure of business, bona fide and genuine, the dispute which the workers may raise in respect of such a closure is not an industrial dispute at all. However, the use of the expression ‘bona fide’ in these cases does not appear to refer ‘to the motive behind the closure but to the fact of the closure’;</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applying the abovementioned case, the closure of the Company’s business was bona fide, genuine and the alleged dispute between the Claimant and the Company does not tantamount to an industrial dispute at all and the prayers sought from the Claimant, ought to be dismissed with costs by this Court;</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the case of </w:t>
      </w:r>
      <w:r>
        <w:rPr>
          <w:rFonts w:ascii="arial" w:eastAsia="arial" w:hAnsi="arial" w:cs="arial"/>
          <w:b w:val="0"/>
          <w:i/>
          <w:strike w:val="0"/>
          <w:noProof w:val="0"/>
          <w:color w:val="000000"/>
          <w:position w:val="0"/>
          <w:sz w:val="24"/>
          <w:u w:val="none"/>
          <w:vertAlign w:val="baseline"/>
        </w:rPr>
        <w:t xml:space="preserve">Indian Hume Pipe Co Ltd v Their Workmen </w:t>
      </w:r>
      <w:r>
        <w:rPr>
          <w:rFonts w:ascii="arial" w:eastAsia="arial" w:hAnsi="arial" w:cs="arial"/>
          <w:b w:val="0"/>
          <w:i w:val="0"/>
          <w:strike w:val="0"/>
          <w:noProof w:val="0"/>
          <w:color w:val="000000"/>
          <w:position w:val="0"/>
          <w:sz w:val="24"/>
          <w:u w:val="none"/>
          <w:vertAlign w:val="baseline"/>
        </w:rPr>
        <w:t>[1969] 2 LLJ 242, the Supreme Court of India held that the motive of closing down an undertaking was not for the industrial tribunal to examine the question and decide on the bona fides of the motive. The relevant issue was whether the closure of the undertaking is bona fide and justified in the circumstances; and</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applying the abovementioned case, the closure of the Company’s business was justified due to the loss of profit and consecutive losses and damages from 1st November 2019 to 31st March 2020 amounting to the total sum of RM76,718.00 prior to the cessation of the Company’s business vide the Trading and Profit and Loss Accounts for the period of 1st November 2019 to 31st March 2020 (‘the Trading and Profit and Loss Accounts’) proved the Company suffered five (5) consecutive months of losses prior to the cessation of the Company’s business;</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the case of </w:t>
      </w:r>
      <w:r>
        <w:rPr>
          <w:rFonts w:ascii="arial" w:eastAsia="arial" w:hAnsi="arial" w:cs="arial"/>
          <w:b w:val="0"/>
          <w:i/>
          <w:strike w:val="0"/>
          <w:noProof w:val="0"/>
          <w:color w:val="000000"/>
          <w:position w:val="0"/>
          <w:sz w:val="24"/>
          <w:u w:val="none"/>
          <w:vertAlign w:val="baseline"/>
        </w:rPr>
        <w:t>Management of</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Hindustan Steel Ltd v Their Workmen </w:t>
      </w:r>
      <w:r>
        <w:rPr>
          <w:rFonts w:ascii="arial" w:eastAsia="arial" w:hAnsi="arial" w:cs="arial"/>
          <w:b w:val="0"/>
          <w:i w:val="0"/>
          <w:strike w:val="0"/>
          <w:noProof w:val="0"/>
          <w:color w:val="000000"/>
          <w:position w:val="0"/>
          <w:sz w:val="24"/>
          <w:u w:val="none"/>
          <w:vertAlign w:val="baseline"/>
        </w:rPr>
        <w:t xml:space="preserve">[1973] Lab IC 461, the Supreme Court of India held that the Industrial Tribunals had been awarding compensation even before the enactment of section 25F of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in 1953 but there was no uniformity or certainty in the matter and in determining the amount of compensation the Tribunals considered a variety of relevant factors. In determining the amount of compensation the Tribunals exercised complete discretion and took into account whatever factors they considered relevant. The quantum of compensation is a matter primarily for the tribunal to estimate and it is not open to Supreme Court in appeal by special leave to go into this question unless it is shown that the Tribunal has committed any error of law or legal principle in deciding it;</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this Court may draw analogy of the abovementioned case to the present case and to exercise discretion and take into account whatever factors this Court considered pertinent and relevant, as follows: </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reason for the closure of the business was due to the Company suffering losses which had led to the cessation of the Company’s business;</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 result of the cessation of the Company’s business operations due to its financial crisis;</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already been making losses for five (5) consecutive months from 1st November 2019 to 31st March 2020 amounting to the total sum of RM76,718.00;</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termination of the Claimant with the Company was as a result of the cessation of the Company’s business operations due to its financial crisis;</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was constrained to retrench the Claimant due to the losses incurred and the cessation of its business;</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never recommenced operations, nor did it review or reorganise its business pursuant to the termination of the Claimant;</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cannot be held responsible consequent to the same even if that occurs to the Claimant;</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cannot be ordered to be reinstated to the Company’s business given that the Company has closed down the business and that one Dr. Jaganathan A/L Supuramaniam vide the medical practice of Sree JD Medical Sdn Bhd has taken up the franchise of the Company; and</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testified in Court that he had cancelled the franchise of the Company and that the said franchise now belongs to one Dr. Jaganathan A/L Supuramaniam since the year 2020;</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the case of </w:t>
      </w:r>
      <w:r>
        <w:rPr>
          <w:rFonts w:ascii="arial" w:eastAsia="arial" w:hAnsi="arial" w:cs="arial"/>
          <w:b w:val="0"/>
          <w:i/>
          <w:strike w:val="0"/>
          <w:noProof w:val="0"/>
          <w:color w:val="000000"/>
          <w:position w:val="0"/>
          <w:sz w:val="24"/>
          <w:u w:val="none"/>
          <w:vertAlign w:val="baseline"/>
        </w:rPr>
        <w:t xml:space="preserve">Hathising Manufacturing Co Ltd v Union of India </w:t>
      </w:r>
      <w:r>
        <w:rPr>
          <w:rFonts w:ascii="arial" w:eastAsia="arial" w:hAnsi="arial" w:cs="arial"/>
          <w:b w:val="0"/>
          <w:i w:val="0"/>
          <w:strike w:val="0"/>
          <w:noProof w:val="0"/>
          <w:color w:val="000000"/>
          <w:position w:val="0"/>
          <w:sz w:val="24"/>
          <w:u w:val="none"/>
          <w:vertAlign w:val="baseline"/>
        </w:rPr>
        <w:t xml:space="preserve">[1960] 2 LLJ 1, the Supreme Court of India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[s]ub-s. 1 of s. 25FFF reads as follows: -</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Where an undertaking is closed down for any reason every workman who has been in continuous service for not less than one year in that undertaking immediately before such closure, shall subject to the provisions of sub-section (2) be entitled to notice and compensation in accordance with the provisions of S. 25F, as if the workman had been retrenched</w:t>
      </w:r>
      <w:r>
        <w:rPr>
          <w:rFonts w:ascii="arial" w:eastAsia="arial" w:hAnsi="arial" w:cs="arial"/>
          <w:b w:val="0"/>
          <w:i w:val="0"/>
          <w:strike w:val="0"/>
          <w:noProof w:val="0"/>
          <w:color w:val="000000"/>
          <w:position w:val="0"/>
          <w:sz w:val="24"/>
          <w:u w:val="none"/>
          <w:vertAlign w:val="baseline"/>
        </w:rPr>
        <w:t>.”“;</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textbook on </w:t>
      </w:r>
      <w:r>
        <w:rPr>
          <w:rFonts w:ascii="arial" w:eastAsia="arial" w:hAnsi="arial" w:cs="arial"/>
          <w:b w:val="0"/>
          <w:i/>
          <w:strike w:val="0"/>
          <w:noProof w:val="0"/>
          <w:color w:val="000000"/>
          <w:position w:val="0"/>
          <w:sz w:val="24"/>
          <w:u w:val="none"/>
          <w:vertAlign w:val="baseline"/>
        </w:rPr>
        <w:t>The Law of Industrial Disputes</w:t>
      </w:r>
      <w:r>
        <w:rPr>
          <w:rFonts w:ascii="arial" w:eastAsia="arial" w:hAnsi="arial" w:cs="arial"/>
          <w:b w:val="0"/>
          <w:i w:val="0"/>
          <w:strike w:val="0"/>
          <w:noProof w:val="0"/>
          <w:color w:val="000000"/>
          <w:position w:val="0"/>
          <w:sz w:val="24"/>
          <w:u w:val="none"/>
          <w:vertAlign w:val="baseline"/>
        </w:rPr>
        <w:t xml:space="preserve">, it is categorically stated that two (2) conditions must exist at the time of closure of the undertaking, as follows: </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closure; and</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one year’s continuous service by the concerned workmen,</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for the workmen to claim the compensation under section 25FFF of the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1953;</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this Court may draw analogy of the abovementioned case to the present case that the provisions of Section 25FFF of the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1953 apply equally to all the industries which fall within a certain group and the classification made therein cannot be said to be unrelated to the object sought to be achieved by the enactment, hence it is not arbitrary;</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has failed to fulfil the abovementioned two (2) mandatory and crucial conditions for the Claimant to succeed in the dispute between the Claimant and the Company before this Court, at all the material time;</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the case of </w:t>
      </w:r>
      <w:r>
        <w:rPr>
          <w:rFonts w:ascii="arial" w:eastAsia="arial" w:hAnsi="arial" w:cs="arial"/>
          <w:b w:val="0"/>
          <w:i/>
          <w:strike w:val="0"/>
          <w:noProof w:val="0"/>
          <w:color w:val="000000"/>
          <w:position w:val="0"/>
          <w:sz w:val="24"/>
          <w:u w:val="none"/>
          <w:vertAlign w:val="baseline"/>
        </w:rPr>
        <w:t xml:space="preserve">Ramakrishna Ramnath v Labour Court </w:t>
      </w:r>
      <w:r>
        <w:rPr>
          <w:rFonts w:ascii="arial" w:eastAsia="arial" w:hAnsi="arial" w:cs="arial"/>
          <w:b w:val="0"/>
          <w:i w:val="0"/>
          <w:strike w:val="0"/>
          <w:noProof w:val="0"/>
          <w:color w:val="000000"/>
          <w:position w:val="0"/>
          <w:sz w:val="24"/>
          <w:u w:val="none"/>
          <w:vertAlign w:val="baseline"/>
        </w:rPr>
        <w:t xml:space="preserve">[1970] 2 LLJ 306 (Supreme Court of India), it was argued that the workmen claiming the compensation under the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1953 should have put in minimum of one (1) year of ‘continuous service’ on the date of the closure of the business. The workman must establish that he has been in continuous service for not less than one (1) year in the undertaking immediately before the closure in order that the workman may claim the benefit of the provision. The Supreme Court of India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as follows: </w:t>
      </w:r>
    </w:p>
    <w:p>
      <w:pPr>
        <w:keepNext w:val="0"/>
        <w:spacing w:before="120" w:after="0" w:line="240" w:lineRule="atLeast"/>
        <w:ind w:left="152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 xml:space="preserve">5. The appellant put in its written statement on 25th September, 1962 which was later amended on 2nd March, 1964. It raised various contentions both of fact and of law, urging, inter alia, that the applicant was not an employee but an independent contractor, that there had been no closure of the business to attract Section 25FFF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and that in any event the dispute could sot he referred to a labour court. The issues relevant for our purpose settled on 20th September, 1965 were as follows:</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(1) Does the applicant prove that she had been in continuous service of the opponent for more than one year in that undertaking immediately before the closure?</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(2) If so, does she prove that she is entitled to retrenchment compensation equivalent to fifteen days’ average pay for every completed year of service?</w:t>
      </w:r>
      <w:r>
        <w:t>
</w:t>
      </w:r>
    </w:p>
    <w:p/>
    <w:p>
      <w:pPr>
        <w:keepNext w:val="0"/>
        <w:spacing w:before="120" w:after="0" w:line="240" w:lineRule="atLeast"/>
        <w:ind w:left="1520" w:right="0"/>
        <w:jc w:val="both"/>
      </w:pPr>
      <w:r>
        <w:rPr>
          <w:rFonts w:ascii="arial" w:eastAsia="arial" w:hAnsi="arial" w:cs="arial"/>
          <w:b w:val="0"/>
          <w:i/>
          <w:strike w:val="0"/>
          <w:noProof w:val="0"/>
          <w:color w:val="000000"/>
          <w:position w:val="0"/>
          <w:sz w:val="18"/>
          <w:u w:val="none"/>
          <w:vertAlign w:val="baseline"/>
        </w:rPr>
        <w:t>(6) Does the opponent prove that the closure of the factory did not result in the retrenchment of the applicant?</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(7) Alternatively, does he prove the closure was on account of unavoidable circumstances beyond the control of the employer?</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7. The points canvassed on behalf of the appellant before us may be summed up as follows: (1) The disputes which were referred to the Labour Court fell within the jurisdiction of an Industrial Tribunal. The jurisdiction under</w:t>
      </w:r>
      <w:r>
        <w:rPr>
          <w:rFonts w:ascii="arial" w:eastAsia="arial" w:hAnsi="arial" w:cs="arial"/>
          <w:b w:val="0"/>
          <w:i w:val="0"/>
          <w:strike w:val="0"/>
          <w:noProof w:val="0"/>
          <w:color w:val="000000"/>
          <w:position w:val="0"/>
          <w:sz w:val="18"/>
          <w:u w:val="none"/>
          <w:vertAlign w:val="baseline"/>
        </w:rPr>
        <w:t xml:space="preserve"> Section 33C(2) </w:t>
      </w:r>
      <w:r>
        <w:rPr>
          <w:rFonts w:ascii="arial" w:eastAsia="arial" w:hAnsi="arial" w:cs="arial"/>
          <w:b w:val="0"/>
          <w:i/>
          <w:strike w:val="0"/>
          <w:noProof w:val="0"/>
          <w:color w:val="000000"/>
          <w:position w:val="0"/>
          <w:sz w:val="18"/>
          <w:u w:val="none"/>
          <w:vertAlign w:val="baseline"/>
        </w:rPr>
        <w:t>was a limited one and could not embrace a dispute of the nature in the instant case which could only fall under</w:t>
      </w:r>
      <w:r>
        <w:rPr>
          <w:rFonts w:ascii="arial" w:eastAsia="arial" w:hAnsi="arial" w:cs="arial"/>
          <w:b w:val="0"/>
          <w:i w:val="0"/>
          <w:strike w:val="0"/>
          <w:noProof w:val="0"/>
          <w:color w:val="000000"/>
          <w:position w:val="0"/>
          <w:sz w:val="18"/>
          <w:u w:val="none"/>
          <w:vertAlign w:val="baseline"/>
        </w:rPr>
        <w:t xml:space="preserve"> Section 10 </w:t>
      </w:r>
      <w:r>
        <w:rPr>
          <w:rFonts w:ascii="arial" w:eastAsia="arial" w:hAnsi="arial" w:cs="arial"/>
          <w:b w:val="0"/>
          <w:i/>
          <w:strike w:val="0"/>
          <w:noProof w:val="0"/>
          <w:color w:val="000000"/>
          <w:position w:val="0"/>
          <w:sz w:val="18"/>
          <w:u w:val="none"/>
          <w:vertAlign w:val="baseline"/>
        </w:rPr>
        <w:t xml:space="preserve">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(2) The issue raised in each case was a fundamental one not limited to mere computation of a benefit in respect of a right envisaged by</w:t>
      </w:r>
      <w:r>
        <w:rPr>
          <w:rFonts w:ascii="arial" w:eastAsia="arial" w:hAnsi="arial" w:cs="arial"/>
          <w:b w:val="0"/>
          <w:i w:val="0"/>
          <w:strike w:val="0"/>
          <w:noProof w:val="0"/>
          <w:color w:val="000000"/>
          <w:position w:val="0"/>
          <w:sz w:val="18"/>
          <w:u w:val="none"/>
          <w:vertAlign w:val="baseline"/>
        </w:rPr>
        <w:t xml:space="preserve"> Section 33C(2)-(3) </w:t>
      </w:r>
      <w:r>
        <w:rPr>
          <w:rFonts w:ascii="arial" w:eastAsia="arial" w:hAnsi="arial" w:cs="arial"/>
          <w:b w:val="0"/>
          <w:i/>
          <w:strike w:val="0"/>
          <w:noProof w:val="0"/>
          <w:color w:val="000000"/>
          <w:position w:val="0"/>
          <w:sz w:val="18"/>
          <w:u w:val="none"/>
          <w:vertAlign w:val="baseline"/>
        </w:rPr>
        <w:t>There was really no closure of the appellant’s business but only a lock out or a temporary stoppage of work not attracting the operation of Section 25FFF(A) In order to entitle the applicant to the benefits of Section 25F it was obligatory on her to show that she had worked for 240 days in each year of service for which the claim was made.</w:t>
      </w:r>
    </w:p>
    <w:p>
      <w:pPr>
        <w:keepNext w:val="0"/>
        <w:spacing w:before="120" w:after="0" w:line="240" w:lineRule="atLeast"/>
        <w:ind w:left="1520" w:right="0"/>
        <w:jc w:val="both"/>
      </w:pPr>
      <w:r>
        <w:br/>
      </w:r>
      <w:r>
        <w:rPr>
          <w:rFonts w:ascii="arial" w:eastAsia="arial" w:hAnsi="arial" w:cs="arial"/>
          <w:b w:val="0"/>
          <w:i/>
          <w:strike w:val="0"/>
          <w:noProof w:val="0"/>
          <w:color w:val="000000"/>
          <w:position w:val="0"/>
          <w:sz w:val="18"/>
          <w:u w:val="none"/>
          <w:vertAlign w:val="baseline"/>
        </w:rPr>
        <w:t>8. The subject matter of the first two contentions depends on the interpretation of the ambit of</w:t>
      </w:r>
      <w:r>
        <w:rPr>
          <w:rFonts w:ascii="arial" w:eastAsia="arial" w:hAnsi="arial" w:cs="arial"/>
          <w:b w:val="0"/>
          <w:i w:val="0"/>
          <w:strike w:val="0"/>
          <w:noProof w:val="0"/>
          <w:color w:val="000000"/>
          <w:position w:val="0"/>
          <w:sz w:val="18"/>
          <w:u w:val="none"/>
          <w:vertAlign w:val="baseline"/>
        </w:rPr>
        <w:t xml:space="preserve"> Section 33C(2)</w:t>
      </w:r>
      <w:r>
        <w:rPr>
          <w:rFonts w:ascii="arial" w:eastAsia="arial" w:hAnsi="arial" w:cs="arial"/>
          <w:b w:val="0"/>
          <w:i/>
          <w:strike w:val="0"/>
          <w:noProof w:val="0"/>
          <w:color w:val="000000"/>
          <w:position w:val="0"/>
          <w:sz w:val="18"/>
          <w:u w:val="none"/>
          <w:vertAlign w:val="baseline"/>
        </w:rPr>
        <w:t xml:space="preserve"> read with</w:t>
      </w:r>
      <w:r>
        <w:rPr>
          <w:rFonts w:ascii="arial" w:eastAsia="arial" w:hAnsi="arial" w:cs="arial"/>
          <w:b w:val="0"/>
          <w:i w:val="0"/>
          <w:strike w:val="0"/>
          <w:noProof w:val="0"/>
          <w:color w:val="000000"/>
          <w:position w:val="0"/>
          <w:sz w:val="18"/>
          <w:u w:val="none"/>
          <w:vertAlign w:val="baseline"/>
        </w:rPr>
        <w:t xml:space="preserve"> Section 7</w:t>
      </w:r>
      <w:r>
        <w:rPr>
          <w:rFonts w:ascii="arial" w:eastAsia="arial" w:hAnsi="arial" w:cs="arial"/>
          <w:b w:val="0"/>
          <w:i/>
          <w:strike w:val="0"/>
          <w:noProof w:val="0"/>
          <w:color w:val="000000"/>
          <w:position w:val="0"/>
          <w:sz w:val="18"/>
          <w:u w:val="none"/>
          <w:vertAlign w:val="baseline"/>
        </w:rPr>
        <w:t xml:space="preserve">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Under</w:t>
      </w:r>
      <w:r>
        <w:rPr>
          <w:rFonts w:ascii="arial" w:eastAsia="arial" w:hAnsi="arial" w:cs="arial"/>
          <w:b w:val="0"/>
          <w:i w:val="0"/>
          <w:strike w:val="0"/>
          <w:noProof w:val="0"/>
          <w:color w:val="000000"/>
          <w:position w:val="0"/>
          <w:sz w:val="18"/>
          <w:u w:val="none"/>
          <w:vertAlign w:val="baseline"/>
        </w:rPr>
        <w:t xml:space="preserve"> Section 7(1)</w:t>
      </w:r>
      <w:r>
        <w:rPr>
          <w:rFonts w:ascii="arial" w:eastAsia="arial" w:hAnsi="arial" w:cs="arial"/>
          <w:b w:val="0"/>
          <w:i/>
          <w:strike w:val="0"/>
          <w:noProof w:val="0"/>
          <w:color w:val="000000"/>
          <w:position w:val="0"/>
          <w:sz w:val="18"/>
          <w:u w:val="none"/>
          <w:vertAlign w:val="baseline"/>
        </w:rPr>
        <w:t xml:space="preserve"> the appropriate Government may, by notification in the Official; Gazette, constitute one or more labour courts for the adjudication of industrial disputes relating to any matter specified in the Second Schedule and for performing such other functions as may be assigned to them under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Chapter V-A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headed “Lay off and Retrenchment as in force” on the relevant date contained the following provisions:</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25B. For the purposes of Sections 25C and 25F, a workman who during a period of twelve calendar months, has actually worked in an industry for not less than two hundred and forty days, shall be deemed to have completed one year of continuous service in the industry.</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25F. No workman employed in any industry who has been in continuous service for not less than one year under an employer shall be retrenched by that employer until (a) the workman has been given one month’s notice in writing indicating the reasons for retrenchment and the period of notice has expired, or the workman has been paid in lieu of such notice, wages for the period of the notice:</w:t>
      </w:r>
    </w:p>
    <w:p>
      <w:pPr>
        <w:keepNext w:val="0"/>
        <w:spacing w:before="120" w:after="0" w:line="240" w:lineRule="atLeast"/>
        <w:ind w:left="3120" w:right="0"/>
        <w:jc w:val="both"/>
      </w:pPr>
      <w:r>
        <w:br/>
      </w:r>
      <w:r>
        <w:rPr>
          <w:rFonts w:ascii="arial" w:eastAsia="arial" w:hAnsi="arial" w:cs="arial"/>
          <w:b w:val="0"/>
          <w:i/>
          <w:strike w:val="0"/>
          <w:noProof w:val="0"/>
          <w:color w:val="000000"/>
          <w:position w:val="0"/>
          <w:sz w:val="18"/>
          <w:u w:val="none"/>
          <w:vertAlign w:val="baseline"/>
        </w:rPr>
        <w:t>Provided that no such notice shall be necessary if the retrenchment is under an agreement which specifies a date for the termination of service:</w:t>
      </w:r>
      <w:r>
        <w:t>
</w:t>
      </w:r>
    </w:p>
    <w:p/>
    <w:p>
      <w:pPr>
        <w:keepNext w:val="0"/>
        <w:spacing w:before="120" w:after="0" w:line="240" w:lineRule="atLeast"/>
        <w:ind w:left="2320" w:right="0"/>
        <w:jc w:val="both"/>
      </w:pPr>
      <w:r>
        <w:rPr>
          <w:rFonts w:ascii="arial" w:eastAsia="arial" w:hAnsi="arial" w:cs="arial"/>
          <w:b w:val="0"/>
          <w:i/>
          <w:strike w:val="0"/>
          <w:noProof w:val="0"/>
          <w:color w:val="000000"/>
          <w:position w:val="0"/>
          <w:sz w:val="18"/>
          <w:u w:val="none"/>
          <w:vertAlign w:val="baseline"/>
        </w:rPr>
        <w:t>(b) the workman has been paid, at the time of retrenchment, compensation which shall be equivalent to fifteen days’ average pay for every completed year of service or any part thereof in excess of six months; and</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(c) notice in the prescribed manner is served on the appropriate Government.</w:t>
      </w:r>
    </w:p>
    <w:p>
      <w:pPr>
        <w:keepNext w:val="0"/>
        <w:spacing w:before="120" w:after="0" w:line="240" w:lineRule="atLeast"/>
        <w:ind w:left="2320" w:right="0"/>
        <w:jc w:val="both"/>
      </w:pPr>
      <w:r>
        <w:br/>
      </w:r>
      <w:r>
        <w:rPr>
          <w:rFonts w:ascii="arial" w:eastAsia="arial" w:hAnsi="arial" w:cs="arial"/>
          <w:b w:val="0"/>
          <w:i/>
          <w:strike w:val="0"/>
          <w:noProof w:val="0"/>
          <w:color w:val="000000"/>
          <w:position w:val="0"/>
          <w:sz w:val="18"/>
          <w:u w:val="none"/>
          <w:vertAlign w:val="baseline"/>
        </w:rPr>
        <w:t>25FF. (1) Where an undertaking is closed down for any reason whatsoever, every workman who has been in continuous service for not less than one year in that undertaking immediately before the closure shall, subject to the provisions of sub section (2), be entitled to notice and compensation in accordance with the provisions of Section 25F as if the workman had been retrenched:</w:t>
      </w:r>
    </w:p>
    <w:p>
      <w:pPr>
        <w:keepNext w:val="0"/>
        <w:spacing w:before="120" w:after="0" w:line="240" w:lineRule="atLeast"/>
        <w:ind w:left="3120" w:right="0"/>
        <w:jc w:val="both"/>
      </w:pPr>
      <w:r>
        <w:br/>
      </w:r>
      <w:r>
        <w:rPr>
          <w:rFonts w:ascii="arial" w:eastAsia="arial" w:hAnsi="arial" w:cs="arial"/>
          <w:b w:val="0"/>
          <w:i/>
          <w:strike w:val="0"/>
          <w:noProof w:val="0"/>
          <w:color w:val="000000"/>
          <w:position w:val="0"/>
          <w:sz w:val="18"/>
          <w:u w:val="none"/>
          <w:vertAlign w:val="baseline"/>
        </w:rPr>
        <w:t>Provided that where an undertaking is closed down on account of unavoidable circumstances beyond the control of the employer, the compensation to be paid to the workman under Clause (2) of Section 25F shall not exceed his average pay for three months. ...</w:t>
      </w:r>
      <w:r>
        <w:rPr>
          <w:rFonts w:ascii="arial" w:eastAsia="arial" w:hAnsi="arial" w:cs="arial"/>
          <w:b w:val="0"/>
          <w:i w:val="0"/>
          <w:strike w:val="0"/>
          <w:noProof w:val="0"/>
          <w:color w:val="000000"/>
          <w:position w:val="0"/>
          <w:sz w:val="18"/>
          <w:u w:val="none"/>
          <w:vertAlign w:val="baseline"/>
        </w:rPr>
        <w:t xml:space="preserve"> “;</w:t>
      </w:r>
      <w:r>
        <w:t>
</w:t>
      </w:r>
    </w:p>
    <w:p/>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applying the abovementioned case, the Claimant is not entitled to the compensation in accordance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given that the Claimant has not been in continuous service for not less than one year in the undertaking of the Company immediately before the closure of the Company’s business on 1st April 2020;</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is submitted in the case of </w:t>
      </w:r>
      <w:r>
        <w:rPr>
          <w:rFonts w:ascii="arial" w:eastAsia="arial" w:hAnsi="arial" w:cs="arial"/>
          <w:b w:val="0"/>
          <w:i/>
          <w:strike w:val="0"/>
          <w:noProof w:val="0"/>
          <w:color w:val="000000"/>
          <w:position w:val="0"/>
          <w:sz w:val="24"/>
          <w:u w:val="none"/>
          <w:vertAlign w:val="baseline"/>
        </w:rPr>
        <w:t xml:space="preserve">A. Parthasarathi v Management Of Standard Motors Product Of India Ltd </w:t>
      </w:r>
      <w:r>
        <w:rPr>
          <w:rFonts w:ascii="arial" w:eastAsia="arial" w:hAnsi="arial" w:cs="arial"/>
          <w:b w:val="0"/>
          <w:i w:val="0"/>
          <w:strike w:val="0"/>
          <w:noProof w:val="0"/>
          <w:color w:val="000000"/>
          <w:position w:val="0"/>
          <w:sz w:val="24"/>
          <w:u w:val="none"/>
          <w:vertAlign w:val="baseline"/>
        </w:rPr>
        <w:t xml:space="preserve">[1979] Lab IC (NOC) 136, 217 workers filed petitions under Section 33C(2) of the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claiming the closure compensation under Section 25FFF. The petitions were dismissed by the Labour Court. Two (2) writ petitions were filed before the High Court of Madras as test cases and both of them were allowed by the High Court. The Management of Standard Motor Products of India Limited has come up in appeal having obtained a certificate under Article 133 (1) (a) of the Constitution. On appeal, the Supreme Court of India held, </w:t>
      </w:r>
      <w:r>
        <w:rPr>
          <w:rFonts w:ascii="arial" w:eastAsia="arial" w:hAnsi="arial" w:cs="arial"/>
          <w:b w:val="0"/>
          <w:i/>
          <w:strike w:val="0"/>
          <w:noProof w:val="0"/>
          <w:color w:val="000000"/>
          <w:position w:val="0"/>
          <w:sz w:val="24"/>
          <w:u w:val="none"/>
          <w:vertAlign w:val="baseline"/>
        </w:rPr>
        <w:t>inter</w:t>
      </w:r>
      <w:r>
        <w:rPr>
          <w:rFonts w:ascii="arial" w:eastAsia="arial" w:hAnsi="arial" w:cs="arial"/>
          <w:b w:val="0"/>
          <w:i w:val="0"/>
          <w:strike w:val="0"/>
          <w:noProof w:val="0"/>
          <w:color w:val="000000"/>
          <w:position w:val="0"/>
          <w:sz w:val="24"/>
          <w:u w:val="none"/>
          <w:vertAlign w:val="baseline"/>
        </w:rPr>
        <w:t xml:space="preserve"> alia, that “</w:t>
      </w:r>
      <w:r>
        <w:rPr>
          <w:rFonts w:ascii="arial" w:eastAsia="arial" w:hAnsi="arial" w:cs="arial"/>
          <w:b w:val="0"/>
          <w:i/>
          <w:strike w:val="0"/>
          <w:noProof w:val="0"/>
          <w:color w:val="000000"/>
          <w:position w:val="0"/>
          <w:sz w:val="24"/>
          <w:u w:val="none"/>
          <w:vertAlign w:val="baseline"/>
        </w:rPr>
        <w:t xml:space="preserve">…Shri G.B. Pai, learned counsel for the appellant Management submitted that the workmen were not entitled to any closure compensation Under Section 25FFF as they had not been in continuous service for not less than one year in the undertaking immediately before such closure. His submission was that the continuity of service was broken by the two periods of illegal strike and therefore the workmen could not be said to have been in service for not less than one year. There is no force in this submission. Section 25B(1) of the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xml:space="preserve"> says that a workman shall be said to be in continuous service for a period if he is, for that period, in uninterrupted service, including service which may be interrupted by a strike which is not illegal. According to Shri Pai, since the strike in the case was illegal, there was a break in the continuity of service. There would be force in the submission of Shri Pai if Section 25B(2) did not exist. Under Section 25B(2), where a workman is not in continuous service within the meaning of Clause (1) for a period of one year he shall be deemed to be in continuous service for a period of one year, if the workman, during a period of twelve calendar months preceding the date with reference to which calculation is to be made, has actually worked under the employer for not less than two hundred and forty days. In the present case, even if the period of illegal strike is excluded, the number of days during which the workman actually worked under the employer would be found to be more than 240 days. That being so it has to be held that the workmen were in continuous service for a period of one year immediately before the date of closure. The further submission of Shri Pai that the number of days on which the workmen actually worked under the employer would be less than 240 days if Sundays and other holidays for which the workmen were paid wages were excluded has already been answered by us in the case of The Workmen of American Express International Ranking Corporation v. The Management of American Express International Banking Corporation in which judgment has just been pronounced by us. In the circumstances, both the appeals are dismissed with costs…</w:t>
      </w:r>
      <w:r>
        <w:rPr>
          <w:rFonts w:ascii="arial" w:eastAsia="arial" w:hAnsi="arial" w:cs="arial"/>
          <w:b w:val="0"/>
          <w:i w:val="0"/>
          <w:strike w:val="0"/>
          <w:noProof w:val="0"/>
          <w:color w:val="000000"/>
          <w:position w:val="0"/>
          <w:sz w:val="24"/>
          <w:u w:val="none"/>
          <w:vertAlign w:val="baseline"/>
        </w:rPr>
        <w:t>”; and</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applying the abovementioned case, the Claimant is not entitled to the compensation in accordance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given that the Claimant has not been in continuous service for not less than one year in the undertaking of the Company immediately before the closure of the Company’s business on 1st April 2020.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Furthermore, the Company also submits as follows:</w:t>
      </w:r>
      <w:r>
        <w:t>
</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cases of </w:t>
      </w:r>
      <w:r>
        <w:rPr>
          <w:rFonts w:ascii="arial" w:eastAsia="arial" w:hAnsi="arial" w:cs="arial"/>
          <w:b w:val="0"/>
          <w:i/>
          <w:strike w:val="0"/>
          <w:noProof w:val="0"/>
          <w:color w:val="000000"/>
          <w:position w:val="0"/>
          <w:sz w:val="24"/>
          <w:u w:val="none"/>
          <w:vertAlign w:val="baseline"/>
        </w:rPr>
        <w:t>Goon Kwee Phoy v J &amp; P Coats (M) Bhd</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Bayer (M) Sdn Bhd v Ng Hong Pau</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Au Lai Chan &amp; Anor v Malaysian Mosaics Sdn Bhd &amp; Anor &amp; Another Appeal</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KFC Technical Services Sdn Bhd v Industrial Court of Malaysia &amp; Anor</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Arivagam Arumugam v Safeguards G4S Sdn Bhd</w:t>
      </w:r>
      <w:r>
        <w:rPr>
          <w:rFonts w:ascii="arial" w:eastAsia="arial" w:hAnsi="arial" w:cs="arial"/>
          <w:b w:val="0"/>
          <w:i w:val="0"/>
          <w:strike w:val="0"/>
          <w:noProof w:val="0"/>
          <w:color w:val="000000"/>
          <w:position w:val="0"/>
          <w:sz w:val="24"/>
          <w:u w:val="none"/>
          <w:vertAlign w:val="baseline"/>
        </w:rPr>
        <w:t xml:space="preserve"> , </w:t>
      </w:r>
      <w:r>
        <w:rPr>
          <w:rFonts w:ascii="arial" w:eastAsia="arial" w:hAnsi="arial" w:cs="arial"/>
          <w:b w:val="0"/>
          <w:i/>
          <w:strike w:val="0"/>
          <w:noProof w:val="0"/>
          <w:color w:val="000000"/>
          <w:position w:val="0"/>
          <w:sz w:val="24"/>
          <w:u w:val="none"/>
          <w:vertAlign w:val="baseline"/>
        </w:rPr>
        <w:t>Total Sports Asia Sdn Bhd v Zakiah Abdul Hamid, Credit Corporation (M) Bhd v Choo Kam Sino, Ipoh City &amp; Country Club Berhad v Mohd Khurshaid Ramjan Din, Harris Solid State (M) Sdn Bhd &amp; Ors v Bruno Gentil Pereira &amp; Ors and Ng Chang Seng v Technip Geoproduction (M) Sdn Bhd &amp; Anor</w:t>
      </w:r>
      <w:r>
        <w:rPr>
          <w:rFonts w:ascii="arial" w:eastAsia="arial" w:hAnsi="arial" w:cs="arial"/>
          <w:b w:val="0"/>
          <w:i w:val="0"/>
          <w:strike w:val="0"/>
          <w:noProof w:val="0"/>
          <w:color w:val="000000"/>
          <w:position w:val="0"/>
          <w:sz w:val="24"/>
          <w:u w:val="none"/>
          <w:vertAlign w:val="baseline"/>
        </w:rPr>
        <w:t xml:space="preserve"> relied upon by Claimant could be distinguished from the present case as the claimants’ cause of action in these cases were in relation to redundancy whereas the present case relates to the closure of business;</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case of </w:t>
      </w:r>
      <w:r>
        <w:rPr>
          <w:rFonts w:ascii="arial" w:eastAsia="arial" w:hAnsi="arial" w:cs="arial"/>
          <w:b w:val="0"/>
          <w:i/>
          <w:strike w:val="0"/>
          <w:noProof w:val="0"/>
          <w:color w:val="000000"/>
          <w:position w:val="0"/>
          <w:sz w:val="24"/>
          <w:u w:val="none"/>
          <w:vertAlign w:val="baseline"/>
        </w:rPr>
        <w:t>Wong Chee Hong v Cathay Organisation (M) Sdn Bhd</w:t>
      </w:r>
      <w:r>
        <w:rPr>
          <w:rFonts w:ascii="arial" w:eastAsia="arial" w:hAnsi="arial" w:cs="arial"/>
          <w:b w:val="0"/>
          <w:i w:val="0"/>
          <w:strike w:val="0"/>
          <w:noProof w:val="0"/>
          <w:color w:val="000000"/>
          <w:position w:val="0"/>
          <w:sz w:val="24"/>
          <w:u w:val="none"/>
          <w:vertAlign w:val="baseline"/>
        </w:rPr>
        <w:t xml:space="preserve"> relied upon by the Claimant is distinguishable from the facts of the present case as the facts and the applicable law in the case of </w:t>
      </w:r>
      <w:r>
        <w:rPr>
          <w:rFonts w:ascii="arial" w:eastAsia="arial" w:hAnsi="arial" w:cs="arial"/>
          <w:b w:val="0"/>
          <w:i/>
          <w:strike w:val="0"/>
          <w:noProof w:val="0"/>
          <w:color w:val="000000"/>
          <w:position w:val="0"/>
          <w:sz w:val="24"/>
          <w:u w:val="none"/>
          <w:vertAlign w:val="baseline"/>
        </w:rPr>
        <w:t>Wong Chee Hong v Cathay Organisation (M) Sdn Bhd</w:t>
      </w:r>
      <w:r>
        <w:rPr>
          <w:rFonts w:ascii="arial" w:eastAsia="arial" w:hAnsi="arial" w:cs="arial"/>
          <w:b w:val="0"/>
          <w:i w:val="0"/>
          <w:strike w:val="0"/>
          <w:noProof w:val="0"/>
          <w:color w:val="000000"/>
          <w:position w:val="0"/>
          <w:sz w:val="24"/>
          <w:u w:val="none"/>
          <w:vertAlign w:val="baseline"/>
        </w:rPr>
        <w:t xml:space="preserve">, are whether the doctrine of constructive dismissal is applicable in the interpretation of section 20 (1)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and to the common law test whether the Industrial Court has misdirected itself as to its jurisdiction;</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case of </w:t>
      </w:r>
      <w:r>
        <w:rPr>
          <w:rFonts w:ascii="arial" w:eastAsia="arial" w:hAnsi="arial" w:cs="arial"/>
          <w:b w:val="0"/>
          <w:i/>
          <w:strike w:val="0"/>
          <w:noProof w:val="0"/>
          <w:color w:val="000000"/>
          <w:position w:val="0"/>
          <w:sz w:val="24"/>
          <w:u w:val="none"/>
          <w:vertAlign w:val="baseline"/>
        </w:rPr>
        <w:t>Weltex Knitwer Industries Sdn Bhd v Law Kar Toy</w:t>
      </w:r>
      <w:r>
        <w:rPr>
          <w:rFonts w:ascii="arial" w:eastAsia="arial" w:hAnsi="arial" w:cs="arial"/>
          <w:b w:val="0"/>
          <w:i w:val="0"/>
          <w:strike w:val="0"/>
          <w:noProof w:val="0"/>
          <w:color w:val="000000"/>
          <w:position w:val="0"/>
          <w:sz w:val="24"/>
          <w:u w:val="none"/>
          <w:vertAlign w:val="baseline"/>
        </w:rPr>
        <w:t xml:space="preserve"> relied upon by the Claimant is distinguishable from the facts of the present case as the case of </w:t>
      </w:r>
      <w:r>
        <w:rPr>
          <w:rFonts w:ascii="arial" w:eastAsia="arial" w:hAnsi="arial" w:cs="arial"/>
          <w:b w:val="0"/>
          <w:i/>
          <w:strike w:val="0"/>
          <w:noProof w:val="0"/>
          <w:color w:val="000000"/>
          <w:position w:val="0"/>
          <w:sz w:val="24"/>
          <w:u w:val="none"/>
          <w:vertAlign w:val="baseline"/>
        </w:rPr>
        <w:t>Weltex Knitwer Industries Sdn Bhd v Law Kar Toy</w:t>
      </w:r>
      <w:r>
        <w:rPr>
          <w:rFonts w:ascii="arial" w:eastAsia="arial" w:hAnsi="arial" w:cs="arial"/>
          <w:b w:val="0"/>
          <w:i w:val="0"/>
          <w:strike w:val="0"/>
          <w:noProof w:val="0"/>
          <w:color w:val="000000"/>
          <w:position w:val="0"/>
          <w:sz w:val="24"/>
          <w:u w:val="none"/>
          <w:vertAlign w:val="baseline"/>
        </w:rPr>
        <w:t xml:space="preserve"> is a case of forced resignation;</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case of </w:t>
      </w:r>
      <w:r>
        <w:rPr>
          <w:rFonts w:ascii="arial" w:eastAsia="arial" w:hAnsi="arial" w:cs="arial"/>
          <w:b w:val="0"/>
          <w:i/>
          <w:strike w:val="0"/>
          <w:noProof w:val="0"/>
          <w:color w:val="000000"/>
          <w:position w:val="0"/>
          <w:sz w:val="24"/>
          <w:u w:val="none"/>
          <w:vertAlign w:val="baseline"/>
        </w:rPr>
        <w:t>William Jacks &amp; Co. (M) Sdn Bhd v S Balasingam</w:t>
      </w:r>
      <w:r>
        <w:rPr>
          <w:rFonts w:ascii="arial" w:eastAsia="arial" w:hAnsi="arial" w:cs="arial"/>
          <w:b w:val="0"/>
          <w:i w:val="0"/>
          <w:strike w:val="0"/>
          <w:noProof w:val="0"/>
          <w:color w:val="000000"/>
          <w:position w:val="0"/>
          <w:sz w:val="24"/>
          <w:u w:val="none"/>
          <w:vertAlign w:val="baseline"/>
        </w:rPr>
        <w:t xml:space="preserve"> relied upon by the Claimant is distinguishable from the facts of the present case as it is a case of appeal against the refusal of the High Court to issue certiorari to quash an award of the Industrial Court in favour of the respondent; and</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case of </w:t>
      </w:r>
      <w:r>
        <w:rPr>
          <w:rFonts w:ascii="arial" w:eastAsia="arial" w:hAnsi="arial" w:cs="arial"/>
          <w:b w:val="0"/>
          <w:i/>
          <w:strike w:val="0"/>
          <w:noProof w:val="0"/>
          <w:color w:val="000000"/>
          <w:position w:val="0"/>
          <w:sz w:val="24"/>
          <w:u w:val="none"/>
          <w:vertAlign w:val="baseline"/>
        </w:rPr>
        <w:t>Firex Sdn Bhd v Cik Ng Shoo Waa</w:t>
      </w:r>
      <w:r>
        <w:rPr>
          <w:rFonts w:ascii="arial" w:eastAsia="arial" w:hAnsi="arial" w:cs="arial"/>
          <w:b w:val="0"/>
          <w:i w:val="0"/>
          <w:strike w:val="0"/>
          <w:noProof w:val="0"/>
          <w:color w:val="000000"/>
          <w:position w:val="0"/>
          <w:sz w:val="24"/>
          <w:u w:val="none"/>
          <w:vertAlign w:val="baseline"/>
        </w:rPr>
        <w:t xml:space="preserve"> relied upon by the Claimant is in favour of the Company in the present case as it was held that the Industrial Court will not intervene unless it is shown that the decision to determine the volume of the labour force consistent with his business, organization, management and the services of some of employees become excess of the requirement of the business was capricious or without reason or was mala fide or was actuated by victimisation or unfair labour practice.</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Claimant’s Case and Submissions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The Claimant avers –</w:t>
      </w:r>
      <w:r>
        <w:t>
</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was a Government Medical Officer at Hospital Tuanku Jaafar, Seremban and was approached by COW-1, on behalf of the Company, to convince the Claimant to join his Clinic in Seremban, with the motivation that the latter ran successful medical clinics, amongst others, which have been thriving business wise and has never closed any of his businesses then. The Claimant was taken up by the proposal and tendered his resignation as a Government Medical Officer;</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commenced employment with the Company on 2nd December 2019 as its General Practitioner, for a contract period of one (1) year with a salary of RM10,000.00 per month with an option to renew;</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pursuant to the Contract of Employment which the Claimant entered into with COW-1 on behalf of the Company, the Claimant was based at the Clinic in Seremban;</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his job responsibilities were to “diligently carry out your duties as General Practitioner, handle all patients with care, maintain service records of the patients, to handle the cash flow of the Company with honesty and integrity”. Following thereto, the Claimant had carried out his duties with due diligence at all material times;</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Contract of Employment further provides that the Company shall give the Claimant three (3) months’ written notice of termination of employment;</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on or around 28th February 2020, COW-1 served the Notice of Termination on the Claimant on the purported ground that the Clinic was ceasing operations on 1st April 2020. The contents of the letter left the Claimant in shock and despair as he was only in his third month of service with the Clinic and further that the Clinic had only given him one (1) month notice and not three (3) months as provided for under the Contract of Employment;</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during the Notice of Termination period i.e. in the month of March 2020, which was at the height of the covid-19 pandemic, the Clinic had refused to provide Personal Protection Equipment for the Claimant;</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termination of his employment had caused the Claimant embarrassment and humiliation, not only amongst his colleagues but also his patients and family members;</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unilateral termination of his Contract of Employment was done in bad faith without consultation and/or discussion with him and in fact done with ulterior motive. The Claimant states that in good faith, he had accepted the offer of employment from the Company, more so as the Company was well known; and</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he was left with an uncertain future upon the termination of his Contract of Employment as he had to provide for his very young family. The Claimant states that he had an unblemished career record.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The Claimant, </w:t>
      </w:r>
      <w:r>
        <w:rPr>
          <w:rFonts w:ascii="arial" w:eastAsia="arial" w:hAnsi="arial" w:cs="arial"/>
          <w:b w:val="0"/>
          <w:i/>
          <w:strike w:val="0"/>
          <w:noProof w:val="0"/>
          <w:color w:val="000000"/>
          <w:position w:val="0"/>
          <w:sz w:val="24"/>
          <w:u w:val="none"/>
          <w:vertAlign w:val="baseline"/>
        </w:rPr>
        <w:t>vide</w:t>
      </w:r>
      <w:r>
        <w:rPr>
          <w:rFonts w:ascii="arial" w:eastAsia="arial" w:hAnsi="arial" w:cs="arial"/>
          <w:b w:val="0"/>
          <w:i w:val="0"/>
          <w:strike w:val="0"/>
          <w:noProof w:val="0"/>
          <w:color w:val="000000"/>
          <w:position w:val="0"/>
          <w:sz w:val="24"/>
          <w:u w:val="none"/>
          <w:vertAlign w:val="baseline"/>
        </w:rPr>
        <w:t xml:space="preserve"> the Claimant’s Written Submissions dated 29th February 2024 and the Claimant’s Written Submissions in Reply dated 29th March 2024, submits that –</w:t>
      </w:r>
      <w:r>
        <w:t>
</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is trite law that every employer has the right to reorganise or restructure its business in any manner it thinks fit based on its economic requirements or as deemed necessary for its business at any material time. However, this right of the employer is subject to the underlying intentions in making such decision. In relation thereto, the Claimant further submits – </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term “retrenchment” was defined in the classic Court of Appeal case of </w:t>
      </w:r>
      <w:r>
        <w:rPr>
          <w:rFonts w:ascii="arial" w:eastAsia="arial" w:hAnsi="arial" w:cs="arial"/>
          <w:b w:val="0"/>
          <w:i/>
          <w:strike w:val="0"/>
          <w:noProof w:val="0"/>
          <w:color w:val="000000"/>
          <w:position w:val="0"/>
          <w:sz w:val="24"/>
          <w:u w:val="none"/>
          <w:vertAlign w:val="baseline"/>
        </w:rPr>
        <w:t xml:space="preserve">William Jacks &amp; Co. (M) Sdn. Bhd. v S. Balasingam </w:t>
      </w:r>
      <w:r>
        <w:rPr>
          <w:rFonts w:ascii="arial" w:eastAsia="arial" w:hAnsi="arial" w:cs="arial"/>
          <w:b w:val="0"/>
          <w:i w:val="0"/>
          <w:strike w:val="0"/>
          <w:noProof w:val="0"/>
          <w:color w:val="000000"/>
          <w:position w:val="0"/>
          <w:sz w:val="24"/>
          <w:u w:val="none"/>
          <w:vertAlign w:val="baseline"/>
        </w:rPr>
        <w:t xml:space="preserve">[1997] 3 CLJ 235 in which his Lordship Justice Gopal Sri Ram JCA who delivered the judgement of the Court of Appeal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[t]he issue before that Court was whether there was a genuine retrenchment exercise vis-a-vis the respondent. Retrenchment means: “the discharge of surplus labour or staff by the employer for any reason whatsoever otherwise than as a punishment inflicted by way of disciplinary action” (per S.K. Das J in</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Hariprasad v. Divelkar AIR </w:t>
      </w:r>
      <w:r>
        <w:rPr>
          <w:rFonts w:ascii="arial" w:eastAsia="arial" w:hAnsi="arial" w:cs="arial"/>
          <w:b w:val="0"/>
          <w:i w:val="0"/>
          <w:strike w:val="0"/>
          <w:noProof w:val="0"/>
          <w:color w:val="000000"/>
          <w:position w:val="0"/>
          <w:sz w:val="24"/>
          <w:u w:val="none"/>
          <w:vertAlign w:val="baseline"/>
        </w:rPr>
        <w:t>[1957] SC 121</w:t>
      </w:r>
      <w:r>
        <w:rPr>
          <w:rFonts w:ascii="arial" w:eastAsia="arial" w:hAnsi="arial" w:cs="arial"/>
          <w:b w:val="0"/>
          <w:i/>
          <w:strike w:val="0"/>
          <w:noProof w:val="0"/>
          <w:color w:val="000000"/>
          <w:position w:val="0"/>
          <w:sz w:val="24"/>
          <w:u w:val="none"/>
          <w:vertAlign w:val="baseline"/>
        </w:rPr>
        <w:t xml:space="preserve"> at p. 132). Whether the retrenchment exercise in a particular case is bona fide or otherwise, is a question of fact and of degree depending for its resolution upon the peculiar facts and circumstances of each case. It is well-settled that an employer is entitled to organise his business in the manner he considers best. So long as that managerial power is exercised bona fide, the decision is immune from examination even by the Industrial Court. However, the Industrial Court is empowered, and indeed duty- bound, to investigate the facts and circumstances of a particular case to determine whether that exercise of power was in fact bona fide. …</w:t>
      </w:r>
      <w:r>
        <w:rPr>
          <w:rFonts w:ascii="arial" w:eastAsia="arial" w:hAnsi="arial" w:cs="arial"/>
          <w:b w:val="0"/>
          <w:i w:val="0"/>
          <w:strike w:val="0"/>
          <w:noProof w:val="0"/>
          <w:color w:val="000000"/>
          <w:position w:val="0"/>
          <w:sz w:val="24"/>
          <w:u w:val="none"/>
          <w:vertAlign w:val="baseline"/>
        </w:rPr>
        <w:t>”; and</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in </w:t>
      </w:r>
      <w:r>
        <w:rPr>
          <w:rFonts w:ascii="arial" w:eastAsia="arial" w:hAnsi="arial" w:cs="arial"/>
          <w:b w:val="0"/>
          <w:i/>
          <w:strike w:val="0"/>
          <w:noProof w:val="0"/>
          <w:color w:val="000000"/>
          <w:position w:val="0"/>
          <w:sz w:val="24"/>
          <w:u w:val="none"/>
          <w:vertAlign w:val="baseline"/>
        </w:rPr>
        <w:t xml:space="preserve">Firex Sdn Bhd v Cik Ng Shoo Waa </w:t>
      </w:r>
      <w:r>
        <w:rPr>
          <w:rFonts w:ascii="arial" w:eastAsia="arial" w:hAnsi="arial" w:cs="arial"/>
          <w:b w:val="0"/>
          <w:i w:val="0"/>
          <w:strike w:val="0"/>
          <w:noProof w:val="0"/>
          <w:color w:val="000000"/>
          <w:position w:val="0"/>
          <w:sz w:val="24"/>
          <w:u w:val="none"/>
          <w:vertAlign w:val="baseline"/>
        </w:rPr>
        <w:t xml:space="preserve">[1990] 1 ILR 226,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…the employer has a right to determine the volume of his labour force consistent with his business and organisation and if the implementation of a reorganising scheme adopted for reasons of economy and better management of the business, the services of some of the employees become excess of the requirement of the business, the employer is entitled to discharge each excess. … It is well established that it is for management to decide the strength of its staff which it considers necessary for efficiency in its undertaking. The Court will not intervene unless it is shown that the decision was capricious or without reason or was mala fide or was actuated by victimisation or unfair labour practice. These principles have been consistently applied by the Industrial Court in numerous cases…</w:t>
      </w:r>
      <w:r>
        <w:rPr>
          <w:rFonts w:ascii="arial" w:eastAsia="arial" w:hAnsi="arial" w:cs="arial"/>
          <w:b w:val="0"/>
          <w:i w:val="0"/>
          <w:strike w:val="0"/>
          <w:noProof w:val="0"/>
          <w:color w:val="000000"/>
          <w:position w:val="0"/>
          <w:sz w:val="24"/>
          <w:u w:val="none"/>
          <w:vertAlign w:val="baseline"/>
        </w:rPr>
        <w:t>”;</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is also pertinent for the employer to prove that the affected employee’s workload, duties and responsibilities had ceased to exist or are no longer needed in the Company at the material time. The retrenchment must be done in a good faith as can be seen in the Court of Appeal case of </w:t>
      </w:r>
      <w:r>
        <w:rPr>
          <w:rFonts w:ascii="arial" w:eastAsia="arial" w:hAnsi="arial" w:cs="arial"/>
          <w:b w:val="0"/>
          <w:i/>
          <w:strike w:val="0"/>
          <w:noProof w:val="0"/>
          <w:color w:val="000000"/>
          <w:position w:val="0"/>
          <w:sz w:val="24"/>
          <w:u w:val="none"/>
          <w:vertAlign w:val="baseline"/>
        </w:rPr>
        <w:t xml:space="preserve">Bayer (M) Sdn. Bhd. v Ng Hong Pau </w:t>
      </w:r>
      <w:r>
        <w:rPr>
          <w:rFonts w:ascii="arial" w:eastAsia="arial" w:hAnsi="arial" w:cs="arial"/>
          <w:b w:val="0"/>
          <w:i w:val="0"/>
          <w:strike w:val="0"/>
          <w:noProof w:val="0"/>
          <w:color w:val="000000"/>
          <w:position w:val="0"/>
          <w:sz w:val="24"/>
          <w:u w:val="none"/>
          <w:vertAlign w:val="baseline"/>
        </w:rPr>
        <w:t xml:space="preserve">[1999] 4 CLJ 155, wherein His Lordship Justice Shaik Daud Ismail JCA stated,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w:t>
      </w:r>
      <w:r>
        <w:rPr>
          <w:rFonts w:ascii="arial" w:eastAsia="arial" w:hAnsi="arial" w:cs="arial"/>
          <w:b w:val="0"/>
          <w:i/>
          <w:strike w:val="0"/>
          <w:noProof w:val="0"/>
          <w:color w:val="000000"/>
          <w:position w:val="0"/>
          <w:sz w:val="24"/>
          <w:u w:val="none"/>
          <w:vertAlign w:val="baseline"/>
        </w:rPr>
        <w:t>[t]he burden is on the appellant to prove actual redundancy on which the dismissal was grounded. (See</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Chapman &amp; Others v. Goonvean &amp; Rostawvack China Clay Co. Ltd. </w:t>
      </w:r>
      <w:r>
        <w:rPr>
          <w:rFonts w:ascii="arial" w:eastAsia="arial" w:hAnsi="arial" w:cs="arial"/>
          <w:b w:val="0"/>
          <w:i w:val="0"/>
          <w:strike w:val="0"/>
          <w:noProof w:val="0"/>
          <w:color w:val="000000"/>
          <w:position w:val="0"/>
          <w:sz w:val="24"/>
          <w:u w:val="none"/>
          <w:vertAlign w:val="baseline"/>
        </w:rPr>
        <w:t>[1983] 2 All ER</w:t>
      </w:r>
      <w:r>
        <w:rPr>
          <w:rFonts w:ascii="arial" w:eastAsia="arial" w:hAnsi="arial" w:cs="arial"/>
          <w:b w:val="0"/>
          <w:i/>
          <w:strike w:val="0"/>
          <w:noProof w:val="0"/>
          <w:color w:val="000000"/>
          <w:position w:val="0"/>
          <w:sz w:val="24"/>
          <w:u w:val="none"/>
          <w:vertAlign w:val="baseline"/>
        </w:rPr>
        <w:t>). It is our view that merely to show evidence of a re-organisation in the appellant is certainly not sufficient. There was evidence before the court that although sales were reduced, the workload of the respondent remained the same. After his dismissal his workload was taken over by two of his former colleagues. Faced with these evidence, is it any wonder that the court made a finding of fact that there was no convincing evidence produced by the appellant that the respondent’s functions were reduced to such an extent that he was considered redundant…</w:t>
      </w:r>
      <w:r>
        <w:rPr>
          <w:rFonts w:ascii="arial" w:eastAsia="arial" w:hAnsi="arial" w:cs="arial"/>
          <w:b w:val="0"/>
          <w:i w:val="0"/>
          <w:strike w:val="0"/>
          <w:noProof w:val="0"/>
          <w:color w:val="000000"/>
          <w:position w:val="0"/>
          <w:sz w:val="24"/>
          <w:u w:val="none"/>
          <w:vertAlign w:val="baseline"/>
        </w:rPr>
        <w:t>”;</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employment was terminated within a mere three months of his employment in the Company and such abrupt cessation raises questions not only about the Claimant’s rights but also about the Company’s adherence to fair and reasonable employment practices;</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Company claimed that they were closing the business within three months. The question that arises is whether the Company had been reasonable in closing the business within three months. In relation thereto, COW-1 testified that the Company had suffered losses and another reason for the cessation of the business was due to the impact of the Covid-19 pandemic on his business. For this purpose, the Claimant cited the following cases – </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Court of Appeal case of </w:t>
      </w:r>
      <w:r>
        <w:rPr>
          <w:rFonts w:ascii="arial" w:eastAsia="arial" w:hAnsi="arial" w:cs="arial"/>
          <w:b w:val="0"/>
          <w:i/>
          <w:strike w:val="0"/>
          <w:noProof w:val="0"/>
          <w:color w:val="000000"/>
          <w:position w:val="0"/>
          <w:sz w:val="24"/>
          <w:u w:val="none"/>
          <w:vertAlign w:val="baseline"/>
        </w:rPr>
        <w:t xml:space="preserve">Au Lai Chan &amp; Anor v Malaysian Mosaics Sdn Bhd &amp; Anor &amp; Another Appeal </w:t>
      </w:r>
      <w:r>
        <w:rPr>
          <w:rFonts w:ascii="arial" w:eastAsia="arial" w:hAnsi="arial" w:cs="arial"/>
          <w:b w:val="0"/>
          <w:i w:val="0"/>
          <w:strike w:val="0"/>
          <w:noProof w:val="0"/>
          <w:color w:val="000000"/>
          <w:position w:val="0"/>
          <w:sz w:val="24"/>
          <w:u w:val="none"/>
          <w:vertAlign w:val="baseline"/>
        </w:rPr>
        <w:t xml:space="preserve">[2023] CLJU 1963, wherein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that “</w:t>
      </w:r>
      <w:r>
        <w:rPr>
          <w:rFonts w:ascii="arial" w:eastAsia="arial" w:hAnsi="arial" w:cs="arial"/>
          <w:b w:val="0"/>
          <w:i/>
          <w:strike w:val="0"/>
          <w:noProof w:val="0"/>
          <w:color w:val="000000"/>
          <w:position w:val="0"/>
          <w:sz w:val="24"/>
          <w:u w:val="none"/>
          <w:vertAlign w:val="baseline"/>
        </w:rPr>
        <w:t>[i]t was not disputed that the burden to prove redundancy lay with the company as the employer. Counsel for the appellants argued even if the reasons given in the termination letter were proven, it would not be sufficient. The company must prove that the appellants’ positions were genuinely redundant. Counsel for the appellants contended that redistribution of the workload of the appellants and reorganisation alone would not suffice to establish real redundancy. Additionally, the company has to prove that it adopted a fair procedure and offered alternative employment to the dismissed employee</w:t>
      </w:r>
      <w:r>
        <w:rPr>
          <w:rFonts w:ascii="arial" w:eastAsia="arial" w:hAnsi="arial" w:cs="arial"/>
          <w:b w:val="0"/>
          <w:i w:val="0"/>
          <w:strike w:val="0"/>
          <w:noProof w:val="0"/>
          <w:color w:val="000000"/>
          <w:position w:val="0"/>
          <w:sz w:val="24"/>
          <w:u w:val="none"/>
          <w:vertAlign w:val="baseline"/>
        </w:rPr>
        <w:t>…”;</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High Court case of </w:t>
      </w:r>
      <w:r>
        <w:rPr>
          <w:rFonts w:ascii="arial" w:eastAsia="arial" w:hAnsi="arial" w:cs="arial"/>
          <w:b w:val="0"/>
          <w:i/>
          <w:strike w:val="0"/>
          <w:noProof w:val="0"/>
          <w:color w:val="000000"/>
          <w:position w:val="0"/>
          <w:sz w:val="24"/>
          <w:u w:val="none"/>
          <w:vertAlign w:val="baseline"/>
        </w:rPr>
        <w:t xml:space="preserve">KFC Technical Services Sdn Bhd v Industrial Court of Malaysia &amp; Anor </w:t>
      </w:r>
      <w:r>
        <w:rPr>
          <w:rFonts w:ascii="arial" w:eastAsia="arial" w:hAnsi="arial" w:cs="arial"/>
          <w:b w:val="0"/>
          <w:i w:val="0"/>
          <w:strike w:val="0"/>
          <w:noProof w:val="0"/>
          <w:color w:val="000000"/>
          <w:position w:val="0"/>
          <w:sz w:val="24"/>
          <w:u w:val="none"/>
          <w:vertAlign w:val="baseline"/>
        </w:rPr>
        <w:t xml:space="preserve">[1992] 1 MLJ 564, wherein it was stated as follows: </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In the present case the original reasons given were redundancy and inefficiency on which ground the claimants were illegally dismissed during the union’s claim for recognition, reinstated, and dismissed again after union recognition was given. In the result, the recognition given to the union came to nothing, its members having been evicted from their employment and there remained no longer anyone for the union to represent. This was not closure for a genuine purpose, nor was the contracting out of the company’s business to Innovest Hart for good and bona fide reasons.</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Before me the appellant’s learned Counsel Encik V.T. Nathan argued that the Industrial Court had taken into consideration and had given more weight to matters which were irrelevant. He submitted that there was in fact a real closure of the appellant’s maintenance division. He cited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Hotel Continental Sdn. Bhd. v. National Union of Hotel, Bar &amp; Restaurant Worker, </w:t>
      </w:r>
      <w:r>
        <w:rPr>
          <w:rFonts w:ascii="arial" w:eastAsia="arial" w:hAnsi="arial" w:cs="arial"/>
          <w:b w:val="0"/>
          <w:i w:val="0"/>
          <w:strike w:val="0"/>
          <w:noProof w:val="0"/>
          <w:color w:val="000000"/>
          <w:position w:val="0"/>
          <w:sz w:val="18"/>
          <w:u w:val="none"/>
          <w:vertAlign w:val="baseline"/>
        </w:rPr>
        <w:t>[1983] 2 ILR 124</w:t>
      </w:r>
      <w:r>
        <w:rPr>
          <w:rFonts w:ascii="arial" w:eastAsia="arial" w:hAnsi="arial" w:cs="arial"/>
          <w:b w:val="0"/>
          <w:i/>
          <w:strike w:val="0"/>
          <w:noProof w:val="0"/>
          <w:color w:val="000000"/>
          <w:position w:val="0"/>
          <w:sz w:val="18"/>
          <w:u w:val="none"/>
          <w:vertAlign w:val="baseline"/>
        </w:rPr>
        <w:t xml:space="preserve"> at 129 where the Industrial Court cited a passage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Kalinga Tubes Ltd. v. Their Workmen </w:t>
      </w:r>
      <w:r>
        <w:rPr>
          <w:rFonts w:ascii="arial" w:eastAsia="arial" w:hAnsi="arial" w:cs="arial"/>
          <w:b w:val="0"/>
          <w:i w:val="0"/>
          <w:strike w:val="0"/>
          <w:noProof w:val="0"/>
          <w:color w:val="000000"/>
          <w:position w:val="0"/>
          <w:sz w:val="18"/>
          <w:u w:val="none"/>
          <w:vertAlign w:val="baseline"/>
        </w:rPr>
        <w:t>[1909] AIR Supreme Court 90</w:t>
      </w:r>
      <w:r>
        <w:rPr>
          <w:rFonts w:ascii="arial" w:eastAsia="arial" w:hAnsi="arial" w:cs="arial"/>
          <w:b w:val="0"/>
          <w:i/>
          <w:strike w:val="0"/>
          <w:noProof w:val="0"/>
          <w:color w:val="000000"/>
          <w:position w:val="0"/>
          <w:sz w:val="18"/>
          <w:u w:val="none"/>
          <w:vertAlign w:val="baseline"/>
        </w:rPr>
        <w:t>, as follows:</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 the closure has to be genuine and bona fide in the sense that it should be a closure in fact and not a mere pretence of closure. The motive behind the closure is immaterial and what has to be seen is whether it was an effective one.</w:t>
      </w:r>
      <w:r>
        <w:t>
</w:t>
      </w:r>
    </w:p>
    <w:p/>
    <w:p>
      <w:pPr>
        <w:keepNext w:val="0"/>
        <w:spacing w:before="120" w:after="0" w:line="240" w:lineRule="atLeast"/>
        <w:ind w:left="1880" w:right="0"/>
        <w:jc w:val="both"/>
      </w:pPr>
      <w:r>
        <w:rPr>
          <w:rFonts w:ascii="arial" w:eastAsia="arial" w:hAnsi="arial" w:cs="arial"/>
          <w:b w:val="0"/>
          <w:i/>
          <w:strike w:val="0"/>
          <w:noProof w:val="0"/>
          <w:color w:val="000000"/>
          <w:position w:val="0"/>
          <w:sz w:val="18"/>
          <w:u w:val="none"/>
          <w:vertAlign w:val="baseline"/>
        </w:rPr>
        <w:t>Encik Nathan also cited 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District Labour Association Calcutta v. Ex-Employees of Tea District Labour Association &amp; Anor. </w:t>
      </w:r>
      <w:r>
        <w:rPr>
          <w:rFonts w:ascii="arial" w:eastAsia="arial" w:hAnsi="arial" w:cs="arial"/>
          <w:b w:val="0"/>
          <w:i w:val="0"/>
          <w:strike w:val="0"/>
          <w:noProof w:val="0"/>
          <w:color w:val="000000"/>
          <w:position w:val="0"/>
          <w:sz w:val="18"/>
          <w:u w:val="none"/>
          <w:vertAlign w:val="baseline"/>
        </w:rPr>
        <w:t>[1960] AIR SC 815</w:t>
      </w:r>
      <w:r>
        <w:rPr>
          <w:rFonts w:ascii="arial" w:eastAsia="arial" w:hAnsi="arial" w:cs="arial"/>
          <w:b w:val="0"/>
          <w:i/>
          <w:strike w:val="0"/>
          <w:noProof w:val="0"/>
          <w:color w:val="000000"/>
          <w:position w:val="0"/>
          <w:sz w:val="18"/>
          <w:u w:val="none"/>
          <w:vertAlign w:val="baseline"/>
        </w:rPr>
        <w:t xml:space="preserve"> which held that where there was no pretence of closure and the undertaking had in fact been closed but the closure was not bona fide the consequences would be the liability of the employer to pay the higher compensation under s. 25.FFF of the Industrial Disputes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1947(India). But if the closure was real but is shown to be mala fide the Industrial Tribunal’s conclusion that the undertaking in the eye of the law should be deemed to continue is not justified, and an award on that basis must be set aside. ...</w:t>
      </w:r>
      <w:r>
        <w:rPr>
          <w:rFonts w:ascii="arial" w:eastAsia="arial" w:hAnsi="arial" w:cs="arial"/>
          <w:b w:val="0"/>
          <w:i w:val="0"/>
          <w:strike w:val="0"/>
          <w:noProof w:val="0"/>
          <w:color w:val="000000"/>
          <w:position w:val="0"/>
          <w:sz w:val="18"/>
          <w:u w:val="none"/>
          <w:vertAlign w:val="baseline"/>
        </w:rPr>
        <w:t>”; and</w:t>
      </w:r>
      <w:r>
        <w:t>
</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Industrial Court case of </w:t>
      </w:r>
      <w:r>
        <w:rPr>
          <w:rFonts w:ascii="arial" w:eastAsia="arial" w:hAnsi="arial" w:cs="arial"/>
          <w:b w:val="0"/>
          <w:i/>
          <w:strike w:val="0"/>
          <w:noProof w:val="0"/>
          <w:color w:val="000000"/>
          <w:position w:val="0"/>
          <w:sz w:val="24"/>
          <w:u w:val="none"/>
          <w:vertAlign w:val="baseline"/>
        </w:rPr>
        <w:t xml:space="preserve">Arivagam Arumugam v Safeguards G4S Sdn Bhd </w:t>
      </w:r>
      <w:r>
        <w:rPr>
          <w:rFonts w:ascii="arial" w:eastAsia="arial" w:hAnsi="arial" w:cs="arial"/>
          <w:b w:val="0"/>
          <w:i w:val="0"/>
          <w:strike w:val="0"/>
          <w:noProof w:val="0"/>
          <w:color w:val="000000"/>
          <w:position w:val="0"/>
          <w:sz w:val="24"/>
          <w:u w:val="none"/>
          <w:vertAlign w:val="baseline"/>
        </w:rPr>
        <w:t>[2024] ILRU 0037, wherein it was stated that “</w:t>
      </w:r>
      <w:r>
        <w:rPr>
          <w:rFonts w:ascii="arial" w:eastAsia="arial" w:hAnsi="arial" w:cs="arial"/>
          <w:b w:val="0"/>
          <w:i/>
          <w:strike w:val="0"/>
          <w:noProof w:val="0"/>
          <w:color w:val="000000"/>
          <w:position w:val="0"/>
          <w:sz w:val="24"/>
          <w:u w:val="none"/>
          <w:vertAlign w:val="baseline"/>
        </w:rPr>
        <w:t>[t]he Court has warned itself that the burden of termination by reason of redundancy is on the employer to prove with concrete evidence that redundancy is real on the ground of industrial or trade reasons, and that the decision to retrench is not capricious or mala fide or actuated by victimization. This Court is also mindful, in the context of security of tenure of employment, it is the function of this Court to aid and protect workers against unfair and unreasonable redundancy</w:t>
      </w:r>
      <w:r>
        <w:rPr>
          <w:rFonts w:ascii="arial" w:eastAsia="arial" w:hAnsi="arial" w:cs="arial"/>
          <w:b w:val="0"/>
          <w:i w:val="0"/>
          <w:strike w:val="0"/>
          <w:noProof w:val="0"/>
          <w:color w:val="000000"/>
          <w:position w:val="0"/>
          <w:sz w:val="24"/>
          <w:u w:val="none"/>
          <w:vertAlign w:val="baseline"/>
        </w:rPr>
        <w:t>”;</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based on the COW-1’s testimony, the abrupt closure of the Clinic within a mere three months of its establishment, without sufficient justification raises substantial doubts regarding the reasonableness for the Company’s actions, depriving the Claimant of a stable employment opportunity;</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COW-1’s and COW-2’s testimony on the Company’s finances lacked comprehensive documentation to support the financial claims made during the testimony. There were no detailed profit and loss accounts or monthly statements provided to validate the financial status of the Company. The lack of transparency raises questions about the accuracy and reliability of the financial information presented;</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COW-1’s assertion of financial loss as the primary reason for the closure of the Company while also mentioning COVID-19 as a secondary reason, and COW-2’s assertion on the financial information presents discrepancy and calls for transparency of its explanation as it is obvious that the Company is attempting to shift blame or provide multiple, conflicting reasons for its closure;</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stated that the reason for the Company’s business decline was Covid-19’s impact. It is worth noting that the Movement Control Order was only announced on 16.3.2020 and took effect on 18.3.2020, by which time the Clinic was already closed. As the Movement Control Order was announced after the Company’s closure, it logically follows that COVID- 19 could not have been a determining factor in the decision to cease operations of the Company;</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COW-1 is trying to raise fictitious reasons and it’s an afterthought. The letters to the Ministries and the Notice of Termination were dated 28th February 2020. In fact, COW-1 did not mention Covid-19 as the reason for the cessation. Therefore, the reason for the impact of COVID-19 on the business is a mere afterthought;</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this discrepancy suggests unreasonableness and does not constitute a genuine and bona fide redundancy. The closure of the business has profound implications for the Claimant who has relied on this job for his livelihood. The Company’s failure to inform the Claimant earlier about the decision to close its business and without adequate consideration for the welfare of its employee further highlights the unreasonableness of its actions;</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counsel did not challenge the evidence given by the Claimant;</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there were no letters or emails from the Company to suggest that they had informed the Claimant of the intention to cease the Company’s business. In fact, the Claimant was not aware that there was a possibility of cessation of the Company’s business. Furthermore, the Company should have ensured adequate notice was given to the Claimant before dismissing him to enable the Claimant to find suitable alternative employment as it could safeguard the livelihood of the Claimant and the people dependent on him. In this regard, reference was made to the following cases: </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Industrial Court case of </w:t>
      </w:r>
      <w:r>
        <w:rPr>
          <w:rFonts w:ascii="arial" w:eastAsia="arial" w:hAnsi="arial" w:cs="arial"/>
          <w:b w:val="0"/>
          <w:i/>
          <w:strike w:val="0"/>
          <w:noProof w:val="0"/>
          <w:color w:val="000000"/>
          <w:position w:val="0"/>
          <w:sz w:val="24"/>
          <w:u w:val="none"/>
          <w:vertAlign w:val="baseline"/>
        </w:rPr>
        <w:t xml:space="preserve">Total Sports Asia Sdn Bhd v Zakiah Abdul Hamid </w:t>
      </w:r>
      <w:r>
        <w:rPr>
          <w:rFonts w:ascii="arial" w:eastAsia="arial" w:hAnsi="arial" w:cs="arial"/>
          <w:b w:val="0"/>
          <w:i w:val="0"/>
          <w:strike w:val="0"/>
          <w:noProof w:val="0"/>
          <w:color w:val="000000"/>
          <w:position w:val="0"/>
          <w:sz w:val="24"/>
          <w:u w:val="none"/>
          <w:vertAlign w:val="baseline"/>
        </w:rPr>
        <w:t>[2008] 1 ILR 49</w:t>
      </w:r>
      <w:r>
        <w:rPr>
          <w:rFonts w:ascii="arial" w:eastAsia="arial" w:hAnsi="arial" w:cs="arial"/>
          <w:b w:val="0"/>
          <w:i/>
          <w:strike w:val="0"/>
          <w:noProof w:val="0"/>
          <w:color w:val="000000"/>
          <w:position w:val="0"/>
          <w:sz w:val="24"/>
          <w:u w:val="none"/>
          <w:vertAlign w:val="baseline"/>
        </w:rPr>
        <w:t>, wherein it was held, inter alia, that “[a]lthough there had not been a legal obligation on the part of the company to consult or give the claimant early warning, an employer should ensure fair industrial practise by abiding by the principle that employees should be given notice or adequate warning before being retrenched to prepare them for the employment situation and to enable them to find suitable alternative employment. The company had failed to do so in the instant case”</w:t>
      </w:r>
      <w:r>
        <w:rPr>
          <w:rFonts w:ascii="arial" w:eastAsia="arial" w:hAnsi="arial" w:cs="arial"/>
          <w:b w:val="0"/>
          <w:i w:val="0"/>
          <w:strike w:val="0"/>
          <w:noProof w:val="0"/>
          <w:color w:val="000000"/>
          <w:position w:val="0"/>
          <w:sz w:val="24"/>
          <w:u w:val="none"/>
          <w:vertAlign w:val="baseline"/>
        </w:rPr>
        <w:t>;</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High Court case of </w:t>
      </w:r>
      <w:r>
        <w:rPr>
          <w:rFonts w:ascii="arial" w:eastAsia="arial" w:hAnsi="arial" w:cs="arial"/>
          <w:b w:val="0"/>
          <w:i/>
          <w:strike w:val="0"/>
          <w:noProof w:val="0"/>
          <w:color w:val="000000"/>
          <w:position w:val="0"/>
          <w:sz w:val="24"/>
          <w:u w:val="none"/>
          <w:vertAlign w:val="baseline"/>
        </w:rPr>
        <w:t xml:space="preserve">Credit Corporation (M) Bhd v Choo Kam Sino </w:t>
      </w:r>
      <w:r>
        <w:rPr>
          <w:rFonts w:ascii="arial" w:eastAsia="arial" w:hAnsi="arial" w:cs="arial"/>
          <w:b w:val="0"/>
          <w:i w:val="0"/>
          <w:strike w:val="0"/>
          <w:noProof w:val="0"/>
          <w:color w:val="000000"/>
          <w:position w:val="0"/>
          <w:sz w:val="24"/>
          <w:u w:val="none"/>
          <w:vertAlign w:val="baseline"/>
        </w:rPr>
        <w:t xml:space="preserve">[1999] 8 CLJ 86, wherein Nik Hashim J stated as follows: </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Moreover, the learned chairman found as a fact that the 1st respondent was not given a pre-warning of the retrenchment as required under the Code of Conduct for Industrial Harmony (the code). Articles 20 and 21 of the code on redundancy and retrenchment put certain burden on the employer before carrying out the exercise.</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In circumstances where redundancy is likely an employer should, in consultation with his employees’ representatives or their trade union, as appropriate, and in consultation with the Ministry of Labour and Manpower, take positive steps to avert or minimise reduction of workforce by the adoption of appropriate measures such as:</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The above code was made on 9 February 1975, pursuant to a joint agreement by the Malaysian Council of Employers’ Organisation and the Malaysian Trades Union Congress with the approval of the Minister of Labour and Manpower (as it was then known). It is noteworthy that</w:t>
      </w:r>
      <w:r>
        <w:rPr>
          <w:rFonts w:ascii="arial" w:eastAsia="arial" w:hAnsi="arial" w:cs="arial"/>
          <w:b w:val="0"/>
          <w:i w:val="0"/>
          <w:strike w:val="0"/>
          <w:noProof w:val="0"/>
          <w:color w:val="000000"/>
          <w:position w:val="0"/>
          <w:sz w:val="18"/>
          <w:u w:val="none"/>
          <w:vertAlign w:val="baseline"/>
        </w:rPr>
        <w:t xml:space="preserve"> s. 30(5A)</w:t>
      </w:r>
      <w:r>
        <w:rPr>
          <w:rFonts w:ascii="arial" w:eastAsia="arial" w:hAnsi="arial" w:cs="arial"/>
          <w:b w:val="0"/>
          <w:i/>
          <w:strike w:val="0"/>
          <w:noProof w:val="0"/>
          <w:color w:val="000000"/>
          <w:position w:val="0"/>
          <w:sz w:val="18"/>
          <w:u w:val="none"/>
          <w:vertAlign w:val="baseline"/>
        </w:rPr>
        <w:t xml:space="preserve"> of the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authorises the Industrial Court, in making an award to take into consideration, the requirement of the code. The importance to observe the code was emphasised by the Federal Court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Said Dharmalingam v. Malayan Breweries (M) Sdn Bhd </w:t>
      </w:r>
      <w:r>
        <w:rPr>
          <w:rFonts w:ascii="arial" w:eastAsia="arial" w:hAnsi="arial" w:cs="arial"/>
          <w:b w:val="0"/>
          <w:i w:val="0"/>
          <w:strike w:val="0"/>
          <w:noProof w:val="0"/>
          <w:color w:val="000000"/>
          <w:position w:val="0"/>
          <w:sz w:val="18"/>
          <w:u w:val="none"/>
          <w:vertAlign w:val="baseline"/>
        </w:rPr>
        <w:t>[1997] 1 CLJ 646</w:t>
      </w:r>
      <w:r>
        <w:rPr>
          <w:rFonts w:ascii="arial" w:eastAsia="arial" w:hAnsi="arial" w:cs="arial"/>
          <w:b w:val="0"/>
          <w:i/>
          <w:strike w:val="0"/>
          <w:noProof w:val="0"/>
          <w:color w:val="000000"/>
          <w:position w:val="0"/>
          <w:sz w:val="18"/>
          <w:u w:val="none"/>
          <w:vertAlign w:val="baseline"/>
        </w:rPr>
        <w:t xml:space="preserve"> (refd) … which observed:</w:t>
      </w:r>
    </w:p>
    <w:p>
      <w:pPr>
        <w:keepNext w:val="0"/>
        <w:spacing w:before="120" w:after="0" w:line="240" w:lineRule="atLeast"/>
        <w:ind w:left="3480" w:right="0"/>
        <w:jc w:val="both"/>
      </w:pPr>
      <w:r>
        <w:br/>
      </w:r>
      <w:r>
        <w:rPr>
          <w:rFonts w:ascii="arial" w:eastAsia="arial" w:hAnsi="arial" w:cs="arial"/>
          <w:b w:val="0"/>
          <w:i/>
          <w:strike w:val="0"/>
          <w:noProof w:val="0"/>
          <w:color w:val="000000"/>
          <w:position w:val="0"/>
          <w:sz w:val="18"/>
          <w:u w:val="none"/>
          <w:vertAlign w:val="baseline"/>
        </w:rPr>
        <w:t>The reasonablenees of the dismissal may well depend on the procedure...</w:t>
      </w:r>
    </w:p>
    <w:p>
      <w:pPr>
        <w:keepNext w:val="0"/>
        <w:spacing w:before="120" w:after="0" w:line="240" w:lineRule="atLeast"/>
        <w:ind w:left="3480" w:right="0"/>
        <w:jc w:val="both"/>
      </w:pPr>
      <w:r>
        <w:br/>
      </w:r>
      <w:r>
        <w:rPr>
          <w:rFonts w:ascii="arial" w:eastAsia="arial" w:hAnsi="arial" w:cs="arial"/>
          <w:b w:val="0"/>
          <w:i/>
          <w:strike w:val="0"/>
          <w:noProof w:val="0"/>
          <w:color w:val="000000"/>
          <w:position w:val="0"/>
          <w:sz w:val="18"/>
          <w:u w:val="none"/>
          <w:vertAlign w:val="baseline"/>
        </w:rPr>
        <w:t>Though the code has no legal force (</w:t>
      </w:r>
      <w:r>
        <w:rPr>
          <w:rFonts w:ascii="arial" w:eastAsia="arial" w:hAnsi="arial" w:cs="arial"/>
          <w:b w:val="0"/>
          <w:i/>
          <w:strike w:val="0"/>
          <w:noProof w:val="0"/>
          <w:color w:val="000000"/>
          <w:position w:val="0"/>
          <w:sz w:val="18"/>
          <w:u w:val="none"/>
          <w:vertAlign w:val="baseline"/>
        </w:rPr>
        <w:t xml:space="preserve">Penang &amp; Seberang Prai Textile &amp; Government Industry Employees Union v. Dragon &amp; Phoenix </w:t>
      </w:r>
      <w:r>
        <w:rPr>
          <w:rFonts w:ascii="arial" w:eastAsia="arial" w:hAnsi="arial" w:cs="arial"/>
          <w:b w:val="0"/>
          <w:i w:val="0"/>
          <w:strike w:val="0"/>
          <w:noProof w:val="0"/>
          <w:color w:val="000000"/>
          <w:position w:val="0"/>
          <w:sz w:val="18"/>
          <w:u w:val="none"/>
          <w:vertAlign w:val="baseline"/>
        </w:rPr>
        <w:t>[1989] 1 MLJ 481</w:t>
      </w:r>
      <w:r>
        <w:rPr>
          <w:rFonts w:ascii="arial" w:eastAsia="arial" w:hAnsi="arial" w:cs="arial"/>
          <w:b w:val="0"/>
          <w:i/>
          <w:strike w:val="0"/>
          <w:noProof w:val="0"/>
          <w:color w:val="000000"/>
          <w:position w:val="0"/>
          <w:sz w:val="18"/>
          <w:u w:val="none"/>
          <w:vertAlign w:val="baseline"/>
        </w:rPr>
        <w:t>), it is a relevant factor for the purpose of considering the overall reasonableness of the employer’s action (Said Dharmalingam, supra) in dismissal cases. In this regard, the learned chairman is correct when he took into consideration the fact that there was no consultation held with the 1st respondent before his dismissal as one of the grounds that the dismissal was without just cause or excuse. …</w:t>
      </w:r>
      <w:r>
        <w:rPr>
          <w:rFonts w:ascii="arial" w:eastAsia="arial" w:hAnsi="arial" w:cs="arial"/>
          <w:b w:val="0"/>
          <w:i w:val="0"/>
          <w:strike w:val="0"/>
          <w:noProof w:val="0"/>
          <w:color w:val="000000"/>
          <w:position w:val="0"/>
          <w:sz w:val="18"/>
          <w:u w:val="none"/>
          <w:vertAlign w:val="baseline"/>
        </w:rPr>
        <w:t>”; and</w:t>
      </w:r>
      <w:r>
        <w:t>
</w:t>
      </w:r>
    </w:p>
    <w:p/>
    <w:p/>
    <w:p>
      <w:pPr>
        <w:keepNext w:val="0"/>
        <w:numPr>
          <w:numId w:val="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Industrial Court case of </w:t>
      </w:r>
      <w:r>
        <w:rPr>
          <w:rFonts w:ascii="arial" w:eastAsia="arial" w:hAnsi="arial" w:cs="arial"/>
          <w:b w:val="0"/>
          <w:i/>
          <w:strike w:val="0"/>
          <w:noProof w:val="0"/>
          <w:color w:val="000000"/>
          <w:position w:val="0"/>
          <w:sz w:val="24"/>
          <w:u w:val="none"/>
          <w:vertAlign w:val="baseline"/>
        </w:rPr>
        <w:t xml:space="preserve">Ipoh City &amp; Country Club Berhad v Mohd Khurshaid Ramjan Din </w:t>
      </w:r>
      <w:r>
        <w:rPr>
          <w:rFonts w:ascii="arial" w:eastAsia="arial" w:hAnsi="arial" w:cs="arial"/>
          <w:b w:val="0"/>
          <w:i w:val="0"/>
          <w:strike w:val="0"/>
          <w:noProof w:val="0"/>
          <w:color w:val="000000"/>
          <w:position w:val="0"/>
          <w:sz w:val="24"/>
          <w:u w:val="none"/>
          <w:vertAlign w:val="baseline"/>
        </w:rPr>
        <w:t xml:space="preserve">[2006] 3 ILR 1756, wherein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that - </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…the facts of this case show a classic example of a company using the excuse of a purported redundancy to dismiss the claimant with impunity. The company cannot use the excuse of outsourcing its security services by way of reorganisation to render the claimant’s services redundant. This is inequitable and doing a disservice to the claimant and the other security guards whose means of livelihood was snuffed out suddenly and without any warning or indication. …</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 xml:space="preserve">… Nonetheless based on the circumstances of the case, I have to find that the method the company had used to cut costs as testified by COW1 (“It was cheaper to engage the new security guards. Costs were cut by 20 to 30%”) was unconscionable by its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strike w:val="0"/>
          <w:noProof w:val="0"/>
          <w:color w:val="000000"/>
          <w:position w:val="0"/>
          <w:sz w:val="18"/>
          <w:u w:val="none"/>
          <w:vertAlign w:val="baseline"/>
        </w:rPr>
        <w:t xml:space="preserve"> of terminating the employment of the entire in-house security force and to thus conclude that the claimant’s retrenchment was not bona fide. There was no proof of any real redundancy on which the dismissal was grounded. The same security services were still required by the company but under the guise of outsourcing at the expense of the claimant’s employment…</w:t>
      </w:r>
      <w:r>
        <w:rPr>
          <w:rFonts w:ascii="arial" w:eastAsia="arial" w:hAnsi="arial" w:cs="arial"/>
          <w:b w:val="0"/>
          <w:i w:val="0"/>
          <w:strike w:val="0"/>
          <w:noProof w:val="0"/>
          <w:color w:val="000000"/>
          <w:position w:val="0"/>
          <w:sz w:val="18"/>
          <w:u w:val="none"/>
          <w:vertAlign w:val="baseline"/>
        </w:rPr>
        <w:t>”; and</w:t>
      </w:r>
      <w:r>
        <w:t>
</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Claimant’s termination of employment was without just cause and excuse as the Company failed to show that the business was reasonably closed. The Company had further failed to discharge the burden of proving that there was a genuine need to cease its operations. The Claimant cited the following Court of Appeal cases relating to the same: </w:t>
      </w:r>
    </w:p>
    <w:p>
      <w:pPr>
        <w:keepNext w:val="0"/>
        <w:numPr>
          <w:numId w:val="32"/>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 xml:space="preserve">Harris Solid State (M) Sdn Bhd &amp; Ors v Bruno Gentil Pereira &amp; Ors </w:t>
      </w:r>
      <w:r>
        <w:rPr>
          <w:rFonts w:ascii="arial" w:eastAsia="arial" w:hAnsi="arial" w:cs="arial"/>
          <w:b w:val="0"/>
          <w:i w:val="0"/>
          <w:strike w:val="0"/>
          <w:noProof w:val="0"/>
          <w:color w:val="000000"/>
          <w:position w:val="0"/>
          <w:sz w:val="24"/>
          <w:u w:val="none"/>
          <w:vertAlign w:val="baseline"/>
        </w:rPr>
        <w:t>[1996] 4 CLJ 747, wherein His Lordship Gopal Sri Rama JCA stated that “</w:t>
      </w:r>
      <w:r>
        <w:rPr>
          <w:rFonts w:ascii="arial" w:eastAsia="arial" w:hAnsi="arial" w:cs="arial"/>
          <w:b w:val="0"/>
          <w:i/>
          <w:strike w:val="0"/>
          <w:noProof w:val="0"/>
          <w:color w:val="000000"/>
          <w:position w:val="0"/>
          <w:sz w:val="24"/>
          <w:u w:val="none"/>
          <w:vertAlign w:val="baseline"/>
        </w:rPr>
        <w:t>[a]n employer may re-organise his commercial undertaking for any legitimate reason, such as promoting better economic viability. But he must not do so for a collateral purpose, for example, to victimise his workmen for their legitimate participation in union activities. Whether the particular exercise of managerial power was exercised bona fide or for collateral reasons is a question of fact that necessarily falls to be decided upon the peculiar circumstances of each case</w:t>
      </w:r>
      <w:r>
        <w:rPr>
          <w:rFonts w:ascii="arial" w:eastAsia="arial" w:hAnsi="arial" w:cs="arial"/>
          <w:b w:val="0"/>
          <w:i w:val="0"/>
          <w:strike w:val="0"/>
          <w:noProof w:val="0"/>
          <w:color w:val="000000"/>
          <w:position w:val="0"/>
          <w:sz w:val="24"/>
          <w:u w:val="none"/>
          <w:vertAlign w:val="baseline"/>
        </w:rPr>
        <w:t>”; and</w:t>
      </w:r>
    </w:p>
    <w:p>
      <w:pPr>
        <w:keepNext w:val="0"/>
        <w:numPr>
          <w:numId w:val="33"/>
        </w:numPr>
        <w:spacing w:before="120" w:after="0" w:line="300" w:lineRule="atLeast"/>
        <w:ind w:right="0"/>
        <w:jc w:val="both"/>
      </w:pPr>
      <w:r>
        <w:rPr>
          <w:rFonts w:ascii="arial" w:eastAsia="arial" w:hAnsi="arial" w:cs="arial"/>
          <w:b w:val="0"/>
          <w:i/>
          <w:strike w:val="0"/>
          <w:noProof w:val="0"/>
          <w:color w:val="000000"/>
          <w:position w:val="0"/>
          <w:sz w:val="24"/>
          <w:u w:val="none"/>
          <w:vertAlign w:val="baseline"/>
        </w:rPr>
        <w:t xml:space="preserve">Ng Chang Seng v Technip Geoproduction (M) Sdn Bhd &amp; Anor </w:t>
      </w:r>
      <w:r>
        <w:rPr>
          <w:rFonts w:ascii="arial" w:eastAsia="arial" w:hAnsi="arial" w:cs="arial"/>
          <w:b w:val="0"/>
          <w:i w:val="0"/>
          <w:strike w:val="0"/>
          <w:noProof w:val="0"/>
          <w:color w:val="000000"/>
          <w:position w:val="0"/>
          <w:sz w:val="24"/>
          <w:u w:val="none"/>
          <w:vertAlign w:val="baseline"/>
        </w:rPr>
        <w:t xml:space="preserve">[2021] 1 MLJ 447, wherein it was held, </w:t>
      </w:r>
      <w:r>
        <w:rPr>
          <w:rFonts w:ascii="arial" w:eastAsia="arial" w:hAnsi="arial" w:cs="arial"/>
          <w:b w:val="0"/>
          <w:i/>
          <w:strike w:val="0"/>
          <w:noProof w:val="0"/>
          <w:color w:val="000000"/>
          <w:position w:val="0"/>
          <w:sz w:val="24"/>
          <w:u w:val="none"/>
          <w:vertAlign w:val="baseline"/>
        </w:rPr>
        <w:t>inter alia</w:t>
      </w:r>
      <w:r>
        <w:rPr>
          <w:rFonts w:ascii="arial" w:eastAsia="arial" w:hAnsi="arial" w:cs="arial"/>
          <w:b w:val="0"/>
          <w:i w:val="0"/>
          <w:strike w:val="0"/>
          <w:noProof w:val="0"/>
          <w:color w:val="000000"/>
          <w:position w:val="0"/>
          <w:sz w:val="24"/>
          <w:u w:val="none"/>
          <w:vertAlign w:val="baseline"/>
        </w:rPr>
        <w:t xml:space="preserve">, as follows: </w:t>
      </w:r>
    </w:p>
    <w:p>
      <w:pPr>
        <w:keepNext w:val="0"/>
        <w:spacing w:before="120" w:after="0" w:line="240" w:lineRule="atLeast"/>
        <w:ind w:left="1880" w:right="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 As stated the burden of proof is always on the company to show before the Industrial Court that the termination on ground of retrenchment arising out of redundancy is for a just cause or excuse and that it is lawful and not actuated by irrelevant considerations like poor performance or perceived insubordination or that it was not done mala fide and did not reek of unfair labour practice. The Industrial Court found as a matter of fact that the company had failed to discharge its burden of proof.</w:t>
      </w:r>
    </w:p>
    <w:p>
      <w:pPr>
        <w:keepNext w:val="0"/>
        <w:spacing w:before="120" w:after="0" w:line="240" w:lineRule="atLeast"/>
        <w:ind w:left="1880" w:right="0"/>
        <w:jc w:val="both"/>
      </w:pPr>
      <w:r>
        <w:br/>
      </w:r>
      <w:r>
        <w:rPr>
          <w:rFonts w:ascii="arial" w:eastAsia="arial" w:hAnsi="arial" w:cs="arial"/>
          <w:b w:val="0"/>
          <w:i/>
          <w:strike w:val="0"/>
          <w:noProof w:val="0"/>
          <w:color w:val="000000"/>
          <w:position w:val="0"/>
          <w:sz w:val="18"/>
          <w:u w:val="none"/>
          <w:vertAlign w:val="baseline"/>
        </w:rPr>
        <w:t>We accept as correct the following tests as laid down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Lilly Industries (M) Sdn Bhd v. Billy Wayne Selsor </w:t>
      </w:r>
      <w:r>
        <w:rPr>
          <w:rFonts w:ascii="arial" w:eastAsia="arial" w:hAnsi="arial" w:cs="arial"/>
          <w:b w:val="0"/>
          <w:i w:val="0"/>
          <w:strike w:val="0"/>
          <w:noProof w:val="0"/>
          <w:color w:val="000000"/>
          <w:position w:val="0"/>
          <w:sz w:val="18"/>
          <w:u w:val="none"/>
          <w:vertAlign w:val="baseline"/>
        </w:rPr>
        <w:t>[2006] 3 ILR 1507</w:t>
      </w:r>
      <w:r>
        <w:rPr>
          <w:rFonts w:ascii="arial" w:eastAsia="arial" w:hAnsi="arial" w:cs="arial"/>
          <w:b w:val="0"/>
          <w:i/>
          <w:strike w:val="0"/>
          <w:noProof w:val="0"/>
          <w:color w:val="000000"/>
          <w:position w:val="0"/>
          <w:sz w:val="18"/>
          <w:u w:val="none"/>
          <w:vertAlign w:val="baseline"/>
        </w:rPr>
        <w:t xml:space="preserve"> at para. 26 that the company must prove the following:</w:t>
      </w:r>
    </w:p>
    <w:p>
      <w:pPr>
        <w:keepNext w:val="0"/>
        <w:spacing w:before="120" w:after="0" w:line="240" w:lineRule="atLeast"/>
        <w:ind w:left="2680" w:right="0"/>
        <w:jc w:val="both"/>
      </w:pPr>
      <w:r>
        <w:br/>
      </w:r>
      <w:r>
        <w:rPr>
          <w:rFonts w:ascii="arial" w:eastAsia="arial" w:hAnsi="arial" w:cs="arial"/>
          <w:b w:val="0"/>
          <w:i/>
          <w:strike w:val="0"/>
          <w:noProof w:val="0"/>
          <w:color w:val="000000"/>
          <w:position w:val="0"/>
          <w:sz w:val="18"/>
          <w:u w:val="none"/>
          <w:vertAlign w:val="baseline"/>
        </w:rPr>
        <w:t>Firstly, there must be redundancy. Secondly, the dismissed workman must have been correctly selected for retrenchment (objective criteria). And thirdly, the employer should have adopted a fair procedure before carrying out the retrenchment. These form the three pillars upon which an employer sets the stage from which he puts forth an arguable case to justify the dismissal of a workman for the reason of redundancy. There is one common beam that connects these three pillars. That is, the unshakable proposition of law which imposes the burden upon the employer to prove the existence of these prerequisites and thus establish the correctness of the dismissal…</w:t>
      </w:r>
      <w:r>
        <w:rPr>
          <w:rFonts w:ascii="arial" w:eastAsia="arial" w:hAnsi="arial" w:cs="arial"/>
          <w:b w:val="0"/>
          <w:i w:val="0"/>
          <w:strike w:val="0"/>
          <w:noProof w:val="0"/>
          <w:color w:val="000000"/>
          <w:position w:val="0"/>
          <w:sz w:val="18"/>
          <w:u w:val="none"/>
          <w:vertAlign w:val="baseline"/>
        </w:rPr>
        <w:t>”.</w:t>
      </w:r>
      <w:r>
        <w:t>
</w:t>
      </w:r>
    </w:p>
    <w:p/>
    <w:p>
      <w:pPr>
        <w:keepNext w:val="0"/>
        <w:spacing w:before="120" w:after="0" w:line="300" w:lineRule="atLeast"/>
        <w:ind w:left="0" w:right="0" w:firstLine="0"/>
        <w:jc w:val="both"/>
      </w:pP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The Claimant also submits that –</w:t>
      </w:r>
      <w:r>
        <w:t>
</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regards the Claimant’s purported failure to discharge his duties as an employee of the Company including the Claimant’s incompetence and idleness, nowhere within the corpus of evidence furnished by the Company including the Company’s Bundle of Documents exists to support such assertion. As such, the said assertion is an afterthought devoid of any substantiation or merit;</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Company’s closure lacked comprehensive documentation and exhibited discrepancies, raising doubts about the reasonableness of the Company’s actions to dismiss the Claimant from his employment;</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looking at the Company’s financial records, specifically the audited accounts, reveals that the purported losses were predominantly attributed to operational expenses, including the purchasing of new items and medication, rather than substantial financial deficits;</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relation to the Company’s Trading and Profit and Loss Accounts for the period 1st November 2019 to 31st March 2020, besides the depreciation which is paper loss, the Company had also accounted the setup costs in computing its loss. It is important to recognise that these are not indicative of actual financial loss but rather the cost incurred to run the business (operating cost). Although the Company had the right to close its business, it should not cite depreciation and setup costs as a justification for closing down the Clinic within just three months, thereby depriving it of the opportunity to thrive; and</w:t>
      </w:r>
    </w:p>
    <w:p>
      <w:pPr>
        <w:keepNext w:val="0"/>
        <w:numPr>
          <w:numId w:val="3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cross-examination of the Claimant whereby the line of questioning was aimed at the Claimant’s awareness of certain events may have been pursued, it must be asserted that mere awareness does not equate to the validation of the Company’s decision to dismiss the Claimant from his employment as the crux of the matter lies in whether the Company’s decision to abruptly close its business within a mere three-month time frame was justifiable and lawful.</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Remedies sought by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The Claimant prays that this Court makes such order that the Claimant be reinstated to his position without any loss of wages, allowance, service, seniority, privileges or benefits of any kind and/ or any other alternative relief as this Court deems fit and proper.</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Role of the Industrial Court, Burden of Proof and Standard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It is noted that the role or function of the Industrial Court has been clearly stated in the following cases:</w:t>
      </w:r>
      <w:r>
        <w:t>
</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Supreme Court case of </w:t>
      </w:r>
      <w:r>
        <w:rPr>
          <w:rFonts w:ascii="arial" w:eastAsia="arial" w:hAnsi="arial" w:cs="arial"/>
          <w:b w:val="0"/>
          <w:i/>
          <w:strike w:val="0"/>
          <w:noProof w:val="0"/>
          <w:color w:val="000000"/>
          <w:position w:val="0"/>
          <w:sz w:val="24"/>
          <w:u w:val="none"/>
          <w:vertAlign w:val="baseline"/>
        </w:rPr>
        <w:t xml:space="preserve">Wong Chee Hong v Cathay Organisation (M) Sdn Bhd </w:t>
      </w:r>
      <w:r>
        <w:rPr>
          <w:rFonts w:ascii="arial" w:eastAsia="arial" w:hAnsi="arial" w:cs="arial"/>
          <w:b w:val="0"/>
          <w:i w:val="0"/>
          <w:strike w:val="0"/>
          <w:noProof w:val="0"/>
          <w:color w:val="000000"/>
          <w:position w:val="0"/>
          <w:sz w:val="24"/>
          <w:u w:val="none"/>
          <w:vertAlign w:val="baseline"/>
        </w:rPr>
        <w:t xml:space="preserve">[1988] 1 CLJ (Rep) 298, where at p. 302, Salleh Abas LP, in delivering the judgment of the Supreme Court, referring to section 20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said, “</w:t>
      </w:r>
      <w:r>
        <w:rPr>
          <w:rFonts w:ascii="arial" w:eastAsia="arial" w:hAnsi="arial" w:cs="arial"/>
          <w:b w:val="0"/>
          <w:i/>
          <w:strike w:val="0"/>
          <w:noProof w:val="0"/>
          <w:color w:val="000000"/>
          <w:position w:val="0"/>
          <w:sz w:val="24"/>
          <w:u w:val="none"/>
          <w:vertAlign w:val="baseline"/>
        </w:rPr>
        <w:t>When the Industrial Court is dealing with a reference under</w:t>
      </w:r>
      <w:r>
        <w:rPr>
          <w:rFonts w:ascii="arial" w:eastAsia="arial" w:hAnsi="arial" w:cs="arial"/>
          <w:b w:val="0"/>
          <w:i w:val="0"/>
          <w:strike w:val="0"/>
          <w:noProof w:val="0"/>
          <w:color w:val="000000"/>
          <w:position w:val="0"/>
          <w:sz w:val="24"/>
          <w:u w:val="none"/>
          <w:vertAlign w:val="baseline"/>
        </w:rPr>
        <w:t xml:space="preserve"> s. 20</w:t>
      </w:r>
      <w:r>
        <w:rPr>
          <w:rFonts w:ascii="arial" w:eastAsia="arial" w:hAnsi="arial" w:cs="arial"/>
          <w:b w:val="0"/>
          <w:i/>
          <w:strike w:val="0"/>
          <w:noProof w:val="0"/>
          <w:color w:val="000000"/>
          <w:position w:val="0"/>
          <w:sz w:val="24"/>
          <w:u w:val="none"/>
          <w:vertAlign w:val="baseline"/>
        </w:rPr>
        <w:t>, the first thing that the Court will have to do is to ask itself a question whether there was a dismissal, and if so, whether it was with or without just cause or excuse</w:t>
      </w:r>
      <w:r>
        <w:rPr>
          <w:rFonts w:ascii="arial" w:eastAsia="arial" w:hAnsi="arial" w:cs="arial"/>
          <w:b w:val="0"/>
          <w:i w:val="0"/>
          <w:strike w:val="0"/>
          <w:noProof w:val="0"/>
          <w:color w:val="000000"/>
          <w:position w:val="0"/>
          <w:sz w:val="24"/>
          <w:u w:val="none"/>
          <w:vertAlign w:val="baseline"/>
        </w:rPr>
        <w:t xml:space="preserve"> “; and</w:t>
      </w:r>
    </w:p>
    <w:p>
      <w:pPr>
        <w:keepNext w:val="0"/>
        <w:numPr>
          <w:numId w:val="3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Federal Court in the case of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1 LNS 30, where His Lordship Raja Azlan Shah, CJ (Malaya) (as HRH then was) stated that “</w:t>
      </w:r>
      <w:r>
        <w:rPr>
          <w:rFonts w:ascii="arial" w:eastAsia="arial" w:hAnsi="arial" w:cs="arial"/>
          <w:b w:val="0"/>
          <w:i/>
          <w:strike w:val="0"/>
          <w:noProof w:val="0"/>
          <w:color w:val="000000"/>
          <w:position w:val="0"/>
          <w:sz w:val="24"/>
          <w:u w:val="none"/>
          <w:vertAlign w:val="baseline"/>
        </w:rPr>
        <w:t>Where representations are made and are referred to the Industrial Court for enquiry, it is the duty of that court to determine whether the termination or dismissal is with or without just cause or excuse. If the employer chooses to give a reason for the action taken by him, the duty of the Industrial Court will be to enquire whether that excuse or reason has or has not been made out. If it finds as a fact that it has not been proved, then the inevitable conclusion must be that the termination or dismissal was without just cause or excuse. The proper enquiry of the court is the reason advanced by it and that court or the High Court cannot go into another reason not relied on by the employer or find one for it.</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It is further noted in cases where a claimant is dismissed by the company, the burden is on the company to proof that the dismissal was with just cause or excuse. In the Industrial Court case of </w:t>
      </w:r>
      <w:r>
        <w:rPr>
          <w:rFonts w:ascii="arial" w:eastAsia="arial" w:hAnsi="arial" w:cs="arial"/>
          <w:b w:val="0"/>
          <w:i/>
          <w:strike w:val="0"/>
          <w:noProof w:val="0"/>
          <w:color w:val="000000"/>
          <w:position w:val="0"/>
          <w:sz w:val="24"/>
          <w:u w:val="none"/>
          <w:vertAlign w:val="baseline"/>
        </w:rPr>
        <w:t xml:space="preserve">Ireka Construction Berhad v Chantiravathan a/l Subramaniam James </w:t>
      </w:r>
      <w:r>
        <w:rPr>
          <w:rFonts w:ascii="arial" w:eastAsia="arial" w:hAnsi="arial" w:cs="arial"/>
          <w:b w:val="0"/>
          <w:i w:val="0"/>
          <w:strike w:val="0"/>
          <w:noProof w:val="0"/>
          <w:color w:val="000000"/>
          <w:position w:val="0"/>
          <w:sz w:val="24"/>
          <w:u w:val="none"/>
          <w:vertAlign w:val="baseline"/>
        </w:rPr>
        <w:t>[1995] 2 ILR 11, where at p. 15, the Learned Chairman, Her Ladyship Siti Saleha Dato’ Sheikh Abu Bakar, stated “</w:t>
      </w:r>
      <w:r>
        <w:rPr>
          <w:rFonts w:ascii="arial" w:eastAsia="arial" w:hAnsi="arial" w:cs="arial"/>
          <w:b w:val="0"/>
          <w:i/>
          <w:strike w:val="0"/>
          <w:noProof w:val="0"/>
          <w:color w:val="000000"/>
          <w:position w:val="0"/>
          <w:sz w:val="24"/>
          <w:u w:val="none"/>
          <w:vertAlign w:val="baseline"/>
        </w:rPr>
        <w:t>It is a basic principle of industrial jurisprudence that in a dismissal case the employer must produce convincing evidence that the workman committed the offence or offences the workman is alleged to have committed for which he has been dismissed. The burden of proof lies on the employer to prove that he has just cause and excuse for taking the decision to impose the disciplinary measure of dismissal upon the employee. The just cause must be, either a misconduct, negligence or poor performance based on the facts of the case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[2002] 3 CLJ 314 the Court of Appeal had laid down the principle that the standard of proof that is required to prove a case in the Industrial Court is one that is on the balance of probabilities. His lordship Justice Abdul Hamid Mohamad, JCA stated “</w:t>
      </w:r>
      <w:r>
        <w:rPr>
          <w:rFonts w:ascii="arial" w:eastAsia="arial" w:hAnsi="arial" w:cs="arial"/>
          <w:b w:val="0"/>
          <w:i/>
          <w:strike w:val="0"/>
          <w:noProof w:val="0"/>
          <w:color w:val="000000"/>
          <w:position w:val="0"/>
          <w:sz w:val="24"/>
          <w:u w:val="none"/>
          <w:vertAlign w:val="baseline"/>
        </w:rPr>
        <w:t xml:space="preserve">[t]hus, we can see that the preponderant view is that the Industrial Court, when hearing a claim of unjust dismissal, even where the ground is one of dishonest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none"/>
          <w:vertAlign w:val="baseline"/>
        </w:rPr>
        <w:t>, including “theft”, is not required to be satisfied beyond reasonable doubt that the employee has “committed the offence”, as in a criminal prosecution. On the other hand, we see that the courts and learned authors have used such terms as “solid and sensible grounds”, “sufficient to measure up to a preponderance of the evidence,” “whether a case... has been made out”, “on the balance of probabilities” and “evidence of probative value”. In our view the passage quoted from Administrative Law by H.W.R. Wade &amp; C.F. Forsyth offers the clearest statement on the standard of proof required, that is the civil standard based on the balance of probabilities, which is flexible, so that the degree of probability required is proportionate to the nature of gravity of the issue. But, again, if we may add, these are not “passwords” that the failure to use them or if some other words are used, the decision is automatically rendered bad in law</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Thus, the role or function of the Industrial Court is to determine whether there was a dismissal and if so whether on the balance of probabilities the said dismissal was with just cause or excuse.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This Court’s Findings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Having considered the evidence given by the Claimant and the Company as well as the submissions of both the Claimant and the Company, this Court finds that –</w:t>
      </w:r>
      <w:r>
        <w:t>
</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COW-1 utilized the trade name of the Company by conducting business of a medical clinic based in Seremban;</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failed to produce evidence to refute the Claimant’s contention that COW-1 had convinced the Claimant to join his Clinic in Seremban, with the motivation that COW-1 ran successful medical clinics, amongst others, which have been thriving business wise and has never closed any of his businesses;</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had also failed to produce evidence to refute the Claimant’s contention that the Claimant was taken up by COW-1’s proposal and following thereto had tendered his resignation as a Government Medical Officer to join the COW-1’s Clinic in Seremban;</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regards the Company’s contention regarding the Claimant’s poor service to the Company’s customers / patients as well as unacceptable work practices, attitude and work ethics as well as incompetence and idleness which partly contributed to the business losses and the closing of the business, no evidence was adduced by the Company regarding the so-called discussions that were held with the Claimant regarding his poor service to the Company’s customers / patients as well as unacceptable work practices, attitude and work ethics;</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then proceeded to contend that the Claimant’s termination was as a result of the cessation of the Company’s business operations due to its financial crisis and the Company was constrained to retrench the Claimant due to the losses incurred and the cessation of its business;</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it is the Company’s right as an employer to close down its business and it is within the Company’s discretion to reorganise and rearrange its business in any manner it deems fit. However, this Court would need to ascertain whether the closure was indeed </w:t>
      </w:r>
      <w:r>
        <w:rPr>
          <w:rFonts w:ascii="arial" w:eastAsia="arial" w:hAnsi="arial" w:cs="arial"/>
          <w:b w:val="0"/>
          <w:i/>
          <w:strike w:val="0"/>
          <w:noProof w:val="0"/>
          <w:color w:val="000000"/>
          <w:position w:val="0"/>
          <w:sz w:val="24"/>
          <w:u w:val="none"/>
          <w:vertAlign w:val="baseline"/>
        </w:rPr>
        <w:t>bone fide</w:t>
      </w:r>
      <w:r>
        <w:rPr>
          <w:rFonts w:ascii="arial" w:eastAsia="arial" w:hAnsi="arial" w:cs="arial"/>
          <w:b w:val="0"/>
          <w:i w:val="0"/>
          <w:strike w:val="0"/>
          <w:noProof w:val="0"/>
          <w:color w:val="000000"/>
          <w:position w:val="0"/>
          <w:sz w:val="24"/>
          <w:u w:val="none"/>
          <w:vertAlign w:val="baseline"/>
        </w:rPr>
        <w:t>;</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relation to the above, this Court observes that the Claimant commenced his employment with the Company on 2nd December 2019, the Notice of Termination was issued on 28th February 2020 and the Clinic subsequently ceased operations on 1st April 2020. Thus, the Claimant received his notice of termination of employment within three months of his employment in the Company;</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the Notice of Termination being issued a mere three months of the Claimant joining the Company begs the question whether the Company’s action was reasonable and whether the closure was genuine and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relation to the above, this Court further observes that COW-1 testified that he had cancelled the franchise of the Company i.e. the Clinic and commencing on 1st August 2020 one Dr. Jaganathan A/L Supuramaniam vide the medical practice of Sree JD Medical Sdn Bhd has taken up the franchise of the Company at the same Clinic;</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failed to explain or disclose reasons as to why the Company did not offer the Claimant to take up the franchise of the Company at the same Clinic; and</w:t>
      </w:r>
    </w:p>
    <w:p>
      <w:pPr>
        <w:keepNext w:val="0"/>
        <w:numPr>
          <w:numId w:val="3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 regards the Company’s Trading and Profit and Loss Accounts for the period 1st November 2019 to 31st March 2020, whereby COW-1 testified that the Company suffered five (5) consecutive months of losses in the sum of RM76,718.00 prior to the cessation of the business, no further evidence has been adduced to support these financial claims. This Court agrees with the Claimant’s submissions that there were no detailed profit and loss accounts or monthly statements provided to validate the financial status of the Company and the lack of transparency raises questions about the accuracy and reliability of the financial information presented.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Based on the above observations, this Court finds the Company has failed to proof that the Company’s action was reasonable and that the closure was genuine and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Bearing in mind subsection 30(5)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acting according to equity and good conscience and the substantial merits of the case without regard to technicalities and legal form, this Court thus finds that the Claimant’s dismissal was without just cause or excuse.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This Court further observed that the Company in its submission made reference to decided cases in India vis-à-vis India’s legislation relating to industrial disputes i.e.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1953. In referring to the said decided cases and India’s legislation the Company cited a textbook on </w:t>
      </w:r>
      <w:r>
        <w:rPr>
          <w:rFonts w:ascii="arial" w:eastAsia="arial" w:hAnsi="arial" w:cs="arial"/>
          <w:b w:val="0"/>
          <w:i/>
          <w:strike w:val="0"/>
          <w:noProof w:val="0"/>
          <w:color w:val="000000"/>
          <w:position w:val="0"/>
          <w:sz w:val="24"/>
          <w:u w:val="none"/>
          <w:vertAlign w:val="baseline"/>
        </w:rPr>
        <w:t>The Law of Industrial Disputes</w:t>
      </w:r>
      <w:r>
        <w:rPr>
          <w:rFonts w:ascii="arial" w:eastAsia="arial" w:hAnsi="arial" w:cs="arial"/>
          <w:b w:val="0"/>
          <w:i w:val="0"/>
          <w:strike w:val="0"/>
          <w:noProof w:val="0"/>
          <w:color w:val="000000"/>
          <w:position w:val="0"/>
          <w:sz w:val="24"/>
          <w:u w:val="none"/>
          <w:vertAlign w:val="baseline"/>
        </w:rPr>
        <w:t>. It would have been of great help to this Court if the Company had provided the full citation of the textbook instead of a mere one- page excerpt of the textbook.</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Having been able to find the said textbook i.e. </w:t>
      </w:r>
      <w:r>
        <w:rPr>
          <w:rFonts w:ascii="arial" w:eastAsia="arial" w:hAnsi="arial" w:cs="arial"/>
          <w:b w:val="0"/>
          <w:i/>
          <w:strike w:val="0"/>
          <w:noProof w:val="0"/>
          <w:color w:val="000000"/>
          <w:position w:val="0"/>
          <w:sz w:val="24"/>
          <w:u w:val="none"/>
          <w:vertAlign w:val="baseline"/>
        </w:rPr>
        <w:t>Malhotra’s The Law of Industrial Disputes, Volume 2, 6th Edition,</w:t>
      </w:r>
      <w:r>
        <w:rPr>
          <w:rFonts w:ascii="arial" w:eastAsia="arial" w:hAnsi="arial" w:cs="arial"/>
          <w:b w:val="0"/>
          <w:i w:val="0"/>
          <w:strike w:val="0"/>
          <w:noProof w:val="0"/>
          <w:color w:val="000000"/>
          <w:position w:val="0"/>
          <w:sz w:val="24"/>
          <w:u w:val="none"/>
          <w:vertAlign w:val="baseline"/>
        </w:rPr>
        <w:t xml:space="preserve"> this Court proceeded to read the relevant pages of the textbook instead of the one-page excerpt provided in the Company’s Bundle of Documents. This Court could not but observed that the Company had wrongly cited the year of the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i.e.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1947 and not Industrial Disputes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1953. In addition, the Company should have read and understood the relevant provisions of the said legislation before relying on them for its submissions and applying the said provisions to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This Court will now proceed to consider the appropriate remedy applicable to the Claimant. The Claimant prays that he be reinstated to his former position without any loss of wages, allowance, service, seniority, privileges or benefits of any kind and/ or any other alternative relief as this Court deems fit and proper.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Based on the facts of this case, this Court views that reinstatement of the Claimant to his former position is not a suitable remedy. Hence, the Court will not order reinstatement of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As the Claimant was terminated during his contract period, the appropriate remedy in the circumstances of this case will be compensation in lieu of reinstatement. Thus, this Court orders that the Claimant be paid for the remaining months of his contract period.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This Court further orders that the Claimant be paid compensation in the form of back wages. This Court views twelve (12) months back wages should be the appropriate sum to be awarded to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Therefore, based on the Claimant’s last drawn salary of RM10,000.00, the total amount of compensation in back wages payable to the Claimant is as follows:</w:t>
      </w:r>
      <w:r>
        <w:t>
</w:t>
      </w:r>
    </w:p>
    <w:p>
      <w:pPr>
        <w:keepNext w:val="0"/>
        <w:numPr>
          <w:numId w:val="3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Compensation in lieu of reinstatement RM10,000.00 x 9 months = RM90,000.00;</w:t>
      </w:r>
    </w:p>
    <w:p>
      <w:pPr>
        <w:keepNext w:val="0"/>
        <w:numPr>
          <w:numId w:val="3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and</w:t>
      </w:r>
    </w:p>
    <w:p>
      <w:pPr>
        <w:keepNext w:val="0"/>
        <w:numPr>
          <w:numId w:val="3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Backwages</w:t>
      </w:r>
    </w:p>
    <w:p>
      <w:pPr>
        <w:keepNext w:val="0"/>
        <w:numPr>
          <w:numId w:val="4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RM10,000.00 x 12 months = RM120,000.00;</w:t>
      </w:r>
    </w:p>
    <w:p>
      <w:pPr>
        <w:keepNext w:val="0"/>
        <w:numPr>
          <w:numId w:val="4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TOTAL = RM210,000.00</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Order</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This Court hereby orders that the Company pays the Claimant the total sum of </w:t>
      </w:r>
      <w:r>
        <w:rPr>
          <w:rFonts w:ascii="arial" w:eastAsia="arial" w:hAnsi="arial" w:cs="arial"/>
          <w:b/>
          <w:i w:val="0"/>
          <w:strike w:val="0"/>
          <w:noProof w:val="0"/>
          <w:color w:val="000000"/>
          <w:position w:val="0"/>
          <w:sz w:val="24"/>
          <w:u w:val="none"/>
          <w:vertAlign w:val="baseline"/>
        </w:rPr>
        <w:t>Ringgit Malaysia Two Hundred Ten Thousand (RM210,000.00)</w:t>
      </w:r>
      <w:r>
        <w:rPr>
          <w:rFonts w:ascii="arial" w:eastAsia="arial" w:hAnsi="arial" w:cs="arial"/>
          <w:b w:val="0"/>
          <w:i w:val="0"/>
          <w:strike w:val="0"/>
          <w:noProof w:val="0"/>
          <w:color w:val="000000"/>
          <w:position w:val="0"/>
          <w:sz w:val="24"/>
          <w:u w:val="none"/>
          <w:vertAlign w:val="baseline"/>
        </w:rPr>
        <w:t xml:space="preserve"> within 60 days from the date of this Award.</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Amanpal Premsing a/l Darshan Singh v Klinik Mediviron  [2024] ILJU 443</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v)"/>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v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v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v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ix)"/>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i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lowerRoman"/>
      <w:lvlText w:val="(%1)"/>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ii)"/>
      <w:lvlJc w:val="left"/>
      <w:pPr>
        <w:tabs>
          <w:tab w:val="num" w:pos="1120"/>
        </w:tabs>
        <w:ind w:left="112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Letter"/>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Amanpal Premsing a/l Darshan Singh v Klinik Mediviron  [2024] ILJU 443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95-5DH3-MCM0-543Y-00000-00">
    <vt:lpwstr>Doc::/shared/document|contextualFeaturePermID::1522468</vt:lpwstr>
  </property>
  <property fmtid="{D5CDD505-2E9C-101B-9397-08002B2CF9AE}" pid="4" name="LNDeliveryID">
    <vt:lpwstr>283274763</vt:lpwstr>
  </property>
  <property fmtid="{D5CDD505-2E9C-101B-9397-08002B2CF9AE}" pid="5" name="UserPermID">
    <vt:lpwstr>urn:user:PA196491919</vt:lpwstr>
  </property>
</Properties>
</file>