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Balu a/l Renganathan v Asli Mechanical Sdn Bhd  [2024] ILJU 271</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873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24 June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Vadivelu a/l Shammugam (Malaysian Trades Union Congress (MTUC))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Yap Boon Hann (with Loi Kwong Fon) (Loi &amp; Co)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28 January 2022 made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Balu A/L Renganathan</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Asli Mechanical Sdn. Bhd.</w:t>
      </w:r>
      <w:r>
        <w:rPr>
          <w:rFonts w:ascii="arial" w:eastAsia="arial" w:hAnsi="arial" w:cs="arial"/>
          <w:b w:val="0"/>
          <w:i w:val="0"/>
          <w:strike w:val="0"/>
          <w:noProof w:val="0"/>
          <w:color w:val="000000"/>
          <w:position w:val="0"/>
          <w:sz w:val="24"/>
          <w:u w:val="none"/>
          <w:vertAlign w:val="baseline"/>
        </w:rPr>
        <w:t xml:space="preserve"> (“the Company”) on 7 May 2021.</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was appointed as a Lorry Driver effective 2 August 2019 via a Letter of Employment dated 1 August 2019 at the Company. Subsequently on 30 November 2019, the Claimant received a letter of confirmation where the Claimant was confirmed as a Lorry Driver effective 1 November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Company is a transport company providing services with their fleet of lorries and trucks. The Company had employed the Claimant as a lorry driver on a permanent contract.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However on 7 May 2021 the Company issued a termination letter with immediate effect on the Claimant. The termination letter gave two grounds for the termination namely; incidents on 11 March 2021 and 30 April 2021. The letter also stated that the Claimant would be provided compensation according to his employment contract whereby the Claimant was given salary till the date of termination, compensation in lieu of notice as well as compensation for termination in accordance with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specifically subregulations 3(1) and 6(1) of Employment (Termination and Lay-Off Benefits) Regulations 1980 (PU (A) 278/80). The Company also provided compensation for unused Annual Leave, reimbursement for Toll claims via Touch N Go card, overtime as well as deduction for tardiness.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This is a rather straight forward dismissal case. The Court has gone through the evidence as given through testimony in Court and the documents and submission that have been filed. Those documents and submissions are listed for ease of reference as follows: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Statement of Case dated 16 January 2023;</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22 March 2023;</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Bundle of Documents marked as exhibit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Bundle of Documents filed on 2 February 2023 marked as exhibit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Additional Bundle of Documents marked as exhibit </w:t>
      </w:r>
      <w:r>
        <w:rPr>
          <w:rFonts w:ascii="arial" w:eastAsia="arial" w:hAnsi="arial" w:cs="arial"/>
          <w:b w:val="0"/>
          <w:i/>
          <w:strike w:val="0"/>
          <w:noProof w:val="0"/>
          <w:color w:val="000000"/>
          <w:position w:val="0"/>
          <w:sz w:val="24"/>
          <w:u w:val="none"/>
          <w:vertAlign w:val="baseline"/>
        </w:rPr>
        <w:t>CLB-2</w:t>
      </w:r>
      <w:r>
        <w:rPr>
          <w:rFonts w:ascii="arial" w:eastAsia="arial" w:hAnsi="arial" w:cs="arial"/>
          <w:b w:val="0"/>
          <w:i w:val="0"/>
          <w:strike w:val="0"/>
          <w:noProof w:val="0"/>
          <w:color w:val="000000"/>
          <w:position w:val="0"/>
          <w:sz w:val="24"/>
          <w:u w:val="none"/>
          <w:vertAlign w:val="baseline"/>
        </w:rPr>
        <w:t>;</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Police Report dated 1 October 2019 marked as exhibit </w:t>
      </w:r>
      <w:r>
        <w:rPr>
          <w:rFonts w:ascii="arial" w:eastAsia="arial" w:hAnsi="arial" w:cs="arial"/>
          <w:b w:val="0"/>
          <w:i/>
          <w:strike w:val="0"/>
          <w:noProof w:val="0"/>
          <w:color w:val="000000"/>
          <w:position w:val="0"/>
          <w:sz w:val="24"/>
          <w:u w:val="none"/>
          <w:vertAlign w:val="baseline"/>
        </w:rPr>
        <w:t>CLB-3</w:t>
      </w:r>
      <w:r>
        <w:rPr>
          <w:rFonts w:ascii="arial" w:eastAsia="arial" w:hAnsi="arial" w:cs="arial"/>
          <w:b w:val="0"/>
          <w:i w:val="0"/>
          <w:strike w:val="0"/>
          <w:noProof w:val="0"/>
          <w:color w:val="000000"/>
          <w:position w:val="0"/>
          <w:sz w:val="24"/>
          <w:u w:val="none"/>
          <w:vertAlign w:val="baseline"/>
        </w:rPr>
        <w:t>;</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Penyata Saksi Penuntut Balu A/L Renganathan signed on 24 October 2023 marked as exhibit </w:t>
      </w:r>
      <w:r>
        <w:rPr>
          <w:rFonts w:ascii="arial" w:eastAsia="arial" w:hAnsi="arial" w:cs="arial"/>
          <w:b w:val="0"/>
          <w:i/>
          <w:strike w:val="0"/>
          <w:noProof w:val="0"/>
          <w:color w:val="000000"/>
          <w:position w:val="0"/>
          <w:sz w:val="24"/>
          <w:u w:val="none"/>
          <w:vertAlign w:val="baseline"/>
        </w:rPr>
        <w:t>CLWS-1</w:t>
      </w:r>
      <w:r>
        <w:rPr>
          <w:rFonts w:ascii="arial" w:eastAsia="arial" w:hAnsi="arial" w:cs="arial"/>
          <w:b w:val="0"/>
          <w:i w:val="0"/>
          <w:strike w:val="0"/>
          <w:noProof w:val="0"/>
          <w:color w:val="000000"/>
          <w:position w:val="0"/>
          <w:sz w:val="24"/>
          <w:u w:val="none"/>
          <w:vertAlign w:val="baseline"/>
        </w:rPr>
        <w: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Lee Seong Wai signed on 23 October 2023 marked as exhibit </w:t>
      </w:r>
      <w:r>
        <w:rPr>
          <w:rFonts w:ascii="arial" w:eastAsia="arial" w:hAnsi="arial" w:cs="arial"/>
          <w:b w:val="0"/>
          <w:i/>
          <w:strike w:val="0"/>
          <w:noProof w:val="0"/>
          <w:color w:val="000000"/>
          <w:position w:val="0"/>
          <w:sz w:val="24"/>
          <w:u w:val="none"/>
          <w:vertAlign w:val="baseline"/>
        </w:rPr>
        <w:t>COWS-1</w:t>
      </w:r>
      <w:r>
        <w:rPr>
          <w:rFonts w:ascii="arial" w:eastAsia="arial" w:hAnsi="arial" w:cs="arial"/>
          <w:b w:val="0"/>
          <w:i w:val="0"/>
          <w:strike w:val="0"/>
          <w:noProof w:val="0"/>
          <w:color w:val="000000"/>
          <w:position w:val="0"/>
          <w:sz w:val="24"/>
          <w:u w:val="none"/>
          <w:vertAlign w:val="baseline"/>
        </w:rPr>
        <w: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Submissions;</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Respondent’s Written Submissions (After Trial) dated 24 January 2024;</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Respondent’s Bundle of Authorities (After Trial) filed on 5 March 2024;</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Submissions in Reply filed on 25 March 2024; and</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Respondent’s Written Submissions in Reply (After Trial) dated 7 February 2024.</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xml:space="preserve">  Before proceeding with the full award, the Court reiterates its stand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the reported cases of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 xml:space="preserve">[2023] 3 ILR 204. The Court refers to the oft-cited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It would not be prudent to repeat the same and as such, parties are welcome to view the said case for an explanation of the cases above. The Court’s general duty is to determine whether there was a termination or dismissal, and that the termination or dismissal was just and fair. In this case where the Claimant is making a claim of constructive dismissal, the Court’s duty is to ascertain whether the actions of the Company led to the Claimant’s situation where she fet she was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Before venturing further into the Award, the Court would like to highlight first the issue of burden of proof for this case. This is important to ascertain whether the parties have managed to prove their case to this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The Court also refers to its previous case with regards the burden of proof as well as adducing evidence in the case. The case is </w:t>
      </w:r>
      <w:r>
        <w:rPr>
          <w:rFonts w:ascii="arial" w:eastAsia="arial" w:hAnsi="arial" w:cs="arial"/>
          <w:b w:val="0"/>
          <w:i/>
          <w:strike w:val="0"/>
          <w:noProof w:val="0"/>
          <w:color w:val="000000"/>
          <w:position w:val="0"/>
          <w:sz w:val="24"/>
          <w:u w:val="none"/>
          <w:vertAlign w:val="baseline"/>
        </w:rPr>
        <w:t xml:space="preserve">Lai Phui Phui v. ID Network Sdn Bhd  </w:t>
      </w:r>
      <w:r>
        <w:rPr>
          <w:rFonts w:ascii="arial" w:eastAsia="arial" w:hAnsi="arial" w:cs="arial"/>
          <w:b w:val="0"/>
          <w:i w:val="0"/>
          <w:strike w:val="0"/>
          <w:noProof w:val="0"/>
          <w:color w:val="000000"/>
          <w:position w:val="0"/>
          <w:sz w:val="24"/>
          <w:u w:val="none"/>
          <w:vertAlign w:val="baseline"/>
        </w:rPr>
        <w:t xml:space="preserve">[2023] MELRU 2347 whereby this Court refers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Lai Phui Phui</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the evidence submitted, the burden and standard of the proof of the case of both parties.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In is encumbered on the parties asserting the facts that it must be proven based on the balance of probabilities. This obligation has to be proven by both parties. Since this is a constructive dismissal case the Claimant has to prove their case.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The Company had terminated the Claimant for two reasons namely; the incidents on 11 March 2021 and 30 April 2021. The incidents were stated as intimidation and altercation on 11 March 2021, and refusal to do work on 30 April 2021. The Claimant was summarily dismissed without any domestic inquiry or even a show cause letter given to the Claimant.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had stated in the trial that the warnings were given verbally so there was no record.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Company had submitted a police report dated 11 March 2021 to support their contention of intention as well as a pen drive with all the audio recordings and a closed-circuit television (“CCTV”) recording of an incident involving the Claimant. The Company also submitted in evidence a screen shot of the global positional satellite (“GPS”) location of the Claimant’s lorry when he refused to do the work on 30 April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Based on the case law above the burden of proof is on the Company to prove that the Claimant had done the acts the Company claimed and subsequently if proven whether it warrants a termination. This was stated in the Federal Court case of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[1995] 4 CLJ 449. It was held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“Held: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Per Mohd Azmi bin Kamaruddin FCJ (delivering the judgment of the Court):</w:t>
      </w:r>
    </w:p>
    <w:p>
      <w:pPr>
        <w:keepNext w:val="0"/>
        <w:spacing w:before="0" w:after="0" w:line="240" w:lineRule="atLeast"/>
        <w:ind w:left="1200" w:right="0" w:firstLine="0"/>
        <w:jc w:val="both"/>
      </w:pPr>
      <w:r>
        <w:br/>
      </w:r>
      <w:r>
        <w:rPr>
          <w:rFonts w:ascii="arial" w:eastAsia="arial" w:hAnsi="arial" w:cs="arial"/>
          <w:b/>
          <w:i w:val="0"/>
          <w:strike w:val="0"/>
          <w:noProof w:val="0"/>
          <w:color w:val="000000"/>
          <w:position w:val="0"/>
          <w:sz w:val="18"/>
          <w:u w:val="none"/>
          <w:vertAlign w:val="baseline"/>
        </w:rPr>
        <w:t>[1]</w:t>
      </w:r>
      <w:r>
        <w:rPr>
          <w:rFonts w:ascii="arial" w:eastAsia="arial" w:hAnsi="arial" w:cs="arial"/>
          <w:b w:val="0"/>
          <w:i w:val="0"/>
          <w:strike w:val="0"/>
          <w:noProof w:val="0"/>
          <w:color w:val="000000"/>
          <w:position w:val="0"/>
          <w:sz w:val="18"/>
          <w:u w:val="none"/>
          <w:vertAlign w:val="baseline"/>
        </w:rPr>
        <w:t xml:space="preserve"> The function of the Industrial Court in dismissal cases on a reference under s. 20 is two-fold. It has to determine whether the misconduct complained of by the employer has been established, and secondly, whether the proven misconduct constitutes just cause or excuse for the dismissal. Failure to determine these issues on the merits is a jurisdictional error that merits interference by the High Court by way of </w:t>
      </w:r>
      <w:r>
        <w:rPr>
          <w:rFonts w:ascii="arial" w:eastAsia="arial" w:hAnsi="arial" w:cs="arial"/>
          <w:b w:val="0"/>
          <w:i/>
          <w:strike w:val="0"/>
          <w:noProof w:val="0"/>
          <w:color w:val="000000"/>
          <w:position w:val="0"/>
          <w:sz w:val="18"/>
          <w:u w:val="none"/>
          <w:vertAlign w:val="baseline"/>
        </w:rPr>
        <w:t>certiorari</w:t>
      </w:r>
      <w:r>
        <w:rPr>
          <w:rFonts w:ascii="arial" w:eastAsia="arial" w:hAnsi="arial" w:cs="arial"/>
          <w:b w:val="0"/>
          <w:i w:val="0"/>
          <w:strike w:val="0"/>
          <w:noProof w:val="0"/>
          <w:color w:val="000000"/>
          <w:position w:val="0"/>
          <w:sz w:val="18"/>
          <w:u w:val="none"/>
          <w:vertAlign w:val="baseline"/>
        </w:rPr>
        <w:t>. Further, the Industrial Court would be acting in excess of jurisdiction if it changed the scope of reference by substituting its own reason, that is to say a reason not relied upon by the employer for the dismissal.”.</w:t>
      </w:r>
      <w:r>
        <w:t>
</w:t>
      </w:r>
    </w:p>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The Company has given their evidence of the so called intimidation and altercation through several audio recordings and one CCTV recording. The recordings have shown that there was intimidation by the Claimant on the balance of probabilities. The Claimant’s only defence to the video recording was that the video only showed part of the incident and left out the part that showed the Company officers being aggressive against the Claimant. The Claimant claims that the Company has all the evidence because it was in the CCTV. The Claimant did not request for the Company to provide any evidence into Court. Failure of which, the Court can only determine based on the available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Similarly, the audio recordings show a consistent pattern of the Claimant’s attitude in dealings with officers of the Company. It illustrates the Claimant’s character, and unfortunately, merely strengthens the Company’s position regarding the Claimant. The Claimant’s reply was that the Company officers were deliberately targeting him as well as being totally unprofessional by giving insufficient or incorrect information for the Claimant to make deliveries. According to the Claimant the actions of these officers provoked him, hence the said audio recordings. However, the Claimant was unable to provide the Court with any evidence either tangible or indirect evidence to support his contention.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The Court is aware that this is a social legislation and that the law has always been leaning to claimants. However, the fact that the only defence by the Claimant was provocation and unprofessionalism, does not really paint the Claimant in a good light. If the incident was a one-off or a spontaneous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that was out at character would have been acceptable. This is not the case here.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Claimant’s actions were consistently aggressive and intimidating towards officers of the Company. Therefore, the Court cannot accept the Claimant’s contention that he was provoked for the above incidents. There was a behavioral pattern by the Claimant, this is notwithstanding the Company had confirmed the Claimant in his post previously.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The next issue is regarding the insubordination by the Claimant. The Company had checked the GPS and noticed that the Claimant was in the vicinity of Rawang and the office. The Company then called the Claimant to ask him to perform another task.</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The Claimant took the call but was not forthcoming. In Court, the Claimant contended that the Company was disturbing him during his rest / lunch period. This was a violation of his rights. The Claimant also stated that he refused to do the work because his lorry was not suitable to perform the job required.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Again, all this was verbal and no complaint was made. The Claimant did not perform the additional task sought by the Company. According to the Claimant, he then went back to the office Compound and waited for his shift to end. However, to the Company this is clearly insubordination by the Claimant. The actions of the Claimant is clearly not ideal for an employee.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It would have been appropriate if the Company had conducted an independent investigation leading to a domestic inquiry or some warning letters or formal admonition so as to put the Claimant on record that he was forewarned. This is the usual threshold this Court imposes on any company seeking to terminate their employees for misconduct. Nonetheless, there are always exception to the general rule, and this Court has always placed a rather large invisible line on what would be deemed to be inappropriate actions by an employee that would justify a Company invoking immediate termination. This Court has already decided on some of those areas where the Court would entertain a summary termination in previous cases, and one of those cases was the </w:t>
      </w:r>
      <w:r>
        <w:rPr>
          <w:rFonts w:ascii="arial" w:eastAsia="arial" w:hAnsi="arial" w:cs="arial"/>
          <w:b/>
          <w:i/>
          <w:strike w:val="0"/>
          <w:noProof w:val="0"/>
          <w:color w:val="000000"/>
          <w:position w:val="0"/>
          <w:sz w:val="24"/>
          <w:u w:val="none"/>
          <w:vertAlign w:val="baseline"/>
        </w:rPr>
        <w:t>Lai Phui Phui</w:t>
      </w:r>
      <w:r>
        <w:rPr>
          <w:rFonts w:ascii="arial" w:eastAsia="arial" w:hAnsi="arial" w:cs="arial"/>
          <w:b w:val="0"/>
          <w:i w:val="0"/>
          <w:strike w:val="0"/>
          <w:noProof w:val="0"/>
          <w:color w:val="000000"/>
          <w:position w:val="0"/>
          <w:sz w:val="24"/>
          <w:u w:val="none"/>
          <w:vertAlign w:val="baseline"/>
        </w:rPr>
        <w:t xml:space="preserve"> case mentioned earlier.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The </w:t>
      </w:r>
      <w:r>
        <w:rPr>
          <w:rFonts w:ascii="arial" w:eastAsia="arial" w:hAnsi="arial" w:cs="arial"/>
          <w:b/>
          <w:i/>
          <w:strike w:val="0"/>
          <w:noProof w:val="0"/>
          <w:color w:val="000000"/>
          <w:position w:val="0"/>
          <w:sz w:val="24"/>
          <w:u w:val="none"/>
          <w:vertAlign w:val="baseline"/>
        </w:rPr>
        <w:t>Lai Phui Phui</w:t>
      </w:r>
      <w:r>
        <w:rPr>
          <w:rFonts w:ascii="arial" w:eastAsia="arial" w:hAnsi="arial" w:cs="arial"/>
          <w:b w:val="0"/>
          <w:i w:val="0"/>
          <w:strike w:val="0"/>
          <w:noProof w:val="0"/>
          <w:color w:val="000000"/>
          <w:position w:val="0"/>
          <w:sz w:val="24"/>
          <w:u w:val="none"/>
          <w:vertAlign w:val="baseline"/>
        </w:rPr>
        <w:t xml:space="preserve"> case, the Court had referred to insubordination as one of the misconduct or acts of misconduct where the Court deems to be excessive enough for the Court to allow the exception to a general rule. In this case, there is no defence from the Claimant that can deflect the fact that both the issues raised are basically insubordination. Questioning a valid request from your employer and refusing a request from the employers are basically insubordination.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Based on the above, it is evident that the Company had proven on the balance of probabilities that the was insubordination by the Claimant. The Claimant could not reasonably answer or reply to the issues raised by the Company so the reasons are valid. The issue now is whether the termination was with just cause and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Just Cause and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Now, the issue of whether the dismissal was without just cause and excuse as required in subsection 20(1)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This is the very core of every case in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well as being the role and function of the Industrial Court. Notably the determination of whether the dismissal was with or without just cause and excuse has to ascertain all the facts, evidence and submission of the parties.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Court refers to the oft cited Federal Court case </w:t>
      </w:r>
      <w:r>
        <w:rPr>
          <w:rFonts w:ascii="arial" w:eastAsia="arial" w:hAnsi="arial" w:cs="arial"/>
          <w:b/>
          <w:i/>
          <w:strike w:val="0"/>
          <w:noProof w:val="0"/>
          <w:color w:val="000000"/>
          <w:position w:val="0"/>
          <w:sz w:val="24"/>
          <w:u w:val="none"/>
          <w:vertAlign w:val="baseline"/>
        </w:rPr>
        <w:t>Wong Chee Hong</w:t>
      </w:r>
      <w:r>
        <w:rPr>
          <w:rFonts w:ascii="arial" w:eastAsia="arial" w:hAnsi="arial" w:cs="arial"/>
          <w:b w:val="0"/>
          <w:i w:val="0"/>
          <w:strike w:val="0"/>
          <w:noProof w:val="0"/>
          <w:color w:val="000000"/>
          <w:position w:val="0"/>
          <w:sz w:val="24"/>
          <w:u w:val="none"/>
          <w:vertAlign w:val="baseline"/>
        </w:rPr>
        <w:t xml:space="preserve"> mentioned earlier above. The Court stands guided by the Federal Court’s decision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i w:val="0"/>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18"/>
          <w:u w:val="none"/>
          <w:vertAlign w:val="baseline"/>
        </w:rPr>
        <w:t xml:space="preserve"> Dismissal without just cause or excuse may well be similar in concepts to the UK legislation on unfair dismissal, but these two are not exactly identical. Section 20 of our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is entirely different from para. (c) of s. 55(2) of the UK Protection of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1978. Therefore we cannot see how the test of unreasonableness which is the basis of the much advocated concept of constructive dismissal by a certain school of thought in UK should be introduced as an aid to the interpretation of the word “ dismissal “ in our s. 20. We think that the word “ dismissal “ in this section should be interpreted with reference to the common law principle</w:t>
      </w:r>
      <w:r>
        <w:rPr>
          <w:rFonts w:ascii="arial" w:eastAsia="arial" w:hAnsi="arial" w:cs="arial"/>
          <w:b/>
          <w:i w:val="0"/>
          <w:strike w:val="0"/>
          <w:noProof w:val="0"/>
          <w:color w:val="000000"/>
          <w:position w:val="0"/>
          <w:sz w:val="18"/>
          <w:u w:val="none"/>
          <w:vertAlign w:val="baseline"/>
        </w:rPr>
        <w:t>. Thus it would be a dismissal if an employer is guilty of a breach which goes to the root of the contract or if he has evinced an intention no longer to be bound by it</w:t>
      </w:r>
      <w:r>
        <w:rPr>
          <w:rFonts w:ascii="arial" w:eastAsia="arial" w:hAnsi="arial" w:cs="arial"/>
          <w:b w:val="0"/>
          <w:i w:val="0"/>
          <w:strike w:val="0"/>
          <w:noProof w:val="0"/>
          <w:color w:val="000000"/>
          <w:position w:val="0"/>
          <w:sz w:val="18"/>
          <w:u w:val="none"/>
          <w:vertAlign w:val="baseline"/>
        </w:rPr>
        <w:t xml:space="preserve">. In such situation the employee is entitled to regard the contract as terminated and himself as being dismissed. (See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 xml:space="preserve">[1930] AC 271 and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Although the decision above refers to the employer but this Court believes it is also applicable to the employee. The above case was looking at the scope of the word dismissal, and for the purpose of this case, includes the dismissal of the Claimant. Furthermore, the Company has always maintained that the contract between the Company and the Claimant was the paramount consideration. The Claimant has stated that he did not understand the terms of the contract between himself and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At this day and age, it is quite unfathomable for the Court to come across cases of this nature. In law, one cannot be bound to something one has no idea what it entails. However, the Claimant had every opportunity to refer the contract to a colleague or relative for some explanation of what the contract meant. He did not do it and instead continued to work for the entire time he was at the Company for a year and nine months.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The Court must now treat the length of time that the Claimant did not get any explanation of the contract as the Claimant acquiescing to the contract. It would be inequitable for the Claimant to now come to Court and claim that the he does not understand the terms of the contract which he wants the Court to enforce on his behalf. Therefore, the Court cannot accept the grounds that the Claimant did understand the contract so he should not be bound the terms.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Coming back to the issue of whether the termination was done with just cause and excuse. The Court has construed all the issues above and weighed the probabilities of both the Claimant’s version as compared to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After careful consideration the Court is of the view that on the balance of probabilities, the Company has proven that the termination was with just cause and excuse. The Company has proven that it did not have a choice other than termination since the intimidation has caused the disharmony at the workplace, which is specifically what Parliament had wanted the Court to take regard. This can be seen in the long title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“An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to promote and maintain industrial harmony and to provide for the regulation of the relations between employers and workmen and their trade unions and the prevention and settlement of any differences or disputes arising from their relationship and generally to deal with trade disputes and matters arising therefrom.”</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Claimant’s acts had created an atmosphere of disharmony in the workplace as well undermining the senior officers of the Company. The questioning and refusing to authority does not augur well for the Company. In fact it could have a further detrimental effect on the Company as well as set a bad example for other employees.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on the balance of probabilities this Court finds that the Claimant has not proven the dismissal by the Company was done without just cause and excuse and the case is set aside.</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Balu a/l Renganathan v Asli Mechanical Sdn Bhd  [2024] ILJU 271</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Balu a/l Renganathan v Asli Mechanical Sdn Bhd  [2024] ILJU 271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35-N9Y3-MF20-M1NW-00000-00">
    <vt:lpwstr>Doc::/shared/document|contextualFeaturePermID::1522468</vt:lpwstr>
  </property>
  <property fmtid="{D5CDD505-2E9C-101B-9397-08002B2CF9AE}" pid="4" name="LNDeliveryID">
    <vt:lpwstr>286221682</vt:lpwstr>
  </property>
  <property fmtid="{D5CDD505-2E9C-101B-9397-08002B2CF9AE}" pid="5" name="UserPermID">
    <vt:lpwstr>urn:user:PA196491919</vt:lpwstr>
  </property>
</Properties>
</file>