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Fatimah Fedora bt Zulkifli v Petroliam Nasioanal Bhd  [2025] ILJU 260</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ZALINA AWANG @ MAMAT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861 OF 2025</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3 June 2025</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Simrenjeet Singh (with Nicholas Ng) (Simrenjeet, Tay &amp; Co)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Vijayan Venugopal (with Peter H Santiago) (Shearn Delamore &amp; Co)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1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Zalina Awang @ Mamat C"/>
            <w:bookmarkEnd w:id="1"/>
            <w:r>
              <w:rPr>
                <w:rFonts w:ascii="arial" w:eastAsia="arial" w:hAnsi="arial" w:cs="arial"/>
                <w:b/>
                <w:i w:val="0"/>
                <w:strike w:val="0"/>
                <w:noProof w:val="0"/>
                <w:color w:val="000000"/>
                <w:position w:val="0"/>
                <w:sz w:val="30"/>
                <w:u w:val="none"/>
                <w:vertAlign w:val="baseline"/>
              </w:rPr>
              <w:t>Zalina Awang @ Mamat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made under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pertaining to the dismissal of </w:t>
      </w:r>
      <w:r>
        <w:rPr>
          <w:rFonts w:ascii="arial" w:eastAsia="arial" w:hAnsi="arial" w:cs="arial"/>
          <w:b/>
          <w:i w:val="0"/>
          <w:strike w:val="0"/>
          <w:noProof w:val="0"/>
          <w:color w:val="000000"/>
          <w:position w:val="0"/>
          <w:sz w:val="24"/>
          <w:u w:val="none"/>
          <w:vertAlign w:val="baseline"/>
        </w:rPr>
        <w:t>FATIMAH FEDORA BINTI ZULKIFLI</w:t>
      </w:r>
      <w:r>
        <w:rPr>
          <w:rFonts w:ascii="arial" w:eastAsia="arial" w:hAnsi="arial" w:cs="arial"/>
          <w:b w:val="0"/>
          <w:i w:val="0"/>
          <w:strike w:val="0"/>
          <w:noProof w:val="0"/>
          <w:color w:val="000000"/>
          <w:position w:val="0"/>
          <w:sz w:val="24"/>
          <w:u w:val="none"/>
          <w:vertAlign w:val="baseline"/>
        </w:rPr>
        <w:t xml:space="preserve"> (hereinafter referred to as ‘‘the Claimant’’) by </w:t>
      </w:r>
      <w:r>
        <w:rPr>
          <w:rFonts w:ascii="arial" w:eastAsia="arial" w:hAnsi="arial" w:cs="arial"/>
          <w:b/>
          <w:i w:val="0"/>
          <w:strike w:val="0"/>
          <w:noProof w:val="0"/>
          <w:color w:val="000000"/>
          <w:position w:val="0"/>
          <w:sz w:val="24"/>
          <w:u w:val="none"/>
          <w:vertAlign w:val="baseline"/>
        </w:rPr>
        <w:t>PETROLIAM NASIONAL BERHAD</w:t>
      </w:r>
      <w:r>
        <w:rPr>
          <w:rFonts w:ascii="arial" w:eastAsia="arial" w:hAnsi="arial" w:cs="arial"/>
          <w:b w:val="0"/>
          <w:i w:val="0"/>
          <w:strike w:val="0"/>
          <w:noProof w:val="0"/>
          <w:color w:val="000000"/>
          <w:position w:val="0"/>
          <w:sz w:val="24"/>
          <w:u w:val="none"/>
          <w:vertAlign w:val="baseline"/>
        </w:rPr>
        <w:t xml:space="preserve"> (hereinafter referred to as ‘‘the Company’’) on </w:t>
      </w:r>
      <w:r>
        <w:rPr>
          <w:rFonts w:ascii="arial" w:eastAsia="arial" w:hAnsi="arial" w:cs="arial"/>
          <w:b/>
          <w:i w:val="0"/>
          <w:strike w:val="0"/>
          <w:noProof w:val="0"/>
          <w:color w:val="000000"/>
          <w:position w:val="0"/>
          <w:sz w:val="24"/>
          <w:u w:val="none"/>
          <w:vertAlign w:val="baseline"/>
        </w:rPr>
        <w:t>31.12.2020.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This Director General of Industrial Relations (‘‘DGIR’’) reference required this Court to hear and determine the Claimant’s complaint of dismissal on 31.12.2020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Claimant’s career with the Company began on 03.04.2007 [as at CLB-2 pages 287-290], where she entered as an executive and swiftly rose through the ranks. Her dedication, exemplary performance, and leadership capabilities were recognized through multiple promotions and salary increments, underscoring her value to the organization.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In 2018, the Claimant was handpicked to take on a pivotal leadership role where she was econded as Chief Executive Officer (CEO) of Petrosains Sdn Bhd (“</w:t>
      </w:r>
      <w:r>
        <w:rPr>
          <w:rFonts w:ascii="arial" w:eastAsia="arial" w:hAnsi="arial" w:cs="arial"/>
          <w:b/>
          <w:i w:val="0"/>
          <w:strike w:val="0"/>
          <w:noProof w:val="0"/>
          <w:color w:val="000000"/>
          <w:position w:val="0"/>
          <w:sz w:val="24"/>
          <w:u w:val="none"/>
          <w:vertAlign w:val="baseline"/>
        </w:rPr>
        <w:t>Petrosains</w:t>
      </w:r>
      <w:r>
        <w:rPr>
          <w:rFonts w:ascii="arial" w:eastAsia="arial" w:hAnsi="arial" w:cs="arial"/>
          <w:b w:val="0"/>
          <w:i w:val="0"/>
          <w:strike w:val="0"/>
          <w:noProof w:val="0"/>
          <w:color w:val="000000"/>
          <w:position w:val="0"/>
          <w:sz w:val="24"/>
          <w:u w:val="none"/>
          <w:vertAlign w:val="baseline"/>
        </w:rPr>
        <w:t>”), a wholly owned subsidiary of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xml:space="preserve">  By way of a letter dated 03.04.2007, the Claimant was offered employment with the Company as an Executive, in the OPI Programme Management, Group Plant Performance Management, Research and Technology Division. The Claimant formally joined the Company with effect from </w:t>
      </w:r>
      <w:r>
        <w:rPr>
          <w:rFonts w:ascii="arial" w:eastAsia="arial" w:hAnsi="arial" w:cs="arial"/>
          <w:b/>
          <w:i w:val="0"/>
          <w:strike w:val="0"/>
          <w:noProof w:val="0"/>
          <w:color w:val="000000"/>
          <w:position w:val="0"/>
          <w:sz w:val="24"/>
          <w:u w:val="none"/>
          <w:vertAlign w:val="baseline"/>
        </w:rPr>
        <w:t>04.06.2007.</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By way of a letter dated 11.12.2018, the Claimant was thereafter seconded to PETROSAINS Sdn Bhd (hereinafter referred to as “</w:t>
      </w:r>
      <w:r>
        <w:rPr>
          <w:rFonts w:ascii="arial" w:eastAsia="arial" w:hAnsi="arial" w:cs="arial"/>
          <w:b/>
          <w:i w:val="0"/>
          <w:strike w:val="0"/>
          <w:noProof w:val="0"/>
          <w:color w:val="000000"/>
          <w:position w:val="0"/>
          <w:sz w:val="24"/>
          <w:u w:val="none"/>
          <w:vertAlign w:val="baseline"/>
        </w:rPr>
        <w:t>PETROSAINS</w:t>
      </w:r>
      <w:r>
        <w:rPr>
          <w:rFonts w:ascii="arial" w:eastAsia="arial" w:hAnsi="arial" w:cs="arial"/>
          <w:b w:val="0"/>
          <w:i w:val="0"/>
          <w:strike w:val="0"/>
          <w:noProof w:val="0"/>
          <w:color w:val="000000"/>
          <w:position w:val="0"/>
          <w:sz w:val="24"/>
          <w:u w:val="none"/>
          <w:vertAlign w:val="baseline"/>
        </w:rPr>
        <w:t>”), which is a wholly owned subsidiary of the Company, in the capacity as Chief Executive Officer (“</w:t>
      </w:r>
      <w:r>
        <w:rPr>
          <w:rFonts w:ascii="arial" w:eastAsia="arial" w:hAnsi="arial" w:cs="arial"/>
          <w:b/>
          <w:i w:val="0"/>
          <w:strike w:val="0"/>
          <w:noProof w:val="0"/>
          <w:color w:val="000000"/>
          <w:position w:val="0"/>
          <w:sz w:val="24"/>
          <w:u w:val="none"/>
          <w:vertAlign w:val="baseline"/>
        </w:rPr>
        <w:t>CEO</w:t>
      </w:r>
      <w:r>
        <w:rPr>
          <w:rFonts w:ascii="arial" w:eastAsia="arial" w:hAnsi="arial" w:cs="arial"/>
          <w:b w:val="0"/>
          <w:i w:val="0"/>
          <w:strike w:val="0"/>
          <w:noProof w:val="0"/>
          <w:color w:val="000000"/>
          <w:position w:val="0"/>
          <w:sz w:val="24"/>
          <w:u w:val="none"/>
          <w:vertAlign w:val="baseline"/>
        </w:rPr>
        <w:t>”). The secondment was for a period between 01.12.2018 until 30.11.2021.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Sometime around October or November 2019, the Company received an anonymous letter whereby the said letter raised several allegations against the Claimant (“</w:t>
      </w:r>
      <w:r>
        <w:rPr>
          <w:rFonts w:ascii="arial" w:eastAsia="arial" w:hAnsi="arial" w:cs="arial"/>
          <w:b/>
          <w:i w:val="0"/>
          <w:strike w:val="0"/>
          <w:noProof w:val="0"/>
          <w:color w:val="000000"/>
          <w:position w:val="0"/>
          <w:sz w:val="24"/>
          <w:u w:val="none"/>
          <w:vertAlign w:val="baseline"/>
        </w:rPr>
        <w:t>the Anonymous Letter</w:t>
      </w:r>
      <w:r>
        <w:rPr>
          <w:rFonts w:ascii="arial" w:eastAsia="arial" w:hAnsi="arial" w:cs="arial"/>
          <w:b w:val="0"/>
          <w:i w:val="0"/>
          <w:strike w:val="0"/>
          <w:noProof w:val="0"/>
          <w:color w:val="000000"/>
          <w:position w:val="0"/>
          <w:sz w:val="24"/>
          <w:u w:val="none"/>
          <w:vertAlign w:val="baseline"/>
        </w:rPr>
        <w:t xml:space="preserve">”). The Anonymous Letter can be found at </w:t>
      </w:r>
      <w:r>
        <w:rPr>
          <w:rFonts w:ascii="arial" w:eastAsia="arial" w:hAnsi="arial" w:cs="arial"/>
          <w:b/>
          <w:i w:val="0"/>
          <w:strike w:val="0"/>
          <w:noProof w:val="0"/>
          <w:color w:val="000000"/>
          <w:position w:val="0"/>
          <w:sz w:val="24"/>
          <w:u w:val="none"/>
          <w:vertAlign w:val="baseline"/>
        </w:rPr>
        <w:t>pages 5 – 7 of the Company’s Bundle of Documents (Volume 2) (hereinafter referred to as “COB-2”</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In summary the facts of the case, the Claimant commenced employment with the Company on 04.06.2007 and was subsequently seconded as Chief Executive Officer (CEO) of Petrosains Sdn Bhd, a wholly owned subsidiary of the Company, effective 01.12.2018.</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In October 2019, the Company received an anonymous complaint against the Claimant, which led to internal investigations. A show cause letter dated 30.06.2020 was issued, followed by a reply from the Claimant. The Claimant was suspended on 30.09.2020 and dismissed on 31.12.2020.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REFERRED CAUSE PAPERS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Parties had filed the following pleadings before this Honorable Court:</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3486"/>
        <w:gridCol w:w="3485"/>
        <w:gridCol w:w="3485"/>
      </w:tblGrid>
      <w:tr>
        <w:tblPrEx>
          <w:tblW w:w="5000" w:type="pct"/>
          <w:tblLayout w:type="fixed"/>
        </w:tblPrEx>
        <w:trPr>
          <w:tblHeader/>
        </w:trPr>
        <w:tc>
          <w:tcPr>
            <w:tcW w:w="3413" w:type="dxa"/>
            <w:tcBorders>
              <w:bottom w:val="single" w:sz="2" w:space="0" w:color="BCBEC0"/>
              <w:right w:val="single" w:sz="2" w:space="0" w:color="BCBEC0"/>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NO</w:t>
            </w:r>
          </w:p>
        </w:tc>
        <w:tc>
          <w:tcPr>
            <w:tcW w:w="3413" w:type="dxa"/>
            <w:tcBorders>
              <w:bottom w:val="single" w:sz="2" w:space="0" w:color="BCBEC0"/>
              <w:right w:val="single" w:sz="2" w:space="0" w:color="BCBEC0"/>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DOCUMENT</w:t>
            </w:r>
          </w:p>
        </w:tc>
        <w:tc>
          <w:tcPr>
            <w:tcW w:w="3413" w:type="dxa"/>
            <w:tcBorders>
              <w:bottom w:val="single" w:sz="2" w:space="0" w:color="BCBEC0"/>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REFERENCE</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of Case</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SOC</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in Reply</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SIR</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Rejoinder</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REJOINDER</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iv.</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Claimant’s Witness Statement</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CLWS-2</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 Statement of Zahariah Binti Abd Rahman</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CLWS-1</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 Statement of Azura @ Farah Diba Binti Daud</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COWS-1</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 Statement of Yusrizad Bin Rahman</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COWS-2</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viii.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 Statement of Kamaruddin Bin Kasim</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COWS-3</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ix.</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 Statement of Idawati Binti Md Deros</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COWS-4</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 Statement of Shahriman Bin Yusri</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COWS-5</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Company’s Bundle of Documents (Vol.1)</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COB-1</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Company’s Bundle of Documents (Vol.2)</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COB-2</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xiii.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(Vol.1)</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CLB-1</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xiv.</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(Vol.2)</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CLB-2</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xv.</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(Vol.3)</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ID-3</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xvi.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(Vol.4)</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ID-4</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xvii.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(Vol.5)</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CLB-5</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viii.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(Vol.6)</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CLB-6</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xix.</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(Vol.7)</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CLB-7</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xx.</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(Vol.8)</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CLB-8</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xxi.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(Vol.9)</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CLB-9</w:t>
            </w:r>
          </w:p>
        </w:tc>
      </w:tr>
      <w:tr>
        <w:tblPrEx>
          <w:tblW w:w="5000" w:type="pct"/>
          <w:tblLayout w:type="fixed"/>
        </w:tblPrEx>
        <w:tc>
          <w:tcPr>
            <w:tcW w:w="3413" w:type="dxa"/>
            <w:tcBorders>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xxii.</w:t>
            </w:r>
          </w:p>
        </w:tc>
        <w:tc>
          <w:tcPr>
            <w:tcW w:w="3413"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Claimant’s Bundle of Documents (Petrosains Sdn Bhd Limits of Authority – LOA)</w:t>
            </w:r>
          </w:p>
        </w:tc>
        <w:tc>
          <w:tcPr>
            <w:tcW w:w="3413" w:type="dxa"/>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ID-10</w:t>
            </w:r>
          </w:p>
        </w:tc>
      </w:tr>
    </w:tbl>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following witnesses were called to testify before this Honourable Court: -</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3486"/>
        <w:gridCol w:w="3485"/>
        <w:gridCol w:w="3485"/>
      </w:tblGrid>
      <w:tr>
        <w:tblPrEx>
          <w:tblW w:w="5000" w:type="pct"/>
          <w:tblLayout w:type="fixed"/>
        </w:tblPrEx>
        <w:trPr>
          <w:tblHeader/>
        </w:trPr>
        <w:tc>
          <w:tcPr>
            <w:tcW w:w="3413" w:type="dxa"/>
            <w:tcBorders>
              <w:bottom w:val="single" w:sz="2" w:space="0" w:color="BCBEC0"/>
              <w:right w:val="single" w:sz="2" w:space="0" w:color="BCBEC0"/>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NO</w:t>
            </w:r>
          </w:p>
        </w:tc>
        <w:tc>
          <w:tcPr>
            <w:tcW w:w="3413" w:type="dxa"/>
            <w:tcBorders>
              <w:bottom w:val="single" w:sz="2" w:space="0" w:color="BCBEC0"/>
              <w:right w:val="single" w:sz="2" w:space="0" w:color="BCBEC0"/>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WITNESS</w:t>
            </w:r>
          </w:p>
        </w:tc>
        <w:tc>
          <w:tcPr>
            <w:tcW w:w="3413" w:type="dxa"/>
            <w:tcBorders>
              <w:bottom w:val="single" w:sz="2" w:space="0" w:color="BCBEC0"/>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REFERENCE</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Azura @ Farah Diba Binti Daud</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COW-1</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Yusrizad Bin Rahman</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COW-2</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iii.)</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Kamaruddin Bin Kasim</w:t>
            </w:r>
          </w:p>
        </w:tc>
        <w:tc>
          <w:tcPr>
            <w:tcW w:w="3413" w:type="dxa"/>
            <w:tcBorders>
              <w:bottom w:val="single" w:sz="2" w:space="0" w:color="BCBEC0"/>
            </w:tcBorders>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COW-3</w:t>
            </w:r>
          </w:p>
        </w:tc>
      </w:tr>
      <w:tr>
        <w:tblPrEx>
          <w:tblW w:w="5000" w:type="pct"/>
          <w:tblLayout w:type="fixed"/>
        </w:tblPrEx>
        <w:tc>
          <w:tcPr>
            <w:tcW w:w="3413" w:type="dxa"/>
            <w:tcBorders>
              <w:right w:val="single" w:sz="2" w:space="0" w:color="BCBEC0"/>
            </w:tcBorders>
            <w:tcMar>
              <w:top w:w="100" w:type="dxa"/>
              <w:bottom w:w="10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iv.)</w:t>
            </w:r>
          </w:p>
        </w:tc>
        <w:tc>
          <w:tcPr>
            <w:tcW w:w="3413"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Idawati Binti Md Deros</w:t>
            </w:r>
          </w:p>
        </w:tc>
        <w:tc>
          <w:tcPr>
            <w:tcW w:w="3413" w:type="dxa"/>
            <w:tcMar>
              <w:top w:w="100" w:type="dxa"/>
              <w:bottom w:w="100" w:type="dxa"/>
            </w:tcMar>
            <w:vAlign w:val="top"/>
          </w:tcPr>
          <w:p>
            <w:pPr>
              <w:spacing w:after="0" w:line="220" w:lineRule="atLeast"/>
              <w:ind w:left="0"/>
              <w:jc w:val="center"/>
            </w:pPr>
            <w:r>
              <w:rPr>
                <w:rFonts w:ascii="arial" w:eastAsia="arial" w:hAnsi="arial" w:cs="arial"/>
                <w:b/>
                <w:i w:val="0"/>
                <w:strike w:val="0"/>
                <w:noProof w:val="0"/>
                <w:color w:val="000000"/>
                <w:position w:val="0"/>
                <w:sz w:val="20"/>
                <w:u w:val="none"/>
                <w:vertAlign w:val="baseline"/>
              </w:rPr>
              <w:t>COW-4</w:t>
            </w:r>
          </w:p>
        </w:tc>
      </w:tr>
    </w:tbl>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 Claimant’s career with the Company began on 03.04.2007, where she entered as an executive and swiftly rose through the ranks. Her dedication, exemplary performance, and leadership capabilities were recognized through multiple promotions and salary increments, underscoring her value to the organization.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This appointment was no small feat. She was entrusted with leading Petrosains following the tenure of Tengku Nasariah Tengku Syed Ibrahim, who had helmed the organization for 18 years. The Claimant was thus tasked with navigating a crucial transition and spearheading the transformation of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Among the key terms of her secondment were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the following:</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reported to Puan Zahariah Binti A. Rahman (also known as Puan Liza), </w:t>
      </w:r>
      <w:r>
        <w:rPr>
          <w:rFonts w:ascii="arial" w:eastAsia="arial" w:hAnsi="arial" w:cs="arial"/>
          <w:b/>
          <w:i w:val="0"/>
          <w:strike w:val="0"/>
          <w:noProof w:val="0"/>
          <w:color w:val="000000"/>
          <w:position w:val="0"/>
          <w:sz w:val="24"/>
          <w:u w:val="none"/>
          <w:vertAlign w:val="baseline"/>
        </w:rPr>
        <w:t>CLW-1</w:t>
      </w:r>
      <w:r>
        <w:rPr>
          <w:rFonts w:ascii="arial" w:eastAsia="arial" w:hAnsi="arial" w:cs="arial"/>
          <w:b w:val="0"/>
          <w:i w:val="0"/>
          <w:strike w:val="0"/>
          <w:noProof w:val="0"/>
          <w:color w:val="000000"/>
          <w:position w:val="0"/>
          <w:sz w:val="24"/>
          <w:u w:val="none"/>
          <w:vertAlign w:val="baseline"/>
        </w:rPr>
        <w:t>, who at the time was Head (Group Strategic Communications) of the Company and Chairman of the Board of Directors of Petrosains;</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Petrosains was responsible for monitoring and assessing the Claimant’s performance and appraisal during the period of secondment; and</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cases of serious misconduct, breach of discipline, or criminal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Petrosains may suspend and demobilize the Claimant back to the Company, where disciplinary proceedings may be instituted against 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Petrosains, like its parent company, requires no elaborate introduction. Established as a science and technology centre, it is wholly owned by the Company and carries a significant educational and commercial role. According to its Memorandum of Association, Petrosains’ objectives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include:</w:t>
      </w:r>
      <w:r>
        <w:t>
</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develop a learning environment presenting science and technology of petroleum industry to the public;</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establish, maintain, and promote a financially viable centre of interactive exhibitions based on scientific and technological activities;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develop and market the centre as a tourist resource capable of attracting national, regional and international visitors; and</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complement the educational value of Petrosains with merchandise sold through its Gift Shop.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As CEO of Petrosains, the Claimant was tasked with a transformational mandate. She was responsible for developing and executing Petrosains R2, restructuring the organization, rationalizing master plans and closure strategies, and leading the Workplace for Tomorrow initiative. Additionally, she was entrusted with shaping the future of Petrosains in accordance with the Petrosains Strategic Blueprint 2030, a strategic document she spearheaded to drive Petrosains into the next decade.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The Claimant was at the forefront of Petrosains’ evolution, spearheading its business strategy and transformation as envisioned in the Petrosains Strategic Blueprint. In fact, prior to her dismissal, 2019 was the best year for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However, on 31.12.2020, the Company dismissed the Claimant citing allegations of misconduct. The Claimant contests this dismissal, asserting that it was unlawful, executed without just cause and in any event the punishment of dismissal was excessive and disproportionate.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At the time of dismissal, the Claimant’s last drawn salary was </w:t>
      </w:r>
      <w:r>
        <w:rPr>
          <w:rFonts w:ascii="arial" w:eastAsia="arial" w:hAnsi="arial" w:cs="arial"/>
          <w:b/>
          <w:i w:val="0"/>
          <w:strike w:val="0"/>
          <w:noProof w:val="0"/>
          <w:color w:val="000000"/>
          <w:position w:val="0"/>
          <w:sz w:val="24"/>
          <w:u w:val="none"/>
          <w:vertAlign w:val="baseline"/>
        </w:rPr>
        <w:t>RM29,915.00</w:t>
      </w:r>
      <w:r>
        <w:rPr>
          <w:rFonts w:ascii="arial" w:eastAsia="arial" w:hAnsi="arial" w:cs="arial"/>
          <w:b w:val="0"/>
          <w:i w:val="0"/>
          <w:strike w:val="0"/>
          <w:noProof w:val="0"/>
          <w:color w:val="000000"/>
          <w:position w:val="0"/>
          <w:sz w:val="24"/>
          <w:u w:val="none"/>
          <w:vertAlign w:val="baseline"/>
        </w:rPr>
        <w:t>, with additional benefits, including:</w:t>
      </w:r>
      <w:r>
        <w:t>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Car allowance of RM1,600.00;</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Petrol card with a maximum claim of RM250.00 per month;</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Reimbursable actual membership entrance fee (up to RM10,000.00) at a Sports and Recreational Club (one-time claim); and;</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Actual club monthly subscription fee, reimbursed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The Claimant’s tenure with the Company, </w:t>
      </w:r>
      <w:r>
        <w:rPr>
          <w:rFonts w:ascii="arial" w:eastAsia="arial" w:hAnsi="arial" w:cs="arial"/>
          <w:b/>
          <w:i w:val="0"/>
          <w:strike w:val="0"/>
          <w:noProof w:val="0"/>
          <w:color w:val="000000"/>
          <w:position w:val="0"/>
          <w:sz w:val="24"/>
          <w:u w:val="none"/>
          <w:vertAlign w:val="baseline"/>
        </w:rPr>
        <w:t>spanning 13 years and 8 months,</w:t>
      </w:r>
      <w:r>
        <w:rPr>
          <w:rFonts w:ascii="arial" w:eastAsia="arial" w:hAnsi="arial" w:cs="arial"/>
          <w:b w:val="0"/>
          <w:i w:val="0"/>
          <w:strike w:val="0"/>
          <w:noProof w:val="0"/>
          <w:color w:val="000000"/>
          <w:position w:val="0"/>
          <w:sz w:val="24"/>
          <w:u w:val="none"/>
          <w:vertAlign w:val="baseline"/>
        </w:rPr>
        <w:t xml:space="preserve"> was marked by dedication, leadership, and unwavering contributions until her dismissal, which she now challenges as unjust and unwarranted.</w:t>
      </w:r>
      <w:r>
        <w:t>
</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establish, maintain, and promote a financially viable centre of interactive exhibitions based on scientific and technological activities;</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develop and market the centre as a tourist resource capable of attracting national, regional and international visitors; and</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 complement the educational value of Petrosains with merchandise sold through its Gift Shop.</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ISSUES WHICH WERE RAISED THROUGHOUT THE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Claimant, being a seconded employee of the Company in Petrosains was not only bound to comply with the policies and procedures of the Company but also the policies and procedures of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As the CEO of Petrosains, the Claimant was obligated to adhere to amongst others:</w:t>
      </w:r>
      <w:r>
        <w:t>
</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20.09.2016 and serves as a comprehensive framework outlining the authority, delegation, and decision-making mechanisms within the organization; and</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Under the LOA, the Claimant, as CEO of Petrosains, was entrusted with the overall management and performance of Petrosains. The LOA explicitly authorized the Claimant to manage and conduct the business of Petrosains based on her best judgment, subject only to reporting directly to the Board of Petrosains, in accordance with the Memorandum and Articles of Association (“M&amp;A”).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Section 3 of the LOA governs the reporting and approval mechanisms for strategic marketing and communications. It is based on the principle that all marketing and communication strategies must uphold the image of Petrosains and remain within the approved budget.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In so far as media relations are concerned, the LOA clearly stipulates that the CEO is the approving authority for the following:-</w:t>
      </w:r>
      <w:r>
        <w:t>
</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media engagement sessions;</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media release; and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media spokesperson appointment.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Importantly, in matters concerning media relations, the CEO is not required to as atk prior approval or consultation from the Board of Petrosains. The LOA grants the CEO absolute authority in this domain, reinforcing the CEO’s discretionary power to manage Petrosains’ public relations and branding strategies.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Part C of the LOA prescribes the reporting and approval mechanisms for financial and administrative matters.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With respect to business and training-related travel outside Malaysia, the LOA expressly grants the CEO sole approving authority. No consultation or reporting to the Board of Petrosains is required. This provision affirms the CEO’s autonomy in overAs ating international business and training-related travel decisions, provided they fall within the approved budget.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Section 3 of Part C of the LOA deals with the accounting and financial services. The approving authority for payment on supplier’s invoices as per transaction basis is as follows:-</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5228"/>
        <w:gridCol w:w="5228"/>
      </w:tblGrid>
      <w:tr>
        <w:tblPrEx>
          <w:tblW w:w="5000" w:type="pct"/>
          <w:tblLayout w:type="fixed"/>
        </w:tblPrEx>
        <w:trPr>
          <w:tblHeader/>
        </w:trPr>
        <w:tc>
          <w:tcPr>
            <w:tcW w:w="5120"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AMOUNT (RM)</w:t>
            </w:r>
          </w:p>
        </w:tc>
        <w:tc>
          <w:tcPr>
            <w:tcW w:w="5120"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APPROVING AUTHORITY</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Above RM500,000.00</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CEO</w:t>
            </w:r>
          </w:p>
        </w:tc>
      </w:tr>
      <w:tr>
        <w:tblPrEx>
          <w:tblW w:w="5000" w:type="pct"/>
          <w:tblLayout w:type="fixed"/>
        </w:tblPrEx>
        <w:tc>
          <w:tcPr>
            <w:tcW w:w="5120"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 to RM500,000.00</w:t>
            </w:r>
          </w:p>
        </w:tc>
        <w:tc>
          <w:tcPr>
            <w:tcW w:w="5120"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Director</w:t>
            </w:r>
          </w:p>
        </w:tc>
      </w:tr>
      <w:tr>
        <w:tblPrEx>
          <w:tblW w:w="5000" w:type="pct"/>
          <w:tblLayout w:type="fixed"/>
        </w:tblPrEx>
        <w:tc>
          <w:tcPr>
            <w:tcW w:w="5120"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 to RM50,000.00</w:t>
            </w:r>
          </w:p>
        </w:tc>
        <w:tc>
          <w:tcPr>
            <w:tcW w:w="5120" w:type="dxa"/>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Head</w:t>
            </w:r>
          </w:p>
        </w:tc>
      </w:tr>
    </w:tbl>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This structure underscores the CEO’s financial discretion and executive oversight over high-value financial transactions, reinforcing her decision making authority in managing Petrosains’ operations.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In fact, when it comes to procurement for work completed under service acceptance where the SMC department holds the authority to approve procurement and expenditures requests up to RM500,000 for directors and RM50,000.00 for section heads.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LOA also governs talent sourcing and recruitment decisions. Under Section 8, Subsection 3.8, the LOA delegates specifically states that the talent Sourcing plan and the advertisement of vacancies (both internal and external) fall under the authority of the Director of Human Resources of Petrosains. This provision clarifies the chain of command in recruitment decisions, ensuring that talent acquisition is handled efficiently while maintaining executive oversight.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LOA firmly establishes the CEO’s discretion over strategic decision making, financial approvals, media relations, and business travel. In particular:</w:t>
      </w:r>
      <w:r>
        <w:t>
</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full discretion over business- related travel without needing Board approval;</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discretionary authority over financial approvals, including expenditures up to RM500,000.00, without needing additional oversight; and</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LOA reinforces the CEO’s independent role in managing Petrosains’ strategic objectives, making decisions within budget, and leading transformation initiatives.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Therefore, any allegations that the Claimant overstepped her authority in exercising these functions are inconsistent with the very framework of the LOA itself.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The Company’s failure to refer to and adhere to Petrosains’ own policies and procedures in bringing allegations against the Claimant is a fundamental flaw that underscores the lack of due process and procedural fairness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 LOA was not referenced in any of the charges, despite it being the governing document that outlines the Claimant’s discretionary powers as CEO. In fact:</w:t>
      </w:r>
      <w:r>
        <w:t>
</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did not produce the LOA to support its allegations;</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herself had to introduce the LOA into evidence; and</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objected to the admission of the LOA, despite it being the most relevant document defining the Claimant’s authority.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Company’s refusal to recognize the LOA is highly telling. If the LOA had been considered, it would have been apparent that:</w:t>
      </w:r>
      <w:r>
        <w:t>
</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whilst there was a clear line of authority wherein Department Heads such as Puan Idawati, COW-4 – Director, Human Resource Management, Shamini Balan (“</w:t>
      </w:r>
      <w:r>
        <w:rPr>
          <w:rFonts w:ascii="arial" w:eastAsia="arial" w:hAnsi="arial" w:cs="arial"/>
          <w:b/>
          <w:i w:val="0"/>
          <w:strike w:val="0"/>
          <w:noProof w:val="0"/>
          <w:color w:val="000000"/>
          <w:position w:val="0"/>
          <w:sz w:val="24"/>
          <w:u w:val="none"/>
          <w:vertAlign w:val="baseline"/>
        </w:rPr>
        <w:t>Shamini</w:t>
      </w:r>
      <w:r>
        <w:rPr>
          <w:rFonts w:ascii="arial" w:eastAsia="arial" w:hAnsi="arial" w:cs="arial"/>
          <w:b w:val="0"/>
          <w:i w:val="0"/>
          <w:strike w:val="0"/>
          <w:noProof w:val="0"/>
          <w:color w:val="000000"/>
          <w:position w:val="0"/>
          <w:sz w:val="24"/>
          <w:u w:val="none"/>
          <w:vertAlign w:val="baseline"/>
        </w:rPr>
        <w:t>”) and their subordinates like Puan Azura had clear authority to decide on matters relating to Human Resource and Strategic Marketing &amp; Communications (SMC) without the Claimant’s involvement so long as the same is justified and within budget;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full discretion over business- related travel without needing Board approval;</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approving authority for various strategic, financial, and HR-related matters, including media engagements, supplier payments, and recruitment; and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therefore, the CEO’s powers were extensive, and the allegations of abuse of position were inconsistent with the very framework of authority the Company had put in place.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Further, the Company’s own talent sourcing and recruitment guidelines were not adhered to:</w:t>
      </w:r>
      <w:r>
        <w:t>
</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evidence was led to show that the Claimant had acted outside the Petrosains HR Procedure &amp; Guideline;</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failed to demonstrate that any breaches of policy occurred, despite clear procedural steps outlined in Sections 2.2, 2.5, 2.6, and 2.7 of the HR Procedure &amp; Guideline.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In so far as the Company policies and procedures are concerned, the Claimant was obligated to adhere to:</w:t>
      </w:r>
      <w:r>
        <w:t>
</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Core Value and Culture of PETRONAS Code of Conduct and Business Ethics (“</w:t>
      </w:r>
      <w:r>
        <w:rPr>
          <w:rFonts w:ascii="arial" w:eastAsia="arial" w:hAnsi="arial" w:cs="arial"/>
          <w:b/>
          <w:i w:val="0"/>
          <w:strike w:val="0"/>
          <w:noProof w:val="0"/>
          <w:color w:val="000000"/>
          <w:position w:val="0"/>
          <w:sz w:val="24"/>
          <w:u w:val="none"/>
          <w:vertAlign w:val="baseline"/>
        </w:rPr>
        <w:t>CoBe</w:t>
      </w:r>
      <w:r>
        <w:rPr>
          <w:rFonts w:ascii="arial" w:eastAsia="arial" w:hAnsi="arial" w:cs="arial"/>
          <w:b w:val="0"/>
          <w:i w:val="0"/>
          <w:strike w:val="0"/>
          <w:noProof w:val="0"/>
          <w:color w:val="000000"/>
          <w:position w:val="0"/>
          <w:sz w:val="24"/>
          <w:u w:val="none"/>
          <w:vertAlign w:val="baseline"/>
        </w:rPr>
        <w:t>”); and</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Code of Business Ethics Country Supplement Malaysia (“</w:t>
      </w:r>
      <w:r>
        <w:rPr>
          <w:rFonts w:ascii="arial" w:eastAsia="arial" w:hAnsi="arial" w:cs="arial"/>
          <w:b/>
          <w:i w:val="0"/>
          <w:strike w:val="0"/>
          <w:noProof w:val="0"/>
          <w:color w:val="000000"/>
          <w:position w:val="0"/>
          <w:sz w:val="24"/>
          <w:u w:val="none"/>
          <w:vertAlign w:val="baseline"/>
        </w:rPr>
        <w:t>the Code</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All 7 allegation of misconduct by the Claimant refers to specific violation by the Claimant of:</w:t>
      </w:r>
      <w:r>
        <w:t>
</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Section 2.2, Corporate Values and Culture, Part 1 – CoBe; and</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generality of Section 1, Importance of Good Conduct and Discipline, Part IV – Discipline Process and Sanctions of the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Section 2.2, Corporate Values and Culture, Part 1, CoBe states as follows:</w:t>
      </w:r>
      <w:r>
        <w:t>
</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an employee in the PETRONAS group, you have a duty to serve PETRONAS with good faith, fidelity, diligence and integrity. You are required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the best interests of PETRONAS and to refrain from engaging in conduct or activities which may adversely affect the best interest of PETRONAS. You are at all times required to: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Conscientiously maintain highest degree of integrity</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Always exercise proper care and judgment</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Avoid conflicts of interest</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Refrain from taking advantage of you position or exercising your authority to further your own personal interest at the expense of PETRONAS</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You may not conduct yourself in a manner that might undermine of that is likely to destroy or seriously damage PETRONAS confidence and trust in you. These duties are without limitation on duties imposed on you by law.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Section 1, Importance of Good Conduct and Discipline, Part IV – Discipline Process and Sanctions of the Code, CoBE, on the other hand states amongst others, as follows:</w:t>
      </w:r>
      <w:r>
        <w:t>
</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term “misconduct” means improper behaviour or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or conduct in relation to duties or work which is inconsistent with the due performance of obligations to PETRONAS and includes a breach of discipline in violation of this Code or the rules and regulations as set out in any handbooks, policies or procedure statements or in any documentation of PETRONAS;</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following acts may be treated as misconduct for which a person covered by this Code may be liable for disciplinary action, subject to the requirements of applicable law; and</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Failing to comply with PETRONAS established rules and procedures including but not limited to the limits of authority (LOA)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In relation to disciplinary process and sanctions, the Code, the following sections are relevant:</w:t>
      </w:r>
      <w:r>
        <w:t>
</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where the circumstances warrant, PETRONAS may suspend an employee on full or half pay pending the investigation and/or inquiry into alleged acts of misconduct committed by the employee;</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the investigations reveal concrete and cogent evidence in support of the alleged misconduct, PETRONAS may institute disciplinary action against the said employee; and</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Punishing Authority may after due inquiry impose any or a combination of the following punishments against the employee: </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warning;</w:t>
      </w:r>
    </w:p>
    <w:p>
      <w:pPr>
        <w:keepNext w:val="0"/>
        <w:numPr>
          <w:numId w:val="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Suspension with or without pay for a period to be determined by the Punishing Authority;</w:t>
      </w:r>
    </w:p>
    <w:p>
      <w:pPr>
        <w:keepNext w:val="0"/>
        <w:numPr>
          <w:numId w:val="5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Withholding the employee’s increment for a period to be determined by the Punishing Authority;</w:t>
      </w:r>
    </w:p>
    <w:p>
      <w:pPr>
        <w:keepNext w:val="0"/>
        <w:numPr>
          <w:numId w:val="5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increment to the employee’s salary for a period to be determined by the Punishing Authority;</w:t>
      </w:r>
    </w:p>
    <w:p>
      <w:pPr>
        <w:keepNext w:val="0"/>
        <w:numPr>
          <w:numId w:val="5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Non-payment of bonus or ex-gratia;</w:t>
      </w:r>
    </w:p>
    <w:p>
      <w:pPr>
        <w:keepNext w:val="0"/>
        <w:numPr>
          <w:numId w:val="5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Downgrading or demoting the employee;</w:t>
      </w:r>
    </w:p>
    <w:p>
      <w:pPr>
        <w:keepNext w:val="0"/>
        <w:numPr>
          <w:numId w:val="5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Any other types of punishment as the Punishing Authority deems fit;</w:t>
      </w:r>
    </w:p>
    <w:p>
      <w:pPr>
        <w:keepNext w:val="0"/>
        <w:numPr>
          <w:numId w:val="5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Dismissal.</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Events Leading to Issuance of Show Cause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Prior to the Claimant’s mobilization as CEO of Petrosains, it was well- known that Petrosains had a toxic culture involving the issuance of anonymous letters (</w:t>
      </w:r>
      <w:r>
        <w:rPr>
          <w:rFonts w:ascii="arial" w:eastAsia="arial" w:hAnsi="arial" w:cs="arial"/>
          <w:b w:val="0"/>
          <w:i/>
          <w:strike w:val="0"/>
          <w:noProof w:val="0"/>
          <w:color w:val="000000"/>
          <w:position w:val="0"/>
          <w:sz w:val="24"/>
          <w:u w:val="none"/>
          <w:vertAlign w:val="baseline"/>
        </w:rPr>
        <w:t>surat layang</w:t>
      </w:r>
      <w:r>
        <w:rPr>
          <w:rFonts w:ascii="arial" w:eastAsia="arial" w:hAnsi="arial" w:cs="arial"/>
          <w:b w:val="0"/>
          <w:i w:val="0"/>
          <w:strike w:val="0"/>
          <w:noProof w:val="0"/>
          <w:color w:val="000000"/>
          <w:position w:val="0"/>
          <w:sz w:val="24"/>
          <w:u w:val="none"/>
          <w:vertAlign w:val="baseline"/>
        </w:rPr>
        <w:t xml:space="preserve">). This was confirmed by Puan Idawati Binti Md Deros, </w:t>
      </w:r>
      <w:r>
        <w:rPr>
          <w:rFonts w:ascii="arial" w:eastAsia="arial" w:hAnsi="arial" w:cs="arial"/>
          <w:b/>
          <w:i w:val="0"/>
          <w:strike w:val="0"/>
          <w:noProof w:val="0"/>
          <w:color w:val="000000"/>
          <w:position w:val="0"/>
          <w:sz w:val="24"/>
          <w:u w:val="none"/>
          <w:vertAlign w:val="baseline"/>
        </w:rPr>
        <w:t>COW-4</w:t>
      </w:r>
      <w:r>
        <w:rPr>
          <w:rFonts w:ascii="arial" w:eastAsia="arial" w:hAnsi="arial" w:cs="arial"/>
          <w:b w:val="0"/>
          <w:i w:val="0"/>
          <w:strike w:val="0"/>
          <w:noProof w:val="0"/>
          <w:color w:val="000000"/>
          <w:position w:val="0"/>
          <w:sz w:val="24"/>
          <w:u w:val="none"/>
          <w:vertAlign w:val="baseline"/>
        </w:rPr>
        <w:t>, the Director of HR, who had personally warned the Claimant about this issue.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On 18.10.2019, the Claimant received an anonymous and undated letter (“</w:t>
      </w:r>
      <w:r>
        <w:rPr>
          <w:rFonts w:ascii="arial" w:eastAsia="arial" w:hAnsi="arial" w:cs="arial"/>
          <w:b/>
          <w:i w:val="0"/>
          <w:strike w:val="0"/>
          <w:noProof w:val="0"/>
          <w:color w:val="000000"/>
          <w:position w:val="0"/>
          <w:sz w:val="24"/>
          <w:u w:val="none"/>
          <w:vertAlign w:val="baseline"/>
        </w:rPr>
        <w:t>Poison Letter</w:t>
      </w:r>
      <w:r>
        <w:rPr>
          <w:rFonts w:ascii="arial" w:eastAsia="arial" w:hAnsi="arial" w:cs="arial"/>
          <w:b w:val="0"/>
          <w:i w:val="0"/>
          <w:strike w:val="0"/>
          <w:noProof w:val="0"/>
          <w:color w:val="000000"/>
          <w:position w:val="0"/>
          <w:sz w:val="24"/>
          <w:u w:val="none"/>
          <w:vertAlign w:val="baseline"/>
        </w:rPr>
        <w:t>”) containing defamatory and malicious allegations against her. The letter was handed to her by Puan Nor Rieza Bujang, Director of Science Centre Visit Operations,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The Claimant, acting transparently and in good faith, instructed her office assistant, Mr. Yusrizad Rahman, to gather all copies of the Poison Letter in her office that had not been circulated. The Claimant’s intention was to bring the matter to the attention of the Chairman of Petrosains to As atk guidance.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On 24.10.2019, the Claimant met with the Chairman of the Board of Petrosains, Puan Zahariah Binti Rahman (also known as Puan Liza), </w:t>
      </w:r>
      <w:r>
        <w:rPr>
          <w:rFonts w:ascii="arial" w:eastAsia="arial" w:hAnsi="arial" w:cs="arial"/>
          <w:b/>
          <w:i w:val="0"/>
          <w:strike w:val="0"/>
          <w:noProof w:val="0"/>
          <w:color w:val="000000"/>
          <w:position w:val="0"/>
          <w:sz w:val="24"/>
          <w:u w:val="none"/>
          <w:vertAlign w:val="baseline"/>
        </w:rPr>
        <w:t>CLW-1</w:t>
      </w:r>
      <w:r>
        <w:rPr>
          <w:rFonts w:ascii="arial" w:eastAsia="arial" w:hAnsi="arial" w:cs="arial"/>
          <w:b w:val="0"/>
          <w:i w:val="0"/>
          <w:strike w:val="0"/>
          <w:noProof w:val="0"/>
          <w:color w:val="000000"/>
          <w:position w:val="0"/>
          <w:sz w:val="24"/>
          <w:u w:val="none"/>
          <w:vertAlign w:val="baseline"/>
        </w:rPr>
        <w:t xml:space="preserve"> and formally informed her about the Poison Letter. CLW-1 informed the Claimant that she and other board members of Petrosains had received a copy of the Poison Letter and that she intended to bring this issue up in the upcoming board meeting of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On 13.11.2019, the Board of Petrosains had deliberated on the Poison Letter. Ultimately, no further action was taken against the Claimant in respect of the allegations made against the Claimant in the Poison Letter whether by the Board of Petrosains and/or the GHR of the Company at the material time. COW-5 in fact even agreed that the allegations therein were untrue: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‘‘SS : Now, my suggestion to you Mr Shahriman that there was no action, no 8 disciplinary action whatsoever in respect of what is stated in this 9 anonymous letter because it was determined to be untrue. Agree?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SY : Agree’’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xml:space="preserve">  Despite the Board’s decision not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on the Poison Letter, the Claimant was later subjected to investigations on the Poison Letter without her knowledge, in breach of the principles of natural justice.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Informal and Secret Investigations against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On 10.2.2020 at a meeting between the Claimant and the Chairman of Petrosains, the Claimant was informed that:-</w:t>
      </w:r>
      <w:r>
        <w:t>
</w:t>
      </w:r>
    </w:p>
    <w:p>
      <w:pPr>
        <w:keepNext w:val="0"/>
        <w:numPr>
          <w:numId w:val="5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are on-going investigations by the Group Human Resource (GHR) of the Company concerning the Claimant; and</w:t>
      </w:r>
    </w:p>
    <w:p>
      <w:pPr>
        <w:keepNext w:val="0"/>
        <w:numPr>
          <w:numId w:val="5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issue related to a business trip which the Claimant had gone on 24.7.2019 to Beijing, China for the International Science Drama Competition (ISDC), Grand Finale and the usage of make-up artist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However, despite being informed that she was under investigation, the Claimant was never formally notified by GHR, nor was she given an opportunity to provide her version of events.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Continued Breach of Natural Justice: No Formal Notification of Investigation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Several months passed, and the Claimant still received no formal communication regarding the investigations.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xml:space="preserve">  In June 2020, the Claimant reached out to GHR for advice on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insubordination by one of her subordinates.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On 22.6.2020, during an informal meeting with </w:t>
      </w:r>
      <w:r>
        <w:rPr>
          <w:rFonts w:ascii="arial" w:eastAsia="arial" w:hAnsi="arial" w:cs="arial"/>
          <w:b/>
          <w:i w:val="0"/>
          <w:strike w:val="0"/>
          <w:noProof w:val="0"/>
          <w:color w:val="000000"/>
          <w:position w:val="0"/>
          <w:sz w:val="24"/>
          <w:u w:val="none"/>
          <w:vertAlign w:val="baseline"/>
        </w:rPr>
        <w:t>COW-5</w:t>
      </w:r>
      <w:r>
        <w:rPr>
          <w:rFonts w:ascii="arial" w:eastAsia="arial" w:hAnsi="arial" w:cs="arial"/>
          <w:b w:val="0"/>
          <w:i w:val="0"/>
          <w:strike w:val="0"/>
          <w:noProof w:val="0"/>
          <w:color w:val="000000"/>
          <w:position w:val="0"/>
          <w:sz w:val="24"/>
          <w:u w:val="none"/>
          <w:vertAlign w:val="baseline"/>
        </w:rPr>
        <w:t>, En. Shahriman Yusri, Head of Industrial Relations of the Company, the Claimant was again casually informed that investigations were ongoing against 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COW-5 assured the Claimant that his team would reach out to her. However, this never happened.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The Claimant was never given a fair chance to respond before being formally charged with misconduct.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Show Cause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On 30.6.2020, the Claimant unexpectedly received a Notice to Show Cause (“</w:t>
      </w:r>
      <w:r>
        <w:rPr>
          <w:rFonts w:ascii="arial" w:eastAsia="arial" w:hAnsi="arial" w:cs="arial"/>
          <w:b/>
          <w:i w:val="0"/>
          <w:strike w:val="0"/>
          <w:noProof w:val="0"/>
          <w:color w:val="000000"/>
          <w:position w:val="0"/>
          <w:sz w:val="24"/>
          <w:u w:val="none"/>
          <w:vertAlign w:val="baseline"/>
        </w:rPr>
        <w:t>Show Cause</w:t>
      </w:r>
      <w:r>
        <w:rPr>
          <w:rFonts w:ascii="arial" w:eastAsia="arial" w:hAnsi="arial" w:cs="arial"/>
          <w:b w:val="0"/>
          <w:i w:val="0"/>
          <w:strike w:val="0"/>
          <w:noProof w:val="0"/>
          <w:color w:val="000000"/>
          <w:position w:val="0"/>
          <w:sz w:val="24"/>
          <w:u w:val="none"/>
          <w:vertAlign w:val="baseline"/>
        </w:rPr>
        <w:t>”) from the Company. The Show Cause alleged misconduct based on “a complaint”, but no formal complaint had ever been made through the whistleblowing channel.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The Show Cause contained 7 allegations, which were all formulated after the Company had gathered voluntary statements related to the Poison Letter.</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Reply to Show Cause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On 17.07.2020, the Claimant submitted a detailed reply, denying all allegations and providing documentary evidence to justify her innocence.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The Claimant also annexed supporting documents, proving that (1) her actions were within her authority as CEO under the LOA, (2) that the allegations lacked factual basis and were misconstrued and (3) that at all material times, the Claimant acted for the benefit of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Notice of Suspension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On 30.09.2020, the Company responded by:</w:t>
      </w:r>
      <w:r>
        <w:t>
</w:t>
      </w:r>
    </w:p>
    <w:p>
      <w:pPr>
        <w:keepNext w:val="0"/>
        <w:numPr>
          <w:numId w:val="5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stating that the Claimant’s explanations were “unsatisfactory”; and</w:t>
      </w:r>
    </w:p>
    <w:p>
      <w:pPr>
        <w:keepNext w:val="0"/>
        <w:numPr>
          <w:numId w:val="5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placing the Claimant on suspension pending further investigation.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On 06.10.2020, the Claimant formally requested clarification on:</w:t>
      </w:r>
      <w:r>
        <w:t>
</w:t>
      </w:r>
    </w:p>
    <w:p>
      <w:pPr>
        <w:keepNext w:val="0"/>
        <w:numPr>
          <w:numId w:val="6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which parts of her reply were unsatisfactory;</w:t>
      </w:r>
    </w:p>
    <w:p>
      <w:pPr>
        <w:keepNext w:val="0"/>
        <w:numPr>
          <w:numId w:val="6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what additional investigation were being conducted; and</w:t>
      </w:r>
    </w:p>
    <w:p>
      <w:pPr>
        <w:keepNext w:val="0"/>
        <w:numPr>
          <w:numId w:val="6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how she could assist to clarify any concerns.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The Company failed to provide any response to these queries.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Claimant kept in abeyance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Despite, the Claimant’s request for response, the Claimant had not heard from the Company and was kept in abeyance which then led to the Claimant commencing the civil suit.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The Company refused to specific:</w:t>
      </w:r>
      <w:r>
        <w:t>
</w:t>
      </w:r>
    </w:p>
    <w:p>
      <w:pPr>
        <w:keepNext w:val="0"/>
        <w:numPr>
          <w:numId w:val="6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which part of the Claimant’s explanation was “unacceptable”;</w:t>
      </w:r>
    </w:p>
    <w:p>
      <w:pPr>
        <w:keepNext w:val="0"/>
        <w:numPr>
          <w:numId w:val="6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what evidence was considered; and</w:t>
      </w:r>
    </w:p>
    <w:p>
      <w:pPr>
        <w:keepNext w:val="0"/>
        <w:numPr>
          <w:numId w:val="6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what the investigations revealed.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[64]</w:t>
      </w:r>
      <w:r>
        <w:rPr>
          <w:rFonts w:ascii="arial" w:eastAsia="arial" w:hAnsi="arial" w:cs="arial"/>
          <w:b w:val="0"/>
          <w:i w:val="0"/>
          <w:strike w:val="0"/>
          <w:noProof w:val="0"/>
          <w:color w:val="000000"/>
          <w:position w:val="0"/>
          <w:sz w:val="24"/>
          <w:u w:val="none"/>
          <w:vertAlign w:val="baseline"/>
        </w:rPr>
        <w:t>  The Claimant formally objected to her dismissal via a letter on 8.1.2021, As taking reinstatement. The Company refused to reconsider its decision.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[65]</w:t>
      </w:r>
      <w:r>
        <w:rPr>
          <w:rFonts w:ascii="arial" w:eastAsia="arial" w:hAnsi="arial" w:cs="arial"/>
          <w:b w:val="0"/>
          <w:i w:val="0"/>
          <w:strike w:val="0"/>
          <w:noProof w:val="0"/>
          <w:color w:val="000000"/>
          <w:position w:val="0"/>
          <w:sz w:val="24"/>
          <w:u w:val="none"/>
          <w:vertAlign w:val="baseline"/>
        </w:rPr>
        <w:t>  The above sequence of events demonstrates a clear breach of natural justice:</w:t>
      </w:r>
      <w:r>
        <w:t>
</w:t>
      </w:r>
    </w:p>
    <w:p>
      <w:pPr>
        <w:keepNext w:val="0"/>
        <w:numPr>
          <w:numId w:val="6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never formally informed of an investigation before being charged;</w:t>
      </w:r>
    </w:p>
    <w:p>
      <w:pPr>
        <w:keepNext w:val="0"/>
        <w:numPr>
          <w:numId w:val="6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Show Cause was issued without prior opportunity for the Claimant to respond;</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investigation relied on statements gathered from the Poison Letter issue, which had been previously dismissed as irrelevant;</w:t>
      </w:r>
    </w:p>
    <w:p>
      <w:pPr>
        <w:keepNext w:val="0"/>
        <w:numPr>
          <w:numId w:val="6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review of the questions posed in the voluntary statements procured by the Company and the answers given therein will clearly show that the investigation did not centre around the misconduct allegations that were thereafter framed against the Claimant;</w:t>
      </w:r>
    </w:p>
    <w:p>
      <w:pPr>
        <w:keepNext w:val="0"/>
        <w:numPr>
          <w:numId w:val="7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refused to clarify which responses were unsatisfactory before imposing suspension and later dismissing the Claimant;</w:t>
      </w:r>
    </w:p>
    <w:p>
      <w:pPr>
        <w:keepNext w:val="0"/>
        <w:numPr>
          <w:numId w:val="7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domestic inquiry was ever held notwithstanding evidence available from Datin Zarina Bt Zakaria, Head (Global HR Partners HC), Petronas to CLW-1 informing that they are working towards a domestic inquiry; and</w:t>
      </w:r>
    </w:p>
    <w:p>
      <w:pPr>
        <w:keepNext w:val="0"/>
        <w:numPr>
          <w:numId w:val="7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dismissal letter is signed of by the “investigating officer” of the Company, Farizon A. Karim. There is no indication that the punishment of dismissal was decided by a punishing authority, a procedure which is enshrined in the Company’s own policies and procedures, specifically, Section 1, Importance of Good Conduct and Discipline, Part IV–Discipline, Disciplinary Process and Sanctions of the Code which gives the authority to an officer of the company to mete out punishment against employees as provided by the Human Resource Management Limits of Authority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Misconduct Allegations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single"/>
          <w:vertAlign w:val="baseline"/>
        </w:rPr>
        <w:t>First Allegation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“That you Fatimah Fedora Zulkifli, (S/N:128907),in your capacity as Chief Executive Officer (CEO) Petrosains, had committed an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of misconduct when you had on 24 July 2019, abused your position and/or taking advantage of your position by instructing your subordinate namely Azura @ Fara Diba Daud, Head Corporate Communications, PETROSAINS, to arrange for your personal trip to Beijing National Stadium, during the business trip to Beijing, China for International Science Drama Competition (ISDC), Grand Final (“</w:t>
      </w:r>
      <w:r>
        <w:rPr>
          <w:rFonts w:ascii="arial" w:eastAsia="arial" w:hAnsi="arial" w:cs="arial"/>
          <w:b/>
          <w:i w:val="0"/>
          <w:strike w:val="0"/>
          <w:noProof w:val="0"/>
          <w:color w:val="000000"/>
          <w:position w:val="0"/>
          <w:sz w:val="18"/>
          <w:u w:val="none"/>
          <w:vertAlign w:val="baseline"/>
        </w:rPr>
        <w:t>1st Allegation</w:t>
      </w:r>
      <w:r>
        <w:rPr>
          <w:rFonts w:ascii="arial" w:eastAsia="arial" w:hAnsi="arial" w:cs="arial"/>
          <w:b w:val="0"/>
          <w:i w:val="0"/>
          <w:strike w:val="0"/>
          <w:noProof w:val="0"/>
          <w:color w:val="000000"/>
          <w:position w:val="0"/>
          <w:sz w:val="18"/>
          <w:u w:val="none"/>
          <w:vertAlign w:val="baseline"/>
        </w:rPr>
        <w:t>”). The trip was then arranged through Carlson Wagonlit Travel (CWT) based on your instruction and the cost of the said trip amounting to RM1,532.00 was charged to the Company.</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[66]</w:t>
      </w:r>
      <w:r>
        <w:rPr>
          <w:rFonts w:ascii="arial" w:eastAsia="arial" w:hAnsi="arial" w:cs="arial"/>
          <w:b w:val="0"/>
          <w:i w:val="0"/>
          <w:strike w:val="0"/>
          <w:noProof w:val="0"/>
          <w:color w:val="000000"/>
          <w:position w:val="0"/>
          <w:sz w:val="24"/>
          <w:u w:val="none"/>
          <w:vertAlign w:val="baseline"/>
        </w:rPr>
        <w:t>  The Company claims that the First Allegation amounts to misconduct in violation of:</w:t>
      </w:r>
      <w:r>
        <w:t>
</w:t>
      </w:r>
    </w:p>
    <w:p>
      <w:pPr>
        <w:keepNext w:val="0"/>
        <w:numPr>
          <w:numId w:val="7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section 2.2, Corporate Values and Culture, Part 1 – Core Values and Culture of PETRONAS Code of Conduct and Business Ethics (CoBe) (The Code); and/or</w:t>
      </w:r>
    </w:p>
    <w:p>
      <w:pPr>
        <w:keepNext w:val="0"/>
        <w:numPr>
          <w:numId w:val="7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generality of Section 1, Importance of Good Conduct and Discipline, Part IV – Discipline, Disciplinary Process and Sanctions of the Code; and/or</w:t>
      </w:r>
    </w:p>
    <w:p>
      <w:pPr>
        <w:keepNext w:val="0"/>
        <w:numPr>
          <w:numId w:val="7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Other express and/or implied terms of the Claimant’s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[67]</w:t>
      </w:r>
      <w:r>
        <w:rPr>
          <w:rFonts w:ascii="arial" w:eastAsia="arial" w:hAnsi="arial" w:cs="arial"/>
          <w:b w:val="0"/>
          <w:i w:val="0"/>
          <w:strike w:val="0"/>
          <w:noProof w:val="0"/>
          <w:color w:val="000000"/>
          <w:position w:val="0"/>
          <w:sz w:val="24"/>
          <w:u w:val="none"/>
          <w:vertAlign w:val="baseline"/>
        </w:rPr>
        <w:t xml:space="preserve">  In her Reply to Show Cause, the Claimant denied any misconduct and explained in her Reply to Show Cause that the trip to Beijing National Stadium was for the benefit of Petrosains, not for personal gain. She stated </w:t>
      </w:r>
      <w:r>
        <w:rPr>
          <w:rFonts w:ascii="arial" w:eastAsia="arial" w:hAnsi="arial" w:cs="arial"/>
          <w:b w:val="0"/>
          <w:i/>
          <w:strike w:val="0"/>
          <w:noProof w:val="0"/>
          <w:color w:val="000000"/>
          <w:position w:val="0"/>
          <w:sz w:val="24"/>
          <w:u w:val="none"/>
          <w:vertAlign w:val="baseline"/>
        </w:rPr>
        <w:t>inter alia:-</w:t>
      </w:r>
      <w:r>
        <w:t>
</w:t>
      </w:r>
    </w:p>
    <w:p>
      <w:pPr>
        <w:keepNext w:val="0"/>
        <w:numPr>
          <w:numId w:val="7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24.7.2019, the Claimant attended a conference in the morning and performed her official judge duties for ISDC in the evening. In line with Petrosains’ transformation strategy, she sought to maximize the business value of her trip;</w:t>
      </w:r>
    </w:p>
    <w:p>
      <w:pPr>
        <w:keepNext w:val="0"/>
        <w:numPr>
          <w:numId w:val="7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discussions with Pn. Azura and Shamini, they identified Beijing National Stadium as a benchmarking opportunity to study customercentric strategies, consistent with upcoming proposed approval of Petrosains strategic objectives and the Petrosains Blueprint 2030;</w:t>
      </w:r>
    </w:p>
    <w:p>
      <w:pPr>
        <w:keepNext w:val="0"/>
        <w:numPr>
          <w:numId w:val="7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did not instruct or dictate any travel plans. Pn. Azura and her subordinate, Pn. Nur Afiqah, handled all arrangements, including transportation. The Claimant was merely informed that transport was available;</w:t>
      </w:r>
    </w:p>
    <w:p>
      <w:pPr>
        <w:keepNext w:val="0"/>
        <w:numPr>
          <w:numId w:val="7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attached key strategic documents to substantiate that the trip aligned with Petrosains’ business goals, including: </w:t>
      </w:r>
    </w:p>
    <w:p>
      <w:pPr>
        <w:keepNext w:val="0"/>
        <w:numPr>
          <w:numId w:val="8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the LOA</w:t>
      </w:r>
    </w:p>
    <w:p>
      <w:pPr>
        <w:keepNext w:val="0"/>
        <w:numPr>
          <w:numId w:val="8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Petrosains Board Paper</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Hibiscus Plan CEO Transition Plan</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Petrosains Strategic Blueprint 2030</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identified specific business benefits of the visit including, benchmarking to enhance customer engagement, networking and industry relationship building and studying the commercial viability of large-scale attractions;</w:t>
      </w:r>
    </w:p>
    <w:p>
      <w:pPr>
        <w:keepNext w:val="0"/>
        <w:numPr>
          <w:numId w:val="8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actions contradicted any intention of personal gain as she had declined to eat out and even shortened her trip to 25.7.2019 instead of 26.7.2019;</w:t>
      </w:r>
    </w:p>
    <w:p>
      <w:pPr>
        <w:keepNext w:val="0"/>
        <w:numPr>
          <w:numId w:val="8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fully transparent with the Petrosains Board regarding the visit;</w:t>
      </w:r>
    </w:p>
    <w:p>
      <w:pPr>
        <w:keepNext w:val="0"/>
        <w:numPr>
          <w:numId w:val="8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trip was within the CEO’s discretionary authority under the LOA and PETRONAS CoBE, reinforcing that the Claimant acted lawfully and in the best interest of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[68]</w:t>
      </w:r>
      <w:r>
        <w:rPr>
          <w:rFonts w:ascii="arial" w:eastAsia="arial" w:hAnsi="arial" w:cs="arial"/>
          <w:b w:val="0"/>
          <w:i w:val="0"/>
          <w:strike w:val="0"/>
          <w:noProof w:val="0"/>
          <w:color w:val="000000"/>
          <w:position w:val="0"/>
          <w:sz w:val="24"/>
          <w:u w:val="none"/>
          <w:vertAlign w:val="baseline"/>
        </w:rPr>
        <w:t>  The trip to the Beijing National Stadium was a suggestion by Puan Azura and Shamini arising from a discussion as to how to best optimise the Beijing trip. Shamini was clearly a relevant witness.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[69]</w:t>
      </w:r>
      <w:r>
        <w:rPr>
          <w:rFonts w:ascii="arial" w:eastAsia="arial" w:hAnsi="arial" w:cs="arial"/>
          <w:b w:val="0"/>
          <w:i w:val="0"/>
          <w:strike w:val="0"/>
          <w:noProof w:val="0"/>
          <w:color w:val="000000"/>
          <w:position w:val="0"/>
          <w:sz w:val="24"/>
          <w:u w:val="none"/>
          <w:vertAlign w:val="baseline"/>
        </w:rPr>
        <w:t>  The Company bears the burden of proof to establish that the Claimant’s visit to the Beijing National Stadium was a personal trip and not in furtherance of Petrosains’ objectives.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[70]</w:t>
      </w:r>
      <w:r>
        <w:rPr>
          <w:rFonts w:ascii="arial" w:eastAsia="arial" w:hAnsi="arial" w:cs="arial"/>
          <w:b w:val="0"/>
          <w:i w:val="0"/>
          <w:strike w:val="0"/>
          <w:noProof w:val="0"/>
          <w:color w:val="000000"/>
          <w:position w:val="0"/>
          <w:sz w:val="24"/>
          <w:u w:val="none"/>
          <w:vertAlign w:val="baseline"/>
        </w:rPr>
        <w:t>  Indeed, the Company has no clear policy or guideline as to how to distinguish a personal trip from an official trip. This was admitted to by COW-5 during cross examination.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[71]</w:t>
      </w:r>
      <w:r>
        <w:rPr>
          <w:rFonts w:ascii="arial" w:eastAsia="arial" w:hAnsi="arial" w:cs="arial"/>
          <w:b w:val="0"/>
          <w:i w:val="0"/>
          <w:strike w:val="0"/>
          <w:noProof w:val="0"/>
          <w:color w:val="000000"/>
          <w:position w:val="0"/>
          <w:sz w:val="24"/>
          <w:u w:val="none"/>
          <w:vertAlign w:val="baseline"/>
        </w:rPr>
        <w:t>  The Company’s own witness, COW-5 admitted that the Beijing National Stadium was identified as an educational trip for the ISDC participants:-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‘‘SS : You can confirm that the Bird’s Nest was initially it was listed as part of the planned trip, right, at page 40?</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SY : As an educational visit, yes.’’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[72]</w:t>
      </w:r>
      <w:r>
        <w:rPr>
          <w:rFonts w:ascii="arial" w:eastAsia="arial" w:hAnsi="arial" w:cs="arial"/>
          <w:b w:val="0"/>
          <w:i w:val="0"/>
          <w:strike w:val="0"/>
          <w:noProof w:val="0"/>
          <w:color w:val="000000"/>
          <w:position w:val="0"/>
          <w:sz w:val="24"/>
          <w:u w:val="none"/>
          <w:vertAlign w:val="baseline"/>
        </w:rPr>
        <w:t>  The Claimant’ counsel submit that if the trip was planned as an educational experience for ISDC contestants, how could the Claimant’s visit be classified as “personal”.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[73]</w:t>
      </w:r>
      <w:r>
        <w:rPr>
          <w:rFonts w:ascii="arial" w:eastAsia="arial" w:hAnsi="arial" w:cs="arial"/>
          <w:b w:val="0"/>
          <w:i w:val="0"/>
          <w:strike w:val="0"/>
          <w:noProof w:val="0"/>
          <w:color w:val="000000"/>
          <w:position w:val="0"/>
          <w:sz w:val="24"/>
          <w:u w:val="none"/>
          <w:vertAlign w:val="baseline"/>
        </w:rPr>
        <w:t>  The Claimant played no part in the ground arrangements for the transportation in Beijing. This was handled specifically by the SMC department of Petrosains particularly in this case, Puan Azura and her subordinate, Nur Afiqah.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[74]</w:t>
      </w:r>
      <w:r>
        <w:rPr>
          <w:rFonts w:ascii="arial" w:eastAsia="arial" w:hAnsi="arial" w:cs="arial"/>
          <w:b w:val="0"/>
          <w:i w:val="0"/>
          <w:strike w:val="0"/>
          <w:noProof w:val="0"/>
          <w:color w:val="000000"/>
          <w:position w:val="0"/>
          <w:sz w:val="24"/>
          <w:u w:val="none"/>
          <w:vertAlign w:val="baseline"/>
        </w:rPr>
        <w:t>  The evidence presented at trial clearly establishes that the Claimant played no role in arranging or directing the transportation logistics for the Beijing trip. The responsibility for ground arrangements rested entirely with the SMC department of Petrosains, particularly Pn. Azura and her subordinate, Pn. Nur Afiqah.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[75]</w:t>
      </w:r>
      <w:r>
        <w:rPr>
          <w:rFonts w:ascii="arial" w:eastAsia="arial" w:hAnsi="arial" w:cs="arial"/>
          <w:b w:val="0"/>
          <w:i w:val="0"/>
          <w:strike w:val="0"/>
          <w:noProof w:val="0"/>
          <w:color w:val="000000"/>
          <w:position w:val="0"/>
          <w:sz w:val="24"/>
          <w:u w:val="none"/>
          <w:vertAlign w:val="baseline"/>
        </w:rPr>
        <w:t>  Furthermore, the Claimant was not involved in any modifications to the itinerary, as Azura admitted that such changes were made solely by her and her team within the allocated budget.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[76]</w:t>
      </w:r>
      <w:r>
        <w:rPr>
          <w:rFonts w:ascii="arial" w:eastAsia="arial" w:hAnsi="arial" w:cs="arial"/>
          <w:b w:val="0"/>
          <w:i w:val="0"/>
          <w:strike w:val="0"/>
          <w:noProof w:val="0"/>
          <w:color w:val="000000"/>
          <w:position w:val="0"/>
          <w:sz w:val="24"/>
          <w:u w:val="none"/>
          <w:vertAlign w:val="baseline"/>
        </w:rPr>
        <w:t>  The Company’s allegation that the Claimant abused her position by instructing Azura to arrange a “personal trip” is therefore wholly unsupported by evidence. The testimony of both COW-5 and Azura, COW-1 directly contradicts this allegation, demonstrating that the arrangements were made independently of the Claimant and that all modifications were within budgetary constraints.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[77]</w:t>
      </w:r>
      <w:r>
        <w:rPr>
          <w:rFonts w:ascii="arial" w:eastAsia="arial" w:hAnsi="arial" w:cs="arial"/>
          <w:b w:val="0"/>
          <w:i w:val="0"/>
          <w:strike w:val="0"/>
          <w:noProof w:val="0"/>
          <w:color w:val="000000"/>
          <w:position w:val="0"/>
          <w:sz w:val="24"/>
          <w:u w:val="none"/>
          <w:vertAlign w:val="baseline"/>
        </w:rPr>
        <w:t>  Accordingly, this further weakens the First Allegation, as the Claimant had no role in directing the logistics or itinerary, let alone abusing her position for personal benefit. The Company’s failure to acknowledge this material fact further underscores the unjust and arbitrary nature of the disciplinary action taken against the Claimant.</w:t>
      </w:r>
      <w:r>
        <w:t>
</w:t>
      </w:r>
    </w:p>
    <w:p>
      <w:pPr>
        <w:keepNext w:val="0"/>
        <w:spacing w:after="0" w:line="300" w:lineRule="atLeast"/>
        <w:ind w:left="0" w:right="0" w:firstLine="0"/>
        <w:jc w:val="left"/>
      </w:pPr>
      <w:r>
        <w:rPr>
          <w:rFonts w:ascii="arial" w:eastAsia="arial" w:hAnsi="arial" w:cs="arial"/>
          <w:b/>
          <w:i/>
          <w:strike w:val="0"/>
          <w:noProof w:val="0"/>
          <w:color w:val="000000"/>
          <w:position w:val="0"/>
          <w:sz w:val="24"/>
          <w:u w:val="single"/>
          <w:vertAlign w:val="baseline"/>
        </w:rPr>
        <w:t>No Financial Loss to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[78]</w:t>
      </w:r>
      <w:r>
        <w:rPr>
          <w:rFonts w:ascii="arial" w:eastAsia="arial" w:hAnsi="arial" w:cs="arial"/>
          <w:b w:val="0"/>
          <w:i w:val="0"/>
          <w:strike w:val="0"/>
          <w:noProof w:val="0"/>
          <w:color w:val="000000"/>
          <w:position w:val="0"/>
          <w:sz w:val="24"/>
          <w:u w:val="none"/>
          <w:vertAlign w:val="baseline"/>
        </w:rPr>
        <w:t>  The Company did not establish any financial loss due to the trip.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[79]</w:t>
      </w:r>
      <w:r>
        <w:rPr>
          <w:rFonts w:ascii="arial" w:eastAsia="arial" w:hAnsi="arial" w:cs="arial"/>
          <w:b w:val="0"/>
          <w:i w:val="0"/>
          <w:strike w:val="0"/>
          <w:noProof w:val="0"/>
          <w:color w:val="000000"/>
          <w:position w:val="0"/>
          <w:sz w:val="24"/>
          <w:u w:val="none"/>
          <w:vertAlign w:val="baseline"/>
        </w:rPr>
        <w:t xml:space="preserve">  If the trip was budgeted and approved, there was no wrongful financial impact on the Company. </w:t>
      </w:r>
      <w:r>
        <w:rPr>
          <w:rFonts w:ascii="arial" w:eastAsia="arial" w:hAnsi="arial" w:cs="arial"/>
          <w:b w:val="0"/>
          <w:i/>
          <w:strike w:val="0"/>
          <w:noProof w:val="0"/>
          <w:color w:val="000000"/>
          <w:position w:val="0"/>
          <w:sz w:val="24"/>
          <w:u w:val="single"/>
          <w:vertAlign w:val="baseline"/>
        </w:rPr>
        <w:t>The Claimant was supposed to be accompanied by Azura and Shamini</w:t>
      </w:r>
      <w:r>
        <w:rPr>
          <w:rFonts w:ascii="arial" w:eastAsia="arial" w:hAnsi="arial" w:cs="arial"/>
          <w:b w:val="0"/>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[80]</w:t>
      </w:r>
      <w:r>
        <w:rPr>
          <w:rFonts w:ascii="arial" w:eastAsia="arial" w:hAnsi="arial" w:cs="arial"/>
          <w:b w:val="0"/>
          <w:i w:val="0"/>
          <w:strike w:val="0"/>
          <w:noProof w:val="0"/>
          <w:color w:val="000000"/>
          <w:position w:val="0"/>
          <w:sz w:val="24"/>
          <w:u w:val="none"/>
          <w:vertAlign w:val="baseline"/>
        </w:rPr>
        <w:t>  This contradicts the Company’s claim that the trip was arranged exclusively for the Claimant’s benefit.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[81]</w:t>
      </w:r>
      <w:r>
        <w:rPr>
          <w:rFonts w:ascii="arial" w:eastAsia="arial" w:hAnsi="arial" w:cs="arial"/>
          <w:b w:val="0"/>
          <w:i w:val="0"/>
          <w:strike w:val="0"/>
          <w:noProof w:val="0"/>
          <w:color w:val="000000"/>
          <w:position w:val="0"/>
          <w:sz w:val="24"/>
          <w:u w:val="none"/>
          <w:vertAlign w:val="baseline"/>
        </w:rPr>
        <w:t>  The Company’s contention that the Claimant instructed Azura is therefore not supported by any contemporaneous document.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[82]</w:t>
      </w:r>
      <w:r>
        <w:rPr>
          <w:rFonts w:ascii="arial" w:eastAsia="arial" w:hAnsi="arial" w:cs="arial"/>
          <w:b w:val="0"/>
          <w:i w:val="0"/>
          <w:strike w:val="0"/>
          <w:noProof w:val="0"/>
          <w:color w:val="000000"/>
          <w:position w:val="0"/>
          <w:sz w:val="24"/>
          <w:u w:val="none"/>
          <w:vertAlign w:val="baseline"/>
        </w:rPr>
        <w:t>  The Company’s investigation relied on statements obtained from the Poison Letter matter, rather than conducting a fresh inquiry into the specific allegation.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[83]</w:t>
      </w:r>
      <w:r>
        <w:rPr>
          <w:rFonts w:ascii="arial" w:eastAsia="arial" w:hAnsi="arial" w:cs="arial"/>
          <w:b w:val="0"/>
          <w:i w:val="0"/>
          <w:strike w:val="0"/>
          <w:noProof w:val="0"/>
          <w:color w:val="000000"/>
          <w:position w:val="0"/>
          <w:sz w:val="24"/>
          <w:u w:val="none"/>
          <w:vertAlign w:val="baseline"/>
        </w:rPr>
        <w:t>  Critical witnesses were not interviewed:</w:t>
      </w:r>
      <w:r>
        <w:t>
</w:t>
      </w:r>
    </w:p>
    <w:p>
      <w:pPr>
        <w:keepNext w:val="0"/>
        <w:numPr>
          <w:numId w:val="8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Shamini who the Claimant contends co-suggested the Beijing National Stadium with Azura was never asked to provide her voluntary statement and neither was she produced as a witness during the trial. The only witness who could have corroborated Azura’s contention that the Claimant instructed her, Shamini, was never produced;</w:t>
      </w:r>
    </w:p>
    <w:p>
      <w:pPr>
        <w:keepNext w:val="0"/>
        <w:numPr>
          <w:numId w:val="8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Chairman, Puan Liza, CLW-1 and the Board members of Petrosains, whom the Claimant reported to were never called to give voluntary statements during the investigation; and</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herself was never called to provide her voluntary statement.</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COMPANY’S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[84]</w:t>
      </w:r>
      <w:r>
        <w:rPr>
          <w:rFonts w:ascii="arial" w:eastAsia="arial" w:hAnsi="arial" w:cs="arial"/>
          <w:b w:val="0"/>
          <w:i w:val="0"/>
          <w:strike w:val="0"/>
          <w:noProof w:val="0"/>
          <w:color w:val="000000"/>
          <w:position w:val="0"/>
          <w:sz w:val="24"/>
          <w:u w:val="none"/>
          <w:vertAlign w:val="baseline"/>
        </w:rPr>
        <w:t>  After receiving the Anonymous Letter, the Company commenced investigations to determine the veracity of the allegations. The Company had undertaken the following investigation procedures, amongst others:</w:t>
      </w:r>
      <w:r>
        <w:t>
</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Extracting the relevant documents;</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Interviewing the relevant personnel; and</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Perusing the relevant Standard Operating Procedures applicable.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[85]</w:t>
      </w:r>
      <w:r>
        <w:rPr>
          <w:rFonts w:ascii="arial" w:eastAsia="arial" w:hAnsi="arial" w:cs="arial"/>
          <w:b w:val="0"/>
          <w:i w:val="0"/>
          <w:strike w:val="0"/>
          <w:noProof w:val="0"/>
          <w:color w:val="000000"/>
          <w:position w:val="0"/>
          <w:sz w:val="24"/>
          <w:u w:val="none"/>
          <w:vertAlign w:val="baseline"/>
        </w:rPr>
        <w:t>  In this regard, the Company’s investigation disclosed that the Claimant had committed several acts which were in breach of her express and/or implied duties. Consequently, the Company issued a notice of show cause dated 30.6.2020 (</w:t>
      </w:r>
      <w:r>
        <w:rPr>
          <w:rFonts w:ascii="arial" w:eastAsia="arial" w:hAnsi="arial" w:cs="arial"/>
          <w:b/>
          <w:i w:val="0"/>
          <w:strike w:val="0"/>
          <w:noProof w:val="0"/>
          <w:color w:val="000000"/>
          <w:position w:val="0"/>
          <w:sz w:val="24"/>
          <w:u w:val="none"/>
          <w:vertAlign w:val="baseline"/>
        </w:rPr>
        <w:t>As at pages 12 – 16 of the Company’s Bundle of Documents (“COB-1”)</w:t>
      </w:r>
      <w:r>
        <w:rPr>
          <w:rFonts w:ascii="arial" w:eastAsia="arial" w:hAnsi="arial" w:cs="arial"/>
          <w:b w:val="0"/>
          <w:i w:val="0"/>
          <w:strike w:val="0"/>
          <w:noProof w:val="0"/>
          <w:color w:val="000000"/>
          <w:position w:val="0"/>
          <w:sz w:val="24"/>
          <w:u w:val="none"/>
          <w:vertAlign w:val="baseline"/>
        </w:rPr>
        <w:t>) to enable the Claimant an opportunity to provide a response to the show cause letter.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[86]</w:t>
      </w:r>
      <w:r>
        <w:rPr>
          <w:rFonts w:ascii="arial" w:eastAsia="arial" w:hAnsi="arial" w:cs="arial"/>
          <w:b w:val="0"/>
          <w:i w:val="0"/>
          <w:strike w:val="0"/>
          <w:noProof w:val="0"/>
          <w:color w:val="000000"/>
          <w:position w:val="0"/>
          <w:sz w:val="24"/>
          <w:u w:val="none"/>
          <w:vertAlign w:val="baseline"/>
        </w:rPr>
        <w:t xml:space="preserve">  The Claimant thereafter issued a reply to the notice of show cause dated 30.6.2020, through her letter dated 17.07.2020. (as at to </w:t>
      </w:r>
      <w:r>
        <w:rPr>
          <w:rFonts w:ascii="arial" w:eastAsia="arial" w:hAnsi="arial" w:cs="arial"/>
          <w:b/>
          <w:i w:val="0"/>
          <w:strike w:val="0"/>
          <w:noProof w:val="0"/>
          <w:color w:val="000000"/>
          <w:position w:val="0"/>
          <w:sz w:val="24"/>
          <w:u w:val="none"/>
          <w:vertAlign w:val="baseline"/>
        </w:rPr>
        <w:t>pages 17 to 34 of COB-1)</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[87]</w:t>
      </w:r>
      <w:r>
        <w:rPr>
          <w:rFonts w:ascii="arial" w:eastAsia="arial" w:hAnsi="arial" w:cs="arial"/>
          <w:b w:val="0"/>
          <w:i w:val="0"/>
          <w:strike w:val="0"/>
          <w:noProof w:val="0"/>
          <w:color w:val="000000"/>
          <w:position w:val="0"/>
          <w:sz w:val="24"/>
          <w:u w:val="none"/>
          <w:vertAlign w:val="baseline"/>
        </w:rPr>
        <w:t xml:space="preserve">  The Company perused the Claimant’s reply and found the same to be unsatisfactory. Given the severity of the allegations and the Claimant’s position as CEO of PETROSAINS at that material time, the Company required additional time to consider the appropriate action to be taken. In this regard, a suspension letter dated 30.9.2020 (as at </w:t>
      </w:r>
      <w:r>
        <w:rPr>
          <w:rFonts w:ascii="arial" w:eastAsia="arial" w:hAnsi="arial" w:cs="arial"/>
          <w:b/>
          <w:i w:val="0"/>
          <w:strike w:val="0"/>
          <w:noProof w:val="0"/>
          <w:color w:val="000000"/>
          <w:position w:val="0"/>
          <w:sz w:val="24"/>
          <w:u w:val="none"/>
          <w:vertAlign w:val="baseline"/>
        </w:rPr>
        <w:t>pages 35 – 36 of COB-1</w:t>
      </w:r>
      <w:r>
        <w:rPr>
          <w:rFonts w:ascii="arial" w:eastAsia="arial" w:hAnsi="arial" w:cs="arial"/>
          <w:b w:val="0"/>
          <w:i w:val="0"/>
          <w:strike w:val="0"/>
          <w:noProof w:val="0"/>
          <w:color w:val="000000"/>
          <w:position w:val="0"/>
          <w:sz w:val="24"/>
          <w:u w:val="none"/>
          <w:vertAlign w:val="baseline"/>
        </w:rPr>
        <w:t xml:space="preserve">) was issued whereby the Claimant was notified that she was suspended for a period 3 months on full-pay until 31.12.2020. Thereafter, the Claimant had issued a letter dated 6.10.2020 (as at </w:t>
      </w:r>
      <w:r>
        <w:rPr>
          <w:rFonts w:ascii="arial" w:eastAsia="arial" w:hAnsi="arial" w:cs="arial"/>
          <w:b/>
          <w:i w:val="0"/>
          <w:strike w:val="0"/>
          <w:noProof w:val="0"/>
          <w:color w:val="000000"/>
          <w:position w:val="0"/>
          <w:sz w:val="24"/>
          <w:u w:val="none"/>
          <w:vertAlign w:val="baseline"/>
        </w:rPr>
        <w:t>pages 37 – 38 of COB-1</w:t>
      </w:r>
      <w:r>
        <w:rPr>
          <w:rFonts w:ascii="arial" w:eastAsia="arial" w:hAnsi="arial" w:cs="arial"/>
          <w:b w:val="0"/>
          <w:i w:val="0"/>
          <w:strike w:val="0"/>
          <w:noProof w:val="0"/>
          <w:color w:val="000000"/>
          <w:position w:val="0"/>
          <w:sz w:val="24"/>
          <w:u w:val="none"/>
          <w:vertAlign w:val="baseline"/>
        </w:rPr>
        <w:t>) in response of the Company’s suspension.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[88]</w:t>
      </w:r>
      <w:r>
        <w:rPr>
          <w:rFonts w:ascii="arial" w:eastAsia="arial" w:hAnsi="arial" w:cs="arial"/>
          <w:b w:val="0"/>
          <w:i w:val="0"/>
          <w:strike w:val="0"/>
          <w:noProof w:val="0"/>
          <w:color w:val="000000"/>
          <w:position w:val="0"/>
          <w:sz w:val="24"/>
          <w:u w:val="none"/>
          <w:vertAlign w:val="baseline"/>
        </w:rPr>
        <w:t>  Upon due deliberation of the Claimant’s reply, the Company found the Claimant’s response to be unsatisfactory and could no longer repose the necessary trust and confidence in the Claimant to effectively and honestly discharge her duties as the CEO of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[89]</w:t>
      </w:r>
      <w:r>
        <w:rPr>
          <w:rFonts w:ascii="arial" w:eastAsia="arial" w:hAnsi="arial" w:cs="arial"/>
          <w:b w:val="0"/>
          <w:i w:val="0"/>
          <w:strike w:val="0"/>
          <w:noProof w:val="0"/>
          <w:color w:val="000000"/>
          <w:position w:val="0"/>
          <w:sz w:val="24"/>
          <w:u w:val="none"/>
          <w:vertAlign w:val="baseline"/>
        </w:rPr>
        <w:t>  Hence, the Company issued a letter dated 31.12.2020 where the Claimant was notified that she was dismissed with immediate effect.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[90]</w:t>
      </w:r>
      <w:r>
        <w:rPr>
          <w:rFonts w:ascii="arial" w:eastAsia="arial" w:hAnsi="arial" w:cs="arial"/>
          <w:b w:val="0"/>
          <w:i w:val="0"/>
          <w:strike w:val="0"/>
          <w:noProof w:val="0"/>
          <w:color w:val="000000"/>
          <w:position w:val="0"/>
          <w:sz w:val="24"/>
          <w:u w:val="none"/>
          <w:vertAlign w:val="baseline"/>
        </w:rPr>
        <w:t>  The Company considered the Claimant’s acts of misconduct and was of the view that the same were sufficiently serious to warrant dismissal.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 COMMITTED THE ACTS OF MISDONDUCT AS ALLEGED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[91]</w:t>
      </w:r>
      <w:r>
        <w:rPr>
          <w:rFonts w:ascii="arial" w:eastAsia="arial" w:hAnsi="arial" w:cs="arial"/>
          <w:b w:val="0"/>
          <w:i w:val="0"/>
          <w:strike w:val="0"/>
          <w:noProof w:val="0"/>
          <w:color w:val="000000"/>
          <w:position w:val="0"/>
          <w:sz w:val="24"/>
          <w:u w:val="none"/>
          <w:vertAlign w:val="baseline"/>
        </w:rPr>
        <w:t>  The Company proceeds to the pertinent points of its submissions, it is imperative to set out the reasons operating in the mind of the Company at the material time that preceded the decision to dismiss the Claimant’s services from the Company effective 31.12.2020, followed by the oral and documentary evidence available before this Honourable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ALLEGATION FIRST: PERSONAL TRIP TO BEIJING NATIONAL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STADIUM (ALSO KNOWN AS “THE BIRD’S NEST”)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single"/>
          <w:vertAlign w:val="baseline"/>
        </w:rPr>
        <w:t>First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 xml:space="preserve">That you Fatimah Fedora Zulkifli, (S/N:128907),in your capacity as Chief Executive Officer (CEO) Petrosains, had committed an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of misconduct when you had on 24 July 2019, abused your position and/or taking advantage of your position by instructing your subordinate namely Azura @ Fara Diba Daud, Head Corporate Communications, PETROSAINS, to arrange for your personal trip to Beijing National Stadium, during the business trip to Beijing, China for International Science Drama Competition (ISDC), Grand Final (“1st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The trip was then arranged through Carlson Wagonlit Travel (CWT) based on your instruction and the cost of the said trip amounting to RM1,532.00 was charged to the Company.</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Your action as depicted above amounts to misconduct and is in violation of :</w:t>
      </w:r>
      <w:r>
        <w:t>
</w:t>
      </w:r>
    </w:p>
    <w:p>
      <w:pPr>
        <w:keepNext w:val="0"/>
        <w:numPr>
          <w:numId w:val="92"/>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Section 2.2, Corporate Values and Culture, Part 1 - Core Values and Culture of PETRONAS Code of Conduct and Business Ethics (CoBE) (the Code); and /or</w:t>
      </w:r>
    </w:p>
    <w:p>
      <w:pPr>
        <w:keepNext w:val="0"/>
        <w:numPr>
          <w:numId w:val="93"/>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 1, Importance of Good Conduct and Discipline, Part IV — Discipline Process and Sanctions of the Code; and/or</w:t>
      </w:r>
    </w:p>
    <w:p>
      <w:pPr>
        <w:keepNext w:val="0"/>
        <w:numPr>
          <w:numId w:val="94"/>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Other express and/or implied terms of your employment.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If found guilty for the above misconduct, you may be liable for punishment under Section 2 of Part IV: Disciplinary Process and Sanctions, Country Supplement: Malaysia, the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[92]</w:t>
      </w:r>
      <w:r>
        <w:rPr>
          <w:rFonts w:ascii="arial" w:eastAsia="arial" w:hAnsi="arial" w:cs="arial"/>
          <w:b w:val="0"/>
          <w:i w:val="0"/>
          <w:strike w:val="0"/>
          <w:noProof w:val="0"/>
          <w:color w:val="000000"/>
          <w:position w:val="0"/>
          <w:sz w:val="24"/>
          <w:u w:val="none"/>
          <w:vertAlign w:val="baseline"/>
        </w:rPr>
        <w:t>  PETROSAINS had organized a Petrosains Science Drama Competition 2019 whereby the winner of the competition was invited to represent the nation in the International Science Drama Competition (“</w:t>
      </w:r>
      <w:r>
        <w:rPr>
          <w:rFonts w:ascii="arial" w:eastAsia="arial" w:hAnsi="arial" w:cs="arial"/>
          <w:b/>
          <w:i w:val="0"/>
          <w:strike w:val="0"/>
          <w:noProof w:val="0"/>
          <w:color w:val="000000"/>
          <w:position w:val="0"/>
          <w:sz w:val="24"/>
          <w:u w:val="none"/>
          <w:vertAlign w:val="baseline"/>
        </w:rPr>
        <w:t>ISDC</w:t>
      </w:r>
      <w:r>
        <w:rPr>
          <w:rFonts w:ascii="arial" w:eastAsia="arial" w:hAnsi="arial" w:cs="arial"/>
          <w:b w:val="0"/>
          <w:i w:val="0"/>
          <w:strike w:val="0"/>
          <w:noProof w:val="0"/>
          <w:color w:val="000000"/>
          <w:position w:val="0"/>
          <w:sz w:val="24"/>
          <w:u w:val="none"/>
          <w:vertAlign w:val="baseline"/>
        </w:rPr>
        <w:t>”) in Beijing. The Claimant and several other employees were also invited and were present for the ISDC.</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[93]</w:t>
      </w:r>
      <w:r>
        <w:rPr>
          <w:rFonts w:ascii="arial" w:eastAsia="arial" w:hAnsi="arial" w:cs="arial"/>
          <w:b w:val="0"/>
          <w:i w:val="0"/>
          <w:strike w:val="0"/>
          <w:noProof w:val="0"/>
          <w:color w:val="000000"/>
          <w:position w:val="0"/>
          <w:sz w:val="24"/>
          <w:u w:val="none"/>
          <w:vertAlign w:val="baseline"/>
        </w:rPr>
        <w:t>  However, midway through the ISDC programme, the Claimant decided, without prior arrangements, to visit the Bird’s Nest. The Company submits that this was the Claimant’s own decision, made during the course of the programme. In fact, the Claimant had not presented or prepared any proposals and/or initiatives pursuant to the personal trip to the Bird’s Nest, and the Claimant has failed to adduce any evidence of the same before this Honourable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[94]</w:t>
      </w:r>
      <w:r>
        <w:rPr>
          <w:rFonts w:ascii="arial" w:eastAsia="arial" w:hAnsi="arial" w:cs="arial"/>
          <w:b w:val="0"/>
          <w:i w:val="0"/>
          <w:strike w:val="0"/>
          <w:noProof w:val="0"/>
          <w:color w:val="000000"/>
          <w:position w:val="0"/>
          <w:sz w:val="24"/>
          <w:u w:val="none"/>
          <w:vertAlign w:val="baseline"/>
        </w:rPr>
        <w:t xml:space="preserve">  In this regard, pursuant to the Claimant’s request, her subordinates had to undertake the necessary arrangements to accommodate her intent of visiting the Bird’s Nest on 24.7.2019, </w:t>
      </w:r>
      <w:r>
        <w:rPr>
          <w:rFonts w:ascii="arial" w:eastAsia="arial" w:hAnsi="arial" w:cs="arial"/>
          <w:b w:val="0"/>
          <w:i w:val="0"/>
          <w:strike w:val="0"/>
          <w:noProof w:val="0"/>
          <w:color w:val="000000"/>
          <w:position w:val="0"/>
          <w:sz w:val="24"/>
          <w:u w:val="single"/>
          <w:vertAlign w:val="baseline"/>
        </w:rPr>
        <w:t>despite the Claimant already having a planned event</w:t>
      </w:r>
      <w:r>
        <w:rPr>
          <w:rFonts w:ascii="arial" w:eastAsia="arial" w:hAnsi="arial" w:cs="arial"/>
          <w:b w:val="0"/>
          <w:i w:val="0"/>
          <w:strike w:val="0"/>
          <w:noProof w:val="0"/>
          <w:color w:val="000000"/>
          <w:position w:val="0"/>
          <w:sz w:val="24"/>
          <w:u w:val="none"/>
          <w:vertAlign w:val="baseline"/>
        </w:rPr>
        <w:t xml:space="preserve"> – the Petrosains Science Drama Competition 2019 (“</w:t>
      </w:r>
      <w:r>
        <w:rPr>
          <w:rFonts w:ascii="arial" w:eastAsia="arial" w:hAnsi="arial" w:cs="arial"/>
          <w:b/>
          <w:i w:val="0"/>
          <w:strike w:val="0"/>
          <w:noProof w:val="0"/>
          <w:color w:val="000000"/>
          <w:position w:val="0"/>
          <w:sz w:val="24"/>
          <w:u w:val="none"/>
          <w:vertAlign w:val="baseline"/>
        </w:rPr>
        <w:t>PSDC</w:t>
      </w:r>
      <w:r>
        <w:rPr>
          <w:rFonts w:ascii="arial" w:eastAsia="arial" w:hAnsi="arial" w:cs="arial"/>
          <w:b w:val="0"/>
          <w:i w:val="0"/>
          <w:strike w:val="0"/>
          <w:noProof w:val="0"/>
          <w:color w:val="000000"/>
          <w:position w:val="0"/>
          <w:sz w:val="24"/>
          <w:u w:val="none"/>
          <w:vertAlign w:val="baseline"/>
        </w:rPr>
        <w:t>”) - at the time the Claimant decided to visit the Bird’s Nest.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[95]</w:t>
      </w:r>
      <w:r>
        <w:rPr>
          <w:rFonts w:ascii="arial" w:eastAsia="arial" w:hAnsi="arial" w:cs="arial"/>
          <w:b w:val="0"/>
          <w:i w:val="0"/>
          <w:strike w:val="0"/>
          <w:noProof w:val="0"/>
          <w:color w:val="000000"/>
          <w:position w:val="0"/>
          <w:sz w:val="24"/>
          <w:u w:val="none"/>
          <w:vertAlign w:val="baseline"/>
        </w:rPr>
        <w:t xml:space="preserve">  Furthermore, despite the personal nature of the Claimant’s visit to the Bird’s Nest, the Claimant charged the expenses to PETROSAINS. The invoices of the Bird’s Nest trip can be found at </w:t>
      </w:r>
      <w:r>
        <w:rPr>
          <w:rFonts w:ascii="arial" w:eastAsia="arial" w:hAnsi="arial" w:cs="arial"/>
          <w:b/>
          <w:i w:val="0"/>
          <w:strike w:val="0"/>
          <w:noProof w:val="0"/>
          <w:color w:val="000000"/>
          <w:position w:val="0"/>
          <w:sz w:val="24"/>
          <w:u w:val="none"/>
          <w:vertAlign w:val="baseline"/>
        </w:rPr>
        <w:t>pages 60 – 62 of COB-2</w:t>
      </w:r>
      <w:r>
        <w:rPr>
          <w:rFonts w:ascii="arial" w:eastAsia="arial" w:hAnsi="arial" w:cs="arial"/>
          <w:b w:val="0"/>
          <w:i w:val="0"/>
          <w:strike w:val="0"/>
          <w:noProof w:val="0"/>
          <w:color w:val="000000"/>
          <w:position w:val="0"/>
          <w:sz w:val="24"/>
          <w:u w:val="none"/>
          <w:vertAlign w:val="baseline"/>
        </w:rPr>
        <w:t xml:space="preserve">, while the proof of payment can be found at </w:t>
      </w:r>
      <w:r>
        <w:rPr>
          <w:rFonts w:ascii="arial" w:eastAsia="arial" w:hAnsi="arial" w:cs="arial"/>
          <w:b/>
          <w:i w:val="0"/>
          <w:strike w:val="0"/>
          <w:noProof w:val="0"/>
          <w:color w:val="000000"/>
          <w:position w:val="0"/>
          <w:sz w:val="24"/>
          <w:u w:val="none"/>
          <w:vertAlign w:val="baseline"/>
        </w:rPr>
        <w:t>page 63 of COB- 2</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[96]</w:t>
      </w:r>
      <w:r>
        <w:rPr>
          <w:rFonts w:ascii="arial" w:eastAsia="arial" w:hAnsi="arial" w:cs="arial"/>
          <w:b w:val="0"/>
          <w:i w:val="0"/>
          <w:strike w:val="0"/>
          <w:noProof w:val="0"/>
          <w:color w:val="000000"/>
          <w:position w:val="0"/>
          <w:sz w:val="24"/>
          <w:u w:val="none"/>
          <w:vertAlign w:val="baseline"/>
        </w:rPr>
        <w:t xml:space="preserve">  It is pertinent to note, that </w:t>
      </w:r>
      <w:r>
        <w:rPr>
          <w:rFonts w:ascii="arial" w:eastAsia="arial" w:hAnsi="arial" w:cs="arial"/>
          <w:b/>
          <w:i w:val="0"/>
          <w:strike w:val="0"/>
          <w:noProof w:val="0"/>
          <w:color w:val="000000"/>
          <w:position w:val="0"/>
          <w:sz w:val="24"/>
          <w:u w:val="single"/>
          <w:vertAlign w:val="baseline"/>
        </w:rPr>
        <w:t>the Claimant does not dispute her trip to the Bird’s Nest was paid for by the Company</w:t>
      </w:r>
      <w:r>
        <w:rPr>
          <w:rFonts w:ascii="arial" w:eastAsia="arial" w:hAnsi="arial" w:cs="arial"/>
          <w:b w:val="0"/>
          <w:i w:val="0"/>
          <w:strike w:val="0"/>
          <w:noProof w:val="0"/>
          <w:color w:val="000000"/>
          <w:position w:val="0"/>
          <w:sz w:val="24"/>
          <w:u w:val="single"/>
          <w:vertAlign w:val="baseline"/>
        </w:rPr>
        <w:t>.</w:t>
      </w:r>
      <w:r>
        <w:rPr>
          <w:rFonts w:ascii="arial" w:eastAsia="arial" w:hAnsi="arial" w:cs="arial"/>
          <w:b w:val="0"/>
          <w:i w:val="0"/>
          <w:strike w:val="0"/>
          <w:noProof w:val="0"/>
          <w:color w:val="000000"/>
          <w:position w:val="0"/>
          <w:sz w:val="24"/>
          <w:u w:val="none"/>
          <w:vertAlign w:val="baseline"/>
        </w:rPr>
        <w:t xml:space="preserve"> With regard to the approving authority, the Claimant alleges that section heads, such as COW-1, are allowed to approve expenses of up to RM50,000. However, COW-1 also testified that such approving authority does not extend to approving expenses of a personal nature, such as the Claimant’s trip to the Bird’s Nest.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[97]</w:t>
      </w:r>
      <w:r>
        <w:rPr>
          <w:rFonts w:ascii="arial" w:eastAsia="arial" w:hAnsi="arial" w:cs="arial"/>
          <w:b w:val="0"/>
          <w:i w:val="0"/>
          <w:strike w:val="0"/>
          <w:noProof w:val="0"/>
          <w:color w:val="000000"/>
          <w:position w:val="0"/>
          <w:sz w:val="24"/>
          <w:u w:val="none"/>
          <w:vertAlign w:val="baseline"/>
        </w:rPr>
        <w:t>  COW-1 also denied suggesting to the Claimant that she should leave the ISDC halfway through and visit the Bird’s Nest Stadium: -</w:t>
      </w:r>
    </w:p>
    <w:p>
      <w:pPr>
        <w:keepNext w:val="0"/>
        <w:spacing w:before="0" w:after="0" w:line="300" w:lineRule="atLeast"/>
        <w:ind w:left="0" w:right="0" w:firstLine="0"/>
        <w:jc w:val="both"/>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58.5pt">
            <v:imagedata r:id="rId7" o:title=""/>
          </v:shape>
        </w:pic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[As at: Page 131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[98]</w:t>
      </w:r>
      <w:r>
        <w:rPr>
          <w:rFonts w:ascii="arial" w:eastAsia="arial" w:hAnsi="arial" w:cs="arial"/>
          <w:b w:val="0"/>
          <w:i w:val="0"/>
          <w:strike w:val="0"/>
          <w:noProof w:val="0"/>
          <w:color w:val="000000"/>
          <w:position w:val="0"/>
          <w:sz w:val="24"/>
          <w:u w:val="none"/>
          <w:vertAlign w:val="baseline"/>
        </w:rPr>
        <w:t>  COW-5 further testified that, in any event, it is against the Company’s Corporate Governance practices for the Claimant to approve her own personal expenses.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[99]</w:t>
      </w:r>
      <w:r>
        <w:rPr>
          <w:rFonts w:ascii="arial" w:eastAsia="arial" w:hAnsi="arial" w:cs="arial"/>
          <w:b w:val="0"/>
          <w:i w:val="0"/>
          <w:strike w:val="0"/>
          <w:noProof w:val="0"/>
          <w:color w:val="000000"/>
          <w:position w:val="0"/>
          <w:sz w:val="24"/>
          <w:u w:val="none"/>
          <w:vertAlign w:val="baseline"/>
        </w:rPr>
        <w:t>  More pertinently, COW-5 went on and testified how the Company distinguishes a personal trip from a business trip as follows: -</w:t>
      </w:r>
    </w:p>
    <w:p>
      <w:pPr>
        <w:keepNext w:val="0"/>
        <w:spacing w:before="0" w:after="0" w:line="300" w:lineRule="atLeast"/>
        <w:ind w:left="0" w:right="0" w:firstLine="0"/>
        <w:jc w:val="both"/>
      </w:pPr>
      <w:r>
        <w:br/>
      </w:r>
      <w:r>
        <w:pict>
          <v:shape id="_x0000_i1026" type="#_x0000_t75" style="width:335.25pt;height:150.75pt">
            <v:imagedata r:id="rId8"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w:t>
      </w:r>
      <w:r>
        <w:rPr>
          <w:rFonts w:ascii="arial" w:eastAsia="arial" w:hAnsi="arial" w:cs="arial"/>
          <w:b w:val="0"/>
          <w:i w:val="0"/>
          <w:strike w:val="0"/>
          <w:noProof w:val="0"/>
          <w:color w:val="000000"/>
          <w:position w:val="0"/>
          <w:sz w:val="24"/>
          <w:u w:val="none"/>
          <w:vertAlign w:val="baseline"/>
        </w:rPr>
        <w:t xml:space="preserve"> Page 931 of the Agreed Notes of Proceedings</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[100]</w:t>
      </w:r>
      <w:r>
        <w:rPr>
          <w:rFonts w:ascii="arial" w:eastAsia="arial" w:hAnsi="arial" w:cs="arial"/>
          <w:b w:val="0"/>
          <w:i w:val="0"/>
          <w:strike w:val="0"/>
          <w:noProof w:val="0"/>
          <w:color w:val="000000"/>
          <w:position w:val="0"/>
          <w:sz w:val="24"/>
          <w:u w:val="none"/>
          <w:vertAlign w:val="baseline"/>
        </w:rPr>
        <w:t xml:space="preserve">  During the cross-examination of COW-5, it was also suggested that there was no financial harm occasioned as a result of the Claimant’s trip to the Bird’s Nest, (which the Company submits that it incurred RM1,532 – refer to </w:t>
      </w:r>
      <w:r>
        <w:rPr>
          <w:rFonts w:ascii="arial" w:eastAsia="arial" w:hAnsi="arial" w:cs="arial"/>
          <w:b/>
          <w:i w:val="0"/>
          <w:strike w:val="0"/>
          <w:noProof w:val="0"/>
          <w:color w:val="000000"/>
          <w:position w:val="0"/>
          <w:sz w:val="24"/>
          <w:u w:val="none"/>
          <w:vertAlign w:val="baseline"/>
        </w:rPr>
        <w:t>page 61 of COB-2</w:t>
      </w:r>
      <w:r>
        <w:rPr>
          <w:rFonts w:ascii="arial" w:eastAsia="arial" w:hAnsi="arial" w:cs="arial"/>
          <w:b w:val="0"/>
          <w:i w:val="0"/>
          <w:strike w:val="0"/>
          <w:noProof w:val="0"/>
          <w:color w:val="000000"/>
          <w:position w:val="0"/>
          <w:sz w:val="24"/>
          <w:u w:val="none"/>
          <w:vertAlign w:val="baseline"/>
        </w:rPr>
        <w:t>) COW-5 answered: -</w:t>
      </w:r>
    </w:p>
    <w:p>
      <w:pPr>
        <w:keepNext w:val="0"/>
        <w:spacing w:before="0" w:after="0" w:line="300" w:lineRule="atLeast"/>
        <w:ind w:left="0" w:right="0" w:firstLine="0"/>
        <w:jc w:val="both"/>
      </w:pPr>
      <w:r>
        <w:br/>
      </w:r>
      <w:r>
        <w:pict>
          <v:shape id="_x0000_i1027" type="#_x0000_t75" style="width:337.5pt;height:201.75pt">
            <v:imagedata r:id="rId9"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Page(s) 935 - 936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[101]</w:t>
      </w:r>
      <w:r>
        <w:rPr>
          <w:rFonts w:ascii="arial" w:eastAsia="arial" w:hAnsi="arial" w:cs="arial"/>
          <w:b w:val="0"/>
          <w:i w:val="0"/>
          <w:strike w:val="0"/>
          <w:noProof w:val="0"/>
          <w:color w:val="000000"/>
          <w:position w:val="0"/>
          <w:sz w:val="24"/>
          <w:u w:val="none"/>
          <w:vertAlign w:val="baseline"/>
        </w:rPr>
        <w:t>  In other words, it is submitted that the Claimant’s trip, even if it was within budget, would still amount to a misconduct. This is because the trip, being personal in nature, was undertaken without the necessary approval from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[102]</w:t>
      </w:r>
      <w:r>
        <w:rPr>
          <w:rFonts w:ascii="arial" w:eastAsia="arial" w:hAnsi="arial" w:cs="arial"/>
          <w:b w:val="0"/>
          <w:i w:val="0"/>
          <w:strike w:val="0"/>
          <w:noProof w:val="0"/>
          <w:color w:val="000000"/>
          <w:position w:val="0"/>
          <w:sz w:val="24"/>
          <w:u w:val="none"/>
          <w:vertAlign w:val="baseline"/>
        </w:rPr>
        <w:t xml:space="preserve">  Furthermore, the Claimant’s contention that the visit to the Bird’s Nest constituted a business trip rather than a personal one is wholly unsubstantiated. Both CLW-1 and the Claimant herself (CLW-2) admitted during cross-examination </w:t>
      </w:r>
      <w:r>
        <w:rPr>
          <w:rFonts w:ascii="arial" w:eastAsia="arial" w:hAnsi="arial" w:cs="arial"/>
          <w:b/>
          <w:i w:val="0"/>
          <w:strike w:val="0"/>
          <w:noProof w:val="0"/>
          <w:color w:val="000000"/>
          <w:position w:val="0"/>
          <w:sz w:val="24"/>
          <w:u w:val="single"/>
          <w:vertAlign w:val="baseline"/>
        </w:rPr>
        <w:t>no report, analysis, or</w:t>
      </w:r>
      <w:r>
        <w:rPr>
          <w:rFonts w:ascii="arial" w:eastAsia="arial" w:hAnsi="arial" w:cs="arial"/>
          <w:b w:val="0"/>
          <w:i w:val="0"/>
          <w:strike w:val="0"/>
          <w:noProof w:val="0"/>
          <w:color w:val="000000"/>
          <w:position w:val="0"/>
          <w:sz w:val="24"/>
          <w:u w:val="single"/>
          <w:vertAlign w:val="baseline"/>
        </w:rPr>
        <w:t xml:space="preserve"> documentation was prepared by the Claimant to demonstrate </w:t>
      </w:r>
      <w:r>
        <w:rPr>
          <w:rFonts w:ascii="arial" w:eastAsia="arial" w:hAnsi="arial" w:cs="arial"/>
          <w:b/>
          <w:i w:val="0"/>
          <w:strike w:val="0"/>
          <w:noProof w:val="0"/>
          <w:color w:val="000000"/>
          <w:position w:val="0"/>
          <w:sz w:val="24"/>
          <w:u w:val="single"/>
          <w:vertAlign w:val="baseline"/>
        </w:rPr>
        <w:t>any tangible or strategic benefit to the Company arising from this alleged business trip</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[103]</w:t>
      </w:r>
      <w:r>
        <w:rPr>
          <w:rFonts w:ascii="arial" w:eastAsia="arial" w:hAnsi="arial" w:cs="arial"/>
          <w:b w:val="0"/>
          <w:i w:val="0"/>
          <w:strike w:val="0"/>
          <w:noProof w:val="0"/>
          <w:color w:val="000000"/>
          <w:position w:val="0"/>
          <w:sz w:val="24"/>
          <w:u w:val="none"/>
          <w:vertAlign w:val="baseline"/>
        </w:rPr>
        <w:t xml:space="preserve">  It is trite law that the burden to prove a particular fact or issue falls on the person who is asserting it, as enshrined in Section 101 of the Evidence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As such, we submit that the Claimant has failed to discharge this burden.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[104]</w:t>
      </w:r>
      <w:r>
        <w:rPr>
          <w:rFonts w:ascii="arial" w:eastAsia="arial" w:hAnsi="arial" w:cs="arial"/>
          <w:b w:val="0"/>
          <w:i w:val="0"/>
          <w:strike w:val="0"/>
          <w:noProof w:val="0"/>
          <w:color w:val="000000"/>
          <w:position w:val="0"/>
          <w:sz w:val="24"/>
          <w:u w:val="none"/>
          <w:vertAlign w:val="baseline"/>
        </w:rPr>
        <w:t>  This glaring omission undermines the credibility of the Claimant’s claim and reinforces the conclusion that the trip was, in fact, personal in nature.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[105]</w:t>
      </w:r>
      <w:r>
        <w:rPr>
          <w:rFonts w:ascii="arial" w:eastAsia="arial" w:hAnsi="arial" w:cs="arial"/>
          <w:b w:val="0"/>
          <w:i w:val="0"/>
          <w:strike w:val="0"/>
          <w:noProof w:val="0"/>
          <w:color w:val="000000"/>
          <w:position w:val="0"/>
          <w:sz w:val="24"/>
          <w:u w:val="none"/>
          <w:vertAlign w:val="baseline"/>
        </w:rPr>
        <w:t>  This further underscore the true nature of the Claimant’s trip to the Bird’s Nest -namely, that it was clearly personal in nature and not undertaken for the benefit of the Company, despite the Company bearing the costs of the trip. This is further compounded by the fact that the Claimant visited the Bird’s Nest during the ISDC event, which was the primary purpose of the Company’s visit to Beijing in the first place.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[106]</w:t>
      </w:r>
      <w:r>
        <w:rPr>
          <w:rFonts w:ascii="arial" w:eastAsia="arial" w:hAnsi="arial" w:cs="arial"/>
          <w:b w:val="0"/>
          <w:i w:val="0"/>
          <w:strike w:val="0"/>
          <w:noProof w:val="0"/>
          <w:color w:val="000000"/>
          <w:position w:val="0"/>
          <w:sz w:val="24"/>
          <w:u w:val="none"/>
          <w:vertAlign w:val="baseline"/>
        </w:rPr>
        <w:t>  During cross-examination, the Claimant essentially tried to explain that she had left the ISDC event to visit the Bird’s Nest stadium and returned to the ISDC in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[107]</w:t>
      </w:r>
      <w:r>
        <w:rPr>
          <w:rFonts w:ascii="arial" w:eastAsia="arial" w:hAnsi="arial" w:cs="arial"/>
          <w:b w:val="0"/>
          <w:i w:val="0"/>
          <w:strike w:val="0"/>
          <w:noProof w:val="0"/>
          <w:color w:val="000000"/>
          <w:position w:val="0"/>
          <w:sz w:val="24"/>
          <w:u w:val="none"/>
          <w:vertAlign w:val="baseline"/>
        </w:rPr>
        <w:t>  In the circumstances, we submit that Allegation 1 has clearly been established, and the Claimant breached Section 2.2, Corporate Values and Culture, Part 1 — Core Values and Culture of the Company’s Code of Conduct and Business Ethics (“</w:t>
      </w:r>
      <w:r>
        <w:rPr>
          <w:rFonts w:ascii="arial" w:eastAsia="arial" w:hAnsi="arial" w:cs="arial"/>
          <w:b/>
          <w:i w:val="0"/>
          <w:strike w:val="0"/>
          <w:noProof w:val="0"/>
          <w:color w:val="000000"/>
          <w:position w:val="0"/>
          <w:sz w:val="24"/>
          <w:u w:val="none"/>
          <w:vertAlign w:val="baseline"/>
        </w:rPr>
        <w:t>CoBE</w:t>
      </w:r>
      <w:r>
        <w:rPr>
          <w:rFonts w:ascii="arial" w:eastAsia="arial" w:hAnsi="arial" w:cs="arial"/>
          <w:b w:val="0"/>
          <w:i w:val="0"/>
          <w:strike w:val="0"/>
          <w:noProof w:val="0"/>
          <w:color w:val="000000"/>
          <w:position w:val="0"/>
          <w:sz w:val="24"/>
          <w:u w:val="none"/>
          <w:vertAlign w:val="baseline"/>
        </w:rPr>
        <w:t xml:space="preserve">”), as found on </w:t>
      </w:r>
      <w:r>
        <w:rPr>
          <w:rFonts w:ascii="arial" w:eastAsia="arial" w:hAnsi="arial" w:cs="arial"/>
          <w:b/>
          <w:i w:val="0"/>
          <w:strike w:val="0"/>
          <w:noProof w:val="0"/>
          <w:color w:val="000000"/>
          <w:position w:val="0"/>
          <w:sz w:val="24"/>
          <w:u w:val="none"/>
          <w:vertAlign w:val="baseline"/>
        </w:rPr>
        <w:t>page 149 of COB-2</w:t>
      </w:r>
      <w:r>
        <w:rPr>
          <w:rFonts w:ascii="arial" w:eastAsia="arial" w:hAnsi="arial" w:cs="arial"/>
          <w:b w:val="0"/>
          <w:i w:val="0"/>
          <w:strike w:val="0"/>
          <w:noProof w:val="0"/>
          <w:color w:val="000000"/>
          <w:position w:val="0"/>
          <w:sz w:val="24"/>
          <w:u w:val="none"/>
          <w:vertAlign w:val="baseline"/>
        </w:rPr>
        <w:t xml:space="preserve">. Additionally, the Claimant breached the generality of Section 1, Importance of Good Conduct and Discipline, Part IV - Discipline Process and Sanctions of CoBE (refer to </w:t>
      </w:r>
      <w:r>
        <w:rPr>
          <w:rFonts w:ascii="arial" w:eastAsia="arial" w:hAnsi="arial" w:cs="arial"/>
          <w:b/>
          <w:i w:val="0"/>
          <w:strike w:val="0"/>
          <w:noProof w:val="0"/>
          <w:color w:val="000000"/>
          <w:position w:val="0"/>
          <w:sz w:val="24"/>
          <w:u w:val="none"/>
          <w:vertAlign w:val="baseline"/>
        </w:rPr>
        <w:t>pages 152–155 of COB- 2</w:t>
      </w:r>
      <w:r>
        <w:rPr>
          <w:rFonts w:ascii="arial" w:eastAsia="arial" w:hAnsi="arial" w:cs="arial"/>
          <w:b w:val="0"/>
          <w:i w:val="0"/>
          <w:strike w:val="0"/>
          <w:noProof w:val="0"/>
          <w:color w:val="000000"/>
          <w:position w:val="0"/>
          <w:sz w:val="24"/>
          <w:u w:val="none"/>
          <w:vertAlign w:val="baseline"/>
        </w:rPr>
        <w:t>), as well as the express and/or implied terms of the Claimant’s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SECOND ALLEGATION : COLLECTION OF LETTERS ADDRESSED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TO MEMBERS OF PETROSAINS LEADERSHIP TEAM</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single"/>
          <w:vertAlign w:val="baseline"/>
        </w:rPr>
        <w:t>Second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 xml:space="preserve">“That you Fatimah Fedora Zulkifli, (S/N:128907), in your capacity as Chief Executive Officer (CEO) Petrosains, had commited an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of misconduct when you, sometime in the month of October 2019 had abused your position and/or taking advantage of your position by instructing your subordinate namely Yusrizat Rahman, Office Assistant, to collect letters addressed to members of PETROSAINS Leadership Team containing allegations against you (“2nd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Your action as depicted above amounts to misconduct and is in violation of:</w:t>
      </w:r>
      <w:r>
        <w:t>
</w:t>
      </w:r>
    </w:p>
    <w:p>
      <w:pPr>
        <w:keepNext w:val="0"/>
        <w:numPr>
          <w:numId w:val="95"/>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Section 2.2, Corporate Values and Culture, Part 1 — Core Values and Culture of PETRONAS Code of Conduct and Business Ethics (CoBE) (the Code3); and/or</w:t>
      </w:r>
    </w:p>
    <w:p>
      <w:pPr>
        <w:keepNext w:val="0"/>
        <w:numPr>
          <w:numId w:val="96"/>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 1, Importance of Good Conduct and Discipline, Part IV — Discipline, Disciplinary Process and Sanctions of the Code; and/or</w:t>
      </w:r>
    </w:p>
    <w:p>
      <w:pPr>
        <w:keepNext w:val="0"/>
        <w:numPr>
          <w:numId w:val="97"/>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Other express and/or implied terms of your employment.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If found guilty for the above misconduct, you may be liable for punishment under Section 2 of Part IV: Disciplinary Process and Sanctions, Country Supplement: Malaysia, the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[108]</w:t>
      </w:r>
      <w:r>
        <w:rPr>
          <w:rFonts w:ascii="arial" w:eastAsia="arial" w:hAnsi="arial" w:cs="arial"/>
          <w:b w:val="0"/>
          <w:i w:val="0"/>
          <w:strike w:val="0"/>
          <w:noProof w:val="0"/>
          <w:color w:val="000000"/>
          <w:position w:val="0"/>
          <w:sz w:val="24"/>
          <w:u w:val="none"/>
          <w:vertAlign w:val="baseline"/>
        </w:rPr>
        <w:t xml:space="preserve">  Second Allegation is in respect of the Claimant’s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abusing her authority as CEO of PETROSAINS whereby she instructed a subordinate employee, Yusrizad Rahmad (“</w:t>
      </w:r>
      <w:r>
        <w:rPr>
          <w:rFonts w:ascii="arial" w:eastAsia="arial" w:hAnsi="arial" w:cs="arial"/>
          <w:b/>
          <w:i w:val="0"/>
          <w:strike w:val="0"/>
          <w:noProof w:val="0"/>
          <w:color w:val="000000"/>
          <w:position w:val="0"/>
          <w:sz w:val="24"/>
          <w:u w:val="none"/>
          <w:vertAlign w:val="baseline"/>
        </w:rPr>
        <w:t>Yusrizad</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i w:val="0"/>
          <w:strike w:val="0"/>
          <w:noProof w:val="0"/>
          <w:color w:val="000000"/>
          <w:position w:val="0"/>
          <w:sz w:val="24"/>
          <w:u w:val="none"/>
          <w:vertAlign w:val="baseline"/>
        </w:rPr>
        <w:t>COW-2</w:t>
      </w:r>
      <w:r>
        <w:rPr>
          <w:rFonts w:ascii="arial" w:eastAsia="arial" w:hAnsi="arial" w:cs="arial"/>
          <w:b w:val="0"/>
          <w:i w:val="0"/>
          <w:strike w:val="0"/>
          <w:noProof w:val="0"/>
          <w:color w:val="000000"/>
          <w:position w:val="0"/>
          <w:sz w:val="24"/>
          <w:u w:val="none"/>
          <w:vertAlign w:val="baseline"/>
        </w:rPr>
        <w:t>), to collect letters addressed to the Leadership Team (“</w:t>
      </w:r>
      <w:r>
        <w:rPr>
          <w:rFonts w:ascii="arial" w:eastAsia="arial" w:hAnsi="arial" w:cs="arial"/>
          <w:b/>
          <w:i w:val="0"/>
          <w:strike w:val="0"/>
          <w:noProof w:val="0"/>
          <w:color w:val="000000"/>
          <w:position w:val="0"/>
          <w:sz w:val="24"/>
          <w:u w:val="none"/>
          <w:vertAlign w:val="baseline"/>
        </w:rPr>
        <w:t>LT</w:t>
      </w:r>
      <w:r>
        <w:rPr>
          <w:rFonts w:ascii="arial" w:eastAsia="arial" w:hAnsi="arial" w:cs="arial"/>
          <w:b w:val="0"/>
          <w:i w:val="0"/>
          <w:strike w:val="0"/>
          <w:noProof w:val="0"/>
          <w:color w:val="000000"/>
          <w:position w:val="0"/>
          <w:sz w:val="24"/>
          <w:u w:val="none"/>
          <w:vertAlign w:val="baseline"/>
        </w:rPr>
        <w:t>”) of PETROSAINS at that time and to provide the letters to 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[109]</w:t>
      </w:r>
      <w:r>
        <w:rPr>
          <w:rFonts w:ascii="arial" w:eastAsia="arial" w:hAnsi="arial" w:cs="arial"/>
          <w:b w:val="0"/>
          <w:i w:val="0"/>
          <w:strike w:val="0"/>
          <w:noProof w:val="0"/>
          <w:color w:val="000000"/>
          <w:position w:val="0"/>
          <w:sz w:val="24"/>
          <w:u w:val="none"/>
          <w:vertAlign w:val="baseline"/>
        </w:rPr>
        <w:t>  The letters, when received, were all placed within an envelope in which the contents were not readable. The Claimant abused her authority when she instructed Yusrizad to collect said letters and pass the same to despite the letters not being addressed to her. It was not for the Claimant to decide what to do with the said letters (which were in envelopes and unread at that material time) as the same were not addressed to 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[110]</w:t>
      </w:r>
      <w:r>
        <w:rPr>
          <w:rFonts w:ascii="arial" w:eastAsia="arial" w:hAnsi="arial" w:cs="arial"/>
          <w:b w:val="0"/>
          <w:i w:val="0"/>
          <w:strike w:val="0"/>
          <w:noProof w:val="0"/>
          <w:color w:val="000000"/>
          <w:position w:val="0"/>
          <w:sz w:val="24"/>
          <w:u w:val="none"/>
          <w:vertAlign w:val="baseline"/>
        </w:rPr>
        <w:t xml:space="preserve">  The Claimant’s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instructing COW-2 to collect envelopes of the letters not addressed to her is an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concealment as she was trying to conceal the existence of the said letters.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[111]</w:t>
      </w:r>
      <w:r>
        <w:rPr>
          <w:rFonts w:ascii="arial" w:eastAsia="arial" w:hAnsi="arial" w:cs="arial"/>
          <w:b w:val="0"/>
          <w:i w:val="0"/>
          <w:strike w:val="0"/>
          <w:noProof w:val="0"/>
          <w:color w:val="000000"/>
          <w:position w:val="0"/>
          <w:sz w:val="24"/>
          <w:u w:val="none"/>
          <w:vertAlign w:val="baseline"/>
        </w:rPr>
        <w:t>  This conduct not only breached the trust placed in the Claimant’s role as CEO but also contravened the ethical standards expected of someone in her position. Such actions amount to an abuse of authority and a conscious attempt to conceal information, undermining the Company’s governance framework and the LT’s decision-making processes.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[112]</w:t>
      </w:r>
      <w:r>
        <w:rPr>
          <w:rFonts w:ascii="arial" w:eastAsia="arial" w:hAnsi="arial" w:cs="arial"/>
          <w:b w:val="0"/>
          <w:i w:val="0"/>
          <w:strike w:val="0"/>
          <w:noProof w:val="0"/>
          <w:color w:val="000000"/>
          <w:position w:val="0"/>
          <w:sz w:val="24"/>
          <w:u w:val="none"/>
          <w:vertAlign w:val="baseline"/>
        </w:rPr>
        <w:t>  By instructing a subordinate (COW-2) to intercept and deliver letters not addressed to her, the Claimant not only abused her position but also undermined the integrity of the Company’s governance framework. These actions demonstrate a clear disregard for ethical standards and a conscious effort to conceal critical information from the intended recipients, thereby eroding the transparency and accountability essential for the effective functioning of the LT.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[113]</w:t>
      </w:r>
      <w:r>
        <w:rPr>
          <w:rFonts w:ascii="arial" w:eastAsia="arial" w:hAnsi="arial" w:cs="arial"/>
          <w:b w:val="0"/>
          <w:i w:val="0"/>
          <w:strike w:val="0"/>
          <w:noProof w:val="0"/>
          <w:color w:val="000000"/>
          <w:position w:val="0"/>
          <w:sz w:val="24"/>
          <w:u w:val="none"/>
          <w:vertAlign w:val="baseline"/>
        </w:rPr>
        <w:t>  In the circumstances, we submit that allegation 2 has clearly been established, and the Claimant breached Section 2.2, Corporate Values and Culture, Part 1 - Core Values and Culture of the Company’s Code of Conduct and Business Ethics (“</w:t>
      </w:r>
      <w:r>
        <w:rPr>
          <w:rFonts w:ascii="arial" w:eastAsia="arial" w:hAnsi="arial" w:cs="arial"/>
          <w:b/>
          <w:i w:val="0"/>
          <w:strike w:val="0"/>
          <w:noProof w:val="0"/>
          <w:color w:val="000000"/>
          <w:position w:val="0"/>
          <w:sz w:val="24"/>
          <w:u w:val="none"/>
          <w:vertAlign w:val="baseline"/>
        </w:rPr>
        <w:t>CoBE</w:t>
      </w:r>
      <w:r>
        <w:rPr>
          <w:rFonts w:ascii="arial" w:eastAsia="arial" w:hAnsi="arial" w:cs="arial"/>
          <w:b w:val="0"/>
          <w:i w:val="0"/>
          <w:strike w:val="0"/>
          <w:noProof w:val="0"/>
          <w:color w:val="000000"/>
          <w:position w:val="0"/>
          <w:sz w:val="24"/>
          <w:u w:val="none"/>
          <w:vertAlign w:val="baseline"/>
        </w:rPr>
        <w:t xml:space="preserve">”), as found on </w:t>
      </w:r>
      <w:r>
        <w:rPr>
          <w:rFonts w:ascii="arial" w:eastAsia="arial" w:hAnsi="arial" w:cs="arial"/>
          <w:b/>
          <w:i w:val="0"/>
          <w:strike w:val="0"/>
          <w:noProof w:val="0"/>
          <w:color w:val="000000"/>
          <w:position w:val="0"/>
          <w:sz w:val="24"/>
          <w:u w:val="none"/>
          <w:vertAlign w:val="baseline"/>
        </w:rPr>
        <w:t>page 149 of COB-2</w:t>
      </w:r>
      <w:r>
        <w:rPr>
          <w:rFonts w:ascii="arial" w:eastAsia="arial" w:hAnsi="arial" w:cs="arial"/>
          <w:b w:val="0"/>
          <w:i w:val="0"/>
          <w:strike w:val="0"/>
          <w:noProof w:val="0"/>
          <w:color w:val="000000"/>
          <w:position w:val="0"/>
          <w:sz w:val="24"/>
          <w:u w:val="none"/>
          <w:vertAlign w:val="baseline"/>
        </w:rPr>
        <w:t xml:space="preserve">. Additionally, the Claimant breached the generality of Section 1, Importance of Good Conduct and Discipline, Part IV - Discipline Process and Sanctions of CoBE (refer to </w:t>
      </w:r>
      <w:r>
        <w:rPr>
          <w:rFonts w:ascii="arial" w:eastAsia="arial" w:hAnsi="arial" w:cs="arial"/>
          <w:b/>
          <w:i w:val="0"/>
          <w:strike w:val="0"/>
          <w:noProof w:val="0"/>
          <w:color w:val="000000"/>
          <w:position w:val="0"/>
          <w:sz w:val="24"/>
          <w:u w:val="none"/>
          <w:vertAlign w:val="baseline"/>
        </w:rPr>
        <w:t>pages 152–155 of COB- 2</w:t>
      </w:r>
      <w:r>
        <w:rPr>
          <w:rFonts w:ascii="arial" w:eastAsia="arial" w:hAnsi="arial" w:cs="arial"/>
          <w:b w:val="0"/>
          <w:i w:val="0"/>
          <w:strike w:val="0"/>
          <w:noProof w:val="0"/>
          <w:color w:val="000000"/>
          <w:position w:val="0"/>
          <w:sz w:val="24"/>
          <w:u w:val="none"/>
          <w:vertAlign w:val="baseline"/>
        </w:rPr>
        <w:t>), as well as the express and/or implied terms of the Claimant’s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THIRD and FOURTH ALLEGATIONS : UNAUTHORIZED APPROVAL FOR THE SERVICES OF LYZZA D (HIJAB STYLIST AND/OR MAKE-UP ARTIST) AND FAR CHOY YEE WEN (MAKE-UP ARTIST)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single"/>
          <w:vertAlign w:val="baseline"/>
        </w:rPr>
        <w:t>Third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 xml:space="preserve">“That you Fatimah Fedora Zulkifli (S/N:128907), in your capacity as Chief Executive Officer (CEO) Petrosains had committed an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of misconduct when you had failed to exercise proper care and Judgment and failed to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in the best interest of the Company when you, between October 2019 and November 2019 had in few occasions, ‘hired Lyzza D for the service of Hijab Stylist and/or make-up artist without prior approval from the Company (“3rd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The payment for the said services amounting to RM950.00 was paid by the Company through MyCann Erickson Malaysia Sdn.Bhd.</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Your action as depicted above amounts to misconduct and is in violation of:</w:t>
      </w:r>
      <w:r>
        <w:t>
</w:t>
      </w:r>
    </w:p>
    <w:p>
      <w:pPr>
        <w:keepNext w:val="0"/>
        <w:numPr>
          <w:numId w:val="98"/>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Section 2.2., Corporate Values and Culture, Part 1 — Core Values and Culture of PETRONAS Code of Conduct and Business Ethics (CoBE)(the Code); and/or</w:t>
      </w:r>
    </w:p>
    <w:p>
      <w:pPr>
        <w:keepNext w:val="0"/>
        <w:numPr>
          <w:numId w:val="98"/>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 1, Importance of Good Conduct and Discipline, Part IV — Discipline, Disciplinary Process and Sanctions of the Code; and/or</w:t>
      </w:r>
    </w:p>
    <w:p>
      <w:pPr>
        <w:keepNext w:val="0"/>
        <w:numPr>
          <w:numId w:val="98"/>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Other express and/or implied terms of your employment.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If found guilty for the above misconduct, you may be liable for punishment under Section 2 of Part IV:Disciplinary Process and Sanctions, Country Supplement: Malaysia, the Code.”</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single"/>
          <w:vertAlign w:val="baseline"/>
        </w:rPr>
        <w:t>Fourth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 xml:space="preserve">“That you Fatimah Fedora Zulkifli, (S/N: 128907), in your capacity as Chief Executive Officer (CEO) Petrosains had committed an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of misconduct when you had failed to exercise proper care and judgment and failed to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in the best interest of the Company, when you had in few occasions, between October 2019 and November 2019, hired Far Choy Yee Wen for the service of makeup artist without prior approval from the Company (“4th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The payment for the said service amounting to RM1,550.00 was paid by the Company through McCann Erickson Malaysia Sdn.Bhd.</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Your action as depicted above amounts to misconduct and is in violation of:</w:t>
      </w:r>
      <w:r>
        <w:t>
</w:t>
      </w:r>
    </w:p>
    <w:p>
      <w:pPr>
        <w:keepNext w:val="0"/>
        <w:numPr>
          <w:numId w:val="99"/>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Section 2.2, Corporate Values and Culture, Part 1 — Core Value and Culture of PETRONAS Code of Conduct and Business Ethics (CoBe)(the Code); and/or</w:t>
      </w:r>
    </w:p>
    <w:p>
      <w:pPr>
        <w:keepNext w:val="0"/>
        <w:numPr>
          <w:numId w:val="99"/>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 1, Importance of Good Conduct and Discipline, Part IV — Discipline, Disciplinary Process and Sanctions of the Code; and/or</w:t>
      </w:r>
    </w:p>
    <w:p>
      <w:pPr>
        <w:keepNext w:val="0"/>
        <w:numPr>
          <w:numId w:val="99"/>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Other express and/or implied terms of your employment.</w:t>
      </w:r>
    </w:p>
    <w:p>
      <w:pPr>
        <w:keepNext w:val="0"/>
        <w:numPr>
          <w:numId w:val="99"/>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If found guilty for the above misconduct, you may be liabel for punishment under Section 2 of Part IV: Disciplinary Process and Sanctions, Country Supplement : Malaysia, the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[114]</w:t>
      </w:r>
      <w:r>
        <w:rPr>
          <w:rFonts w:ascii="arial" w:eastAsia="arial" w:hAnsi="arial" w:cs="arial"/>
          <w:b w:val="0"/>
          <w:i w:val="0"/>
          <w:strike w:val="0"/>
          <w:noProof w:val="0"/>
          <w:color w:val="000000"/>
          <w:position w:val="0"/>
          <w:sz w:val="24"/>
          <w:u w:val="none"/>
          <w:vertAlign w:val="baseline"/>
        </w:rPr>
        <w:t xml:space="preserve">  The third and fourth Allegations were in respect of the Claimant’s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misconduct whereby she had engaged third party make-up artists. There were several sessions in March 2019 whereby a particular make-up artist was engaged, which the Claimant took a liking to. Thereafter, the Claimant had instructed or given her instructions to engage the said make-up artist for her own personal make up.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[115]</w:t>
      </w:r>
      <w:r>
        <w:rPr>
          <w:rFonts w:ascii="arial" w:eastAsia="arial" w:hAnsi="arial" w:cs="arial"/>
          <w:b w:val="0"/>
          <w:i w:val="0"/>
          <w:strike w:val="0"/>
          <w:noProof w:val="0"/>
          <w:color w:val="000000"/>
          <w:position w:val="0"/>
          <w:sz w:val="24"/>
          <w:u w:val="none"/>
          <w:vertAlign w:val="baseline"/>
        </w:rPr>
        <w:t>  The Company does not deny the fact that the Claimant, in her capacity as CEO of PETROSAINS, may be invited or tasked to attend public events as a form public relations on behalf of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[116]</w:t>
      </w:r>
      <w:r>
        <w:rPr>
          <w:rFonts w:ascii="arial" w:eastAsia="arial" w:hAnsi="arial" w:cs="arial"/>
          <w:b w:val="0"/>
          <w:i w:val="0"/>
          <w:strike w:val="0"/>
          <w:noProof w:val="0"/>
          <w:color w:val="000000"/>
          <w:position w:val="0"/>
          <w:sz w:val="24"/>
          <w:u w:val="none"/>
          <w:vertAlign w:val="baseline"/>
        </w:rPr>
        <w:t xml:space="preserve">  However, at the material time, the Claimant was advised by one Azura @ Farah Diba binti Daud that the respective TV stations (that the Claimant would appear) </w:t>
      </w:r>
      <w:r>
        <w:rPr>
          <w:rFonts w:ascii="arial" w:eastAsia="arial" w:hAnsi="arial" w:cs="arial"/>
          <w:b/>
          <w:i w:val="0"/>
          <w:strike w:val="0"/>
          <w:noProof w:val="0"/>
          <w:color w:val="000000"/>
          <w:position w:val="0"/>
          <w:sz w:val="24"/>
          <w:u w:val="single"/>
          <w:vertAlign w:val="baseline"/>
        </w:rPr>
        <w:t>had their own makeup artist or stylist</w:t>
      </w:r>
      <w:r>
        <w:rPr>
          <w:rFonts w:ascii="arial" w:eastAsia="arial" w:hAnsi="arial" w:cs="arial"/>
          <w:b w:val="0"/>
          <w:i w:val="0"/>
          <w:strike w:val="0"/>
          <w:noProof w:val="0"/>
          <w:color w:val="000000"/>
          <w:position w:val="0"/>
          <w:sz w:val="24"/>
          <w:u w:val="none"/>
          <w:vertAlign w:val="baseline"/>
        </w:rPr>
        <w:t>. Notwithstanding, the Claimant nevertheless insisted to engage the said stylist and make- up artist for her personal benefit.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[117]</w:t>
      </w:r>
      <w:r>
        <w:rPr>
          <w:rFonts w:ascii="arial" w:eastAsia="arial" w:hAnsi="arial" w:cs="arial"/>
          <w:b w:val="0"/>
          <w:i w:val="0"/>
          <w:strike w:val="0"/>
          <w:noProof w:val="0"/>
          <w:color w:val="000000"/>
          <w:position w:val="0"/>
          <w:sz w:val="24"/>
          <w:u w:val="none"/>
          <w:vertAlign w:val="baseline"/>
        </w:rPr>
        <w:t>  Eventually the services of the stylist and make-up artist for the Claimant was charged to PETROSAINS. The invoice for the services of Fay Chor Yee Wen can be found at page 64 of COB-2, while the invoice for the services of Lyzza D can be found at pages 65 - 66 of COB-2.</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[118]</w:t>
      </w:r>
      <w:r>
        <w:rPr>
          <w:rFonts w:ascii="arial" w:eastAsia="arial" w:hAnsi="arial" w:cs="arial"/>
          <w:b w:val="0"/>
          <w:i w:val="0"/>
          <w:strike w:val="0"/>
          <w:noProof w:val="0"/>
          <w:color w:val="000000"/>
          <w:position w:val="0"/>
          <w:sz w:val="24"/>
          <w:u w:val="none"/>
          <w:vertAlign w:val="baseline"/>
        </w:rPr>
        <w:t xml:space="preserve">  During cross-examination, COW-1 confirmed that the Claimant had taken a particular liking in the services of the make-up artist and hijab stylist, as reflected in </w:t>
      </w:r>
      <w:r>
        <w:rPr>
          <w:rFonts w:ascii="arial" w:eastAsia="arial" w:hAnsi="arial" w:cs="arial"/>
          <w:b/>
          <w:i w:val="0"/>
          <w:strike w:val="0"/>
          <w:noProof w:val="0"/>
          <w:color w:val="000000"/>
          <w:position w:val="0"/>
          <w:sz w:val="24"/>
          <w:u w:val="none"/>
          <w:vertAlign w:val="baseline"/>
        </w:rPr>
        <w:t>page 11 of COB-2</w:t>
      </w:r>
      <w:r>
        <w:rPr>
          <w:rFonts w:ascii="arial" w:eastAsia="arial" w:hAnsi="arial" w:cs="arial"/>
          <w:b w:val="0"/>
          <w:i w:val="0"/>
          <w:strike w:val="0"/>
          <w:noProof w:val="0"/>
          <w:color w:val="000000"/>
          <w:position w:val="0"/>
          <w:sz w:val="24"/>
          <w:u w:val="none"/>
          <w:vertAlign w:val="baseline"/>
        </w:rPr>
        <w:t>: -</w:t>
      </w:r>
    </w:p>
    <w:p>
      <w:pPr>
        <w:keepNext w:val="0"/>
        <w:spacing w:before="0" w:after="0" w:line="300" w:lineRule="atLeast"/>
        <w:ind w:left="0" w:right="0" w:firstLine="0"/>
        <w:jc w:val="both"/>
      </w:pPr>
      <w:r>
        <w:br/>
      </w:r>
      <w:r>
        <w:pict>
          <v:shape id="_x0000_i1028" type="#_x0000_t75" style="width:332.25pt;height:1in">
            <v:imagedata r:id="rId10"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201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[119]</w:t>
      </w:r>
      <w:r>
        <w:rPr>
          <w:rFonts w:ascii="arial" w:eastAsia="arial" w:hAnsi="arial" w:cs="arial"/>
          <w:b w:val="0"/>
          <w:i w:val="0"/>
          <w:strike w:val="0"/>
          <w:noProof w:val="0"/>
          <w:color w:val="000000"/>
          <w:position w:val="0"/>
          <w:sz w:val="24"/>
          <w:u w:val="none"/>
          <w:vertAlign w:val="baseline"/>
        </w:rPr>
        <w:t>  COW-1 further confirmed that the respective TV stations (that the Claimant would appear) would have their own makeup artist or stylist and thus there was no real need to engage in the services of Lyzza D and Far Choy Yee Wen: -</w:t>
      </w:r>
    </w:p>
    <w:p>
      <w:pPr>
        <w:keepNext w:val="0"/>
        <w:spacing w:before="0" w:after="0" w:line="300" w:lineRule="atLeast"/>
        <w:ind w:left="0" w:right="0" w:firstLine="0"/>
        <w:jc w:val="both"/>
      </w:pPr>
      <w:r>
        <w:br/>
      </w:r>
      <w:r>
        <w:pict>
          <v:shape id="_x0000_i1029" type="#_x0000_t75" style="width:300.75pt;height:241.5pt">
            <v:imagedata r:id="rId11"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Page(s) 218 - 219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[120]</w:t>
      </w:r>
      <w:r>
        <w:rPr>
          <w:rFonts w:ascii="arial" w:eastAsia="arial" w:hAnsi="arial" w:cs="arial"/>
          <w:b w:val="0"/>
          <w:i w:val="0"/>
          <w:strike w:val="0"/>
          <w:noProof w:val="0"/>
          <w:color w:val="000000"/>
          <w:position w:val="0"/>
          <w:sz w:val="24"/>
          <w:u w:val="none"/>
          <w:vertAlign w:val="baseline"/>
        </w:rPr>
        <w:t xml:space="preserve">  Consistent with the above, the same has been confirmed by COW- 5 during cross-examination, wherein he referred to </w:t>
      </w:r>
      <w:r>
        <w:rPr>
          <w:rFonts w:ascii="arial" w:eastAsia="arial" w:hAnsi="arial" w:cs="arial"/>
          <w:b/>
          <w:i w:val="0"/>
          <w:strike w:val="0"/>
          <w:noProof w:val="0"/>
          <w:color w:val="000000"/>
          <w:position w:val="0"/>
          <w:sz w:val="24"/>
          <w:u w:val="none"/>
          <w:vertAlign w:val="baseline"/>
        </w:rPr>
        <w:t>pages 8 – 12 of COB- 2</w:t>
      </w:r>
      <w:r>
        <w:rPr>
          <w:rFonts w:ascii="arial" w:eastAsia="arial" w:hAnsi="arial" w:cs="arial"/>
          <w:b w:val="0"/>
          <w:i w:val="0"/>
          <w:strike w:val="0"/>
          <w:noProof w:val="0"/>
          <w:color w:val="000000"/>
          <w:position w:val="0"/>
          <w:sz w:val="24"/>
          <w:u w:val="none"/>
          <w:vertAlign w:val="baseline"/>
        </w:rPr>
        <w:t xml:space="preserve"> (COW-1’s Voluntary Witness Statement) and </w:t>
      </w:r>
      <w:r>
        <w:rPr>
          <w:rFonts w:ascii="arial" w:eastAsia="arial" w:hAnsi="arial" w:cs="arial"/>
          <w:b/>
          <w:i w:val="0"/>
          <w:strike w:val="0"/>
          <w:noProof w:val="0"/>
          <w:color w:val="000000"/>
          <w:position w:val="0"/>
          <w:sz w:val="24"/>
          <w:u w:val="none"/>
          <w:vertAlign w:val="baseline"/>
        </w:rPr>
        <w:t>pages 13 – 19 of COB-2</w:t>
      </w:r>
      <w:r>
        <w:rPr>
          <w:rFonts w:ascii="arial" w:eastAsia="arial" w:hAnsi="arial" w:cs="arial"/>
          <w:b w:val="0"/>
          <w:i w:val="0"/>
          <w:strike w:val="0"/>
          <w:noProof w:val="0"/>
          <w:color w:val="000000"/>
          <w:position w:val="0"/>
          <w:sz w:val="24"/>
          <w:u w:val="none"/>
          <w:vertAlign w:val="baseline"/>
        </w:rPr>
        <w:t xml:space="preserve"> (Nur Afiqah’s Voluntary Witness Statement): -</w:t>
      </w:r>
    </w:p>
    <w:p>
      <w:pPr>
        <w:keepNext w:val="0"/>
        <w:spacing w:before="0" w:after="0" w:line="300" w:lineRule="atLeast"/>
        <w:ind w:left="0" w:right="0" w:firstLine="0"/>
        <w:jc w:val="both"/>
      </w:pPr>
      <w:r>
        <w:br/>
      </w:r>
      <w:r>
        <w:pict>
          <v:shape id="_x0000_i1030" type="#_x0000_t75" style="width:333.75pt;height:91.5pt">
            <v:imagedata r:id="rId12"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 Page 957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[121]</w:t>
      </w:r>
      <w:r>
        <w:rPr>
          <w:rFonts w:ascii="arial" w:eastAsia="arial" w:hAnsi="arial" w:cs="arial"/>
          <w:b w:val="0"/>
          <w:i w:val="0"/>
          <w:strike w:val="0"/>
          <w:noProof w:val="0"/>
          <w:color w:val="000000"/>
          <w:position w:val="0"/>
          <w:sz w:val="24"/>
          <w:u w:val="none"/>
          <w:vertAlign w:val="baseline"/>
        </w:rPr>
        <w:t>  COW-5 also confirmed during cross-examination, the services of make- up artists and hijab stylists that were already provided for by TV stations:</w:t>
      </w:r>
    </w:p>
    <w:p>
      <w:pPr>
        <w:keepNext w:val="0"/>
        <w:spacing w:before="0" w:after="0" w:line="300" w:lineRule="atLeast"/>
        <w:ind w:left="0" w:right="0" w:firstLine="0"/>
        <w:jc w:val="both"/>
      </w:pPr>
      <w:r>
        <w:br/>
      </w:r>
      <w:r>
        <w:pict>
          <v:shape id="_x0000_i1031" type="#_x0000_t75" style="width:332.25pt;height:156.75pt">
            <v:imagedata r:id="rId13"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 Page 974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[122]</w:t>
      </w:r>
      <w:r>
        <w:rPr>
          <w:rFonts w:ascii="arial" w:eastAsia="arial" w:hAnsi="arial" w:cs="arial"/>
          <w:b w:val="0"/>
          <w:i w:val="0"/>
          <w:strike w:val="0"/>
          <w:noProof w:val="0"/>
          <w:color w:val="000000"/>
          <w:position w:val="0"/>
          <w:sz w:val="24"/>
          <w:u w:val="none"/>
          <w:vertAlign w:val="baseline"/>
        </w:rPr>
        <w:t xml:space="preserve">  That the Claimant was </w:t>
      </w:r>
      <w:r>
        <w:rPr>
          <w:rFonts w:ascii="arial" w:eastAsia="arial" w:hAnsi="arial" w:cs="arial"/>
          <w:b/>
          <w:i w:val="0"/>
          <w:strike w:val="0"/>
          <w:noProof w:val="0"/>
          <w:color w:val="000000"/>
          <w:position w:val="0"/>
          <w:sz w:val="24"/>
          <w:u w:val="single"/>
          <w:vertAlign w:val="baseline"/>
        </w:rPr>
        <w:t>indulging her own ego</w:t>
      </w:r>
      <w:r>
        <w:rPr>
          <w:rFonts w:ascii="arial" w:eastAsia="arial" w:hAnsi="arial" w:cs="arial"/>
          <w:b w:val="0"/>
          <w:i w:val="0"/>
          <w:strike w:val="0"/>
          <w:noProof w:val="0"/>
          <w:color w:val="000000"/>
          <w:position w:val="0"/>
          <w:sz w:val="24"/>
          <w:u w:val="none"/>
          <w:vertAlign w:val="baseline"/>
        </w:rPr>
        <w:t xml:space="preserve"> by insisting on the hiring of the make-up artist and hijab artist which were to her personal liking when these services were provided for free by the TV stations and then having the expenses for those services being charged to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[123]</w:t>
      </w:r>
      <w:r>
        <w:rPr>
          <w:rFonts w:ascii="arial" w:eastAsia="arial" w:hAnsi="arial" w:cs="arial"/>
          <w:b w:val="0"/>
          <w:i w:val="0"/>
          <w:strike w:val="0"/>
          <w:noProof w:val="0"/>
          <w:color w:val="000000"/>
          <w:position w:val="0"/>
          <w:sz w:val="24"/>
          <w:u w:val="none"/>
          <w:vertAlign w:val="baseline"/>
        </w:rPr>
        <w:t>  COW-5 then went on to testify how the Claimant, by engaging the services of Lyzza D and Far Choy Yee Wen, was not acting in the best interests of the Company, as framed in allegations 3 and 4 against 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[124]</w:t>
      </w:r>
      <w:r>
        <w:rPr>
          <w:rFonts w:ascii="arial" w:eastAsia="arial" w:hAnsi="arial" w:cs="arial"/>
          <w:b w:val="0"/>
          <w:i w:val="0"/>
          <w:strike w:val="0"/>
          <w:noProof w:val="0"/>
          <w:color w:val="000000"/>
          <w:position w:val="0"/>
          <w:sz w:val="24"/>
          <w:u w:val="none"/>
          <w:vertAlign w:val="baseline"/>
        </w:rPr>
        <w:t>  The Claimant herself confirmed during cross-examination that the services of Lyzza D was paid for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[125]</w:t>
      </w:r>
      <w:r>
        <w:rPr>
          <w:rFonts w:ascii="arial" w:eastAsia="arial" w:hAnsi="arial" w:cs="arial"/>
          <w:b w:val="0"/>
          <w:i w:val="0"/>
          <w:strike w:val="0"/>
          <w:noProof w:val="0"/>
          <w:color w:val="000000"/>
          <w:position w:val="0"/>
          <w:sz w:val="24"/>
          <w:u w:val="none"/>
          <w:vertAlign w:val="baseline"/>
        </w:rPr>
        <w:t>  Similarly, the Claimant also admitted during cross-examination that theservices of Far Choy Yee Wen was paid for by the Company: -</w:t>
      </w:r>
    </w:p>
    <w:p>
      <w:pPr>
        <w:keepNext w:val="0"/>
        <w:spacing w:before="0" w:after="0" w:line="300" w:lineRule="atLeast"/>
        <w:ind w:left="0" w:right="0" w:firstLine="0"/>
        <w:jc w:val="both"/>
      </w:pPr>
      <w:r>
        <w:br/>
      </w:r>
      <w:r>
        <w:pict>
          <v:shape id="_x0000_i1032" type="#_x0000_t75" style="width:335.25pt;height:110.25pt">
            <v:imagedata r:id="rId14"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 Page 1500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[126]</w:t>
      </w:r>
      <w:r>
        <w:rPr>
          <w:rFonts w:ascii="arial" w:eastAsia="arial" w:hAnsi="arial" w:cs="arial"/>
          <w:b w:val="0"/>
          <w:i w:val="0"/>
          <w:strike w:val="0"/>
          <w:noProof w:val="0"/>
          <w:color w:val="000000"/>
          <w:position w:val="0"/>
          <w:sz w:val="24"/>
          <w:u w:val="none"/>
          <w:vertAlign w:val="baseline"/>
        </w:rPr>
        <w:t>  Thereafter, the Claimant admitted during cross-examination that she did not obtain prior approval from the Company for the hiring of Lyzza D: -</w:t>
      </w:r>
    </w:p>
    <w:p>
      <w:pPr>
        <w:keepNext w:val="0"/>
        <w:spacing w:before="0" w:after="0" w:line="300" w:lineRule="atLeast"/>
        <w:ind w:left="0" w:right="0" w:firstLine="0"/>
        <w:jc w:val="both"/>
      </w:pPr>
      <w:r>
        <w:br/>
      </w:r>
      <w:r>
        <w:pict>
          <v:shape id="_x0000_i1033" type="#_x0000_t75" style="width:333pt;height:69.75pt">
            <v:imagedata r:id="rId15"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1473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[127]</w:t>
      </w:r>
      <w:r>
        <w:rPr>
          <w:rFonts w:ascii="arial" w:eastAsia="arial" w:hAnsi="arial" w:cs="arial"/>
          <w:b w:val="0"/>
          <w:i w:val="0"/>
          <w:strike w:val="0"/>
          <w:noProof w:val="0"/>
          <w:color w:val="000000"/>
          <w:position w:val="0"/>
          <w:sz w:val="24"/>
          <w:u w:val="none"/>
          <w:vertAlign w:val="baseline"/>
        </w:rPr>
        <w:t>  Similarly, the Claimant also admitted during cross-examination that she did not obtain prior approval from the Company for the hiring of Far Choy Yee Wen: -</w:t>
      </w:r>
    </w:p>
    <w:p>
      <w:pPr>
        <w:keepNext w:val="0"/>
        <w:spacing w:before="0" w:after="0" w:line="300" w:lineRule="atLeast"/>
        <w:ind w:left="0" w:right="0" w:firstLine="0"/>
        <w:jc w:val="both"/>
      </w:pPr>
      <w:r>
        <w:br/>
      </w:r>
      <w:r>
        <w:pict>
          <v:shape id="_x0000_i1034" type="#_x0000_t75" style="width:333pt;height:151.5pt">
            <v:imagedata r:id="rId16"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 Page 1502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[128]</w:t>
      </w:r>
      <w:r>
        <w:rPr>
          <w:rFonts w:ascii="arial" w:eastAsia="arial" w:hAnsi="arial" w:cs="arial"/>
          <w:b w:val="0"/>
          <w:i w:val="0"/>
          <w:strike w:val="0"/>
          <w:noProof w:val="0"/>
          <w:color w:val="000000"/>
          <w:position w:val="0"/>
          <w:sz w:val="24"/>
          <w:u w:val="none"/>
          <w:vertAlign w:val="baseline"/>
        </w:rPr>
        <w:t>  Although the Claimant contends that COW-1 and/or Shamini were ultimately the approvers for the appointment of Lyzza D and that it was within COW-1’s limits of authority to approve the same, the Claimant nonetheless conceded during cross-examination that even if it was within the limits of authority, the approval of Lyzza D can still be wrong.</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[129]</w:t>
      </w:r>
      <w:r>
        <w:rPr>
          <w:rFonts w:ascii="arial" w:eastAsia="arial" w:hAnsi="arial" w:cs="arial"/>
          <w:b w:val="0"/>
          <w:i w:val="0"/>
          <w:strike w:val="0"/>
          <w:noProof w:val="0"/>
          <w:color w:val="000000"/>
          <w:position w:val="0"/>
          <w:sz w:val="24"/>
          <w:u w:val="none"/>
          <w:vertAlign w:val="baseline"/>
        </w:rPr>
        <w:t xml:space="preserve">  In any event, that the Claimant was ultimately responsible for the hiring of Lyzza D and Far Choy Yee Wen, and the Claimant cannot now shift the blame to her subordinates, namely COW- 1 and/or Shamini for the hiring of Lyzza D and Far Choy Yee Wen. In support of this, the Company’s counsel cite the decision in </w:t>
      </w:r>
      <w:r>
        <w:rPr>
          <w:rFonts w:ascii="arial" w:eastAsia="arial" w:hAnsi="arial" w:cs="arial"/>
          <w:b w:val="0"/>
          <w:i/>
          <w:strike w:val="0"/>
          <w:noProof w:val="0"/>
          <w:color w:val="000000"/>
          <w:position w:val="0"/>
          <w:sz w:val="24"/>
          <w:u w:val="none"/>
          <w:vertAlign w:val="baseline"/>
        </w:rPr>
        <w:t xml:space="preserve">Maybank Finance Berhad &amp; Anor v. Malayan Banking Berhad &amp; Anor </w:t>
      </w:r>
      <w:r>
        <w:rPr>
          <w:rFonts w:ascii="arial" w:eastAsia="arial" w:hAnsi="arial" w:cs="arial"/>
          <w:b w:val="0"/>
          <w:i w:val="0"/>
          <w:strike w:val="0"/>
          <w:noProof w:val="0"/>
          <w:color w:val="000000"/>
          <w:position w:val="0"/>
          <w:sz w:val="24"/>
          <w:u w:val="none"/>
          <w:vertAlign w:val="baseline"/>
        </w:rPr>
        <w:t>[2014] 1 ILR 281: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“[53] The next issue raised by the claimants is that it is not their duty to ascertain the securities used for the loan. It is the duties of their subordinates to ascertain the market value of the buses to be used as security.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 xml:space="preserve">The legal principles on the extent to which a superior is entitle to shift the liability in respect of a wrongful </w:t>
      </w:r>
      <w:r>
        <w:rPr>
          <w:rFonts w:ascii="arial" w:eastAsia="arial" w:hAnsi="arial" w:cs="arial"/>
          <w:b/>
          <w:i/>
          <w:strike w:val="0"/>
          <w:noProof w:val="0"/>
          <w:color w:val="000000"/>
          <w:position w:val="0"/>
          <w:sz w:val="18"/>
          <w:u w:val="single"/>
          <w:vertAlign w:val="baseline"/>
        </w:rPr>
        <w:t>act</w:t>
      </w:r>
      <w:r>
        <w:rPr>
          <w:rFonts w:ascii="arial" w:eastAsia="arial" w:hAnsi="arial" w:cs="arial"/>
          <w:b/>
          <w:i/>
          <w:strike w:val="0"/>
          <w:noProof w:val="0"/>
          <w:color w:val="000000"/>
          <w:position w:val="0"/>
          <w:sz w:val="18"/>
          <w:u w:val="single"/>
          <w:vertAlign w:val="baseline"/>
        </w:rPr>
        <w:t xml:space="preserve"> on his on her subordinate is well established</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[54]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Suriyati Bt. Mohamad Shariff v Malayan Banking Berhad  </w:t>
      </w:r>
      <w:r>
        <w:rPr>
          <w:rFonts w:ascii="arial" w:eastAsia="arial" w:hAnsi="arial" w:cs="arial"/>
          <w:b w:val="0"/>
          <w:i w:val="0"/>
          <w:strike w:val="0"/>
          <w:noProof w:val="0"/>
          <w:color w:val="000000"/>
          <w:position w:val="0"/>
          <w:sz w:val="18"/>
          <w:u w:val="none"/>
          <w:vertAlign w:val="baseline"/>
        </w:rPr>
        <w:t xml:space="preserve">[2012] ILRU 1489; ; [2012] 2 LNS 1489 </w:t>
      </w:r>
      <w:r>
        <w:rPr>
          <w:rFonts w:ascii="arial" w:eastAsia="arial" w:hAnsi="arial" w:cs="arial"/>
          <w:b/>
          <w:i/>
          <w:strike w:val="0"/>
          <w:noProof w:val="0"/>
          <w:color w:val="000000"/>
          <w:position w:val="0"/>
          <w:sz w:val="18"/>
          <w:u w:val="none"/>
          <w:vertAlign w:val="baseline"/>
        </w:rPr>
        <w:t>(Award No. 1489 of 2012)</w:t>
      </w:r>
      <w:r>
        <w:rPr>
          <w:rFonts w:ascii="arial" w:eastAsia="arial" w:hAnsi="arial" w:cs="arial"/>
          <w:b w:val="0"/>
          <w:i/>
          <w:strike w:val="0"/>
          <w:noProof w:val="0"/>
          <w:color w:val="000000"/>
          <w:position w:val="0"/>
          <w:sz w:val="18"/>
          <w:u w:val="none"/>
          <w:vertAlign w:val="baseline"/>
        </w:rPr>
        <w:t xml:space="preserve"> is a direct authority on this point. The Industrial Court held that the claimant was precluded from shifting the blame onto the Customer Sales Officer (“CSO”), who had entered fraudulent information regarding the loan applications in question into the company’s system. This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on the part of the CSO ultimately led to the claimant’s approval of the said loan applications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 xml:space="preserve">[56] </w:t>
      </w:r>
      <w:r>
        <w:rPr>
          <w:rFonts w:ascii="arial" w:eastAsia="arial" w:hAnsi="arial" w:cs="arial"/>
          <w:b/>
          <w:i/>
          <w:strike w:val="0"/>
          <w:noProof w:val="0"/>
          <w:color w:val="000000"/>
          <w:position w:val="0"/>
          <w:sz w:val="18"/>
          <w:u w:val="single"/>
          <w:vertAlign w:val="baseline"/>
        </w:rPr>
        <w:t>Therefore it is not open to the claimants to adopt the position that they are exonerated from all liabilities on the grounds that it was their subordinate who had committed the misconducts, viz, breaching established banking practices and procedures. It is well established in industrial jurisprudence that the claimants, as senior management employees in the company, should take full responsibility for the actions of their subordinates.</w:t>
      </w:r>
      <w:r>
        <w:rPr>
          <w:rFonts w:ascii="arial" w:eastAsia="arial" w:hAnsi="arial" w:cs="arial"/>
          <w:b/>
          <w:i/>
          <w:strike w:val="0"/>
          <w:noProof w:val="0"/>
          <w:color w:val="000000"/>
          <w:position w:val="0"/>
          <w:sz w:val="18"/>
          <w:u w:val="none"/>
          <w:vertAlign w:val="baseline"/>
        </w:rPr>
        <w:t xml:space="preserve"> To allow the claimants to willfully shift responsibility and escape liability is tantamount to giving the claimants a license to either commit or condone the misconduct with impunity. This is certainly untenable in law as it is tantamount to a recipe for chaos in the management of the company.”</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[As at refer to pages 94 – 95 of the Company’s Bundle of Authorities]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[130]</w:t>
      </w:r>
      <w:r>
        <w:rPr>
          <w:rFonts w:ascii="arial" w:eastAsia="arial" w:hAnsi="arial" w:cs="arial"/>
          <w:b w:val="0"/>
          <w:i w:val="0"/>
          <w:strike w:val="0"/>
          <w:noProof w:val="0"/>
          <w:color w:val="000000"/>
          <w:position w:val="0"/>
          <w:sz w:val="24"/>
          <w:u w:val="none"/>
          <w:vertAlign w:val="baseline"/>
        </w:rPr>
        <w:t>  Even if we assume that it was indeed COW-1 and/or Shamini who approved the services of Lyzza D and Far Choy Yee Wen, it still does not explain why the Claimant chose to remain silent despite admitting during cross-examination (refer to the admissions made by the Claimant above) that such approvals, though within the limits of authority, might be wrong, especially since the various TV stations had already provided hijab styling and make-up services. Any other responsible CEO would have taken immediate action to rectify any questionable approvals or to ensure compliance with internal processes.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[131]</w:t>
      </w:r>
      <w:r>
        <w:rPr>
          <w:rFonts w:ascii="arial" w:eastAsia="arial" w:hAnsi="arial" w:cs="arial"/>
          <w:b w:val="0"/>
          <w:i w:val="0"/>
          <w:strike w:val="0"/>
          <w:noProof w:val="0"/>
          <w:color w:val="000000"/>
          <w:position w:val="0"/>
          <w:sz w:val="24"/>
          <w:u w:val="none"/>
          <w:vertAlign w:val="baseline"/>
        </w:rPr>
        <w:t xml:space="preserve">  At </w:t>
      </w:r>
      <w:r>
        <w:rPr>
          <w:rFonts w:ascii="arial" w:eastAsia="arial" w:hAnsi="arial" w:cs="arial"/>
          <w:b/>
          <w:i w:val="0"/>
          <w:strike w:val="0"/>
          <w:noProof w:val="0"/>
          <w:color w:val="000000"/>
          <w:position w:val="0"/>
          <w:sz w:val="24"/>
          <w:u w:val="none"/>
          <w:vertAlign w:val="baseline"/>
        </w:rPr>
        <w:t>Q&amp;A19 of CLWS2</w:t>
      </w:r>
      <w:r>
        <w:rPr>
          <w:rFonts w:ascii="arial" w:eastAsia="arial" w:hAnsi="arial" w:cs="arial"/>
          <w:b w:val="0"/>
          <w:i w:val="0"/>
          <w:strike w:val="0"/>
          <w:noProof w:val="0"/>
          <w:color w:val="000000"/>
          <w:position w:val="0"/>
          <w:sz w:val="24"/>
          <w:u w:val="none"/>
          <w:vertAlign w:val="baseline"/>
        </w:rPr>
        <w:t xml:space="preserve"> the Claimant contends that prior to the engagement of Lyzza D and Far Choy Yee Wen, the Claimant had confirmed with the SMC department as to their hiring being in line and not in contrary to the Petrosains Limits of Authority and was assured by the SMC that it was in line and in accordance with the Limits of Authority. However, during cross- examination the Claimant admitted that she has no evidence to establish such assurance purportedly given by the SMC department.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[132]</w:t>
      </w:r>
      <w:r>
        <w:rPr>
          <w:rFonts w:ascii="arial" w:eastAsia="arial" w:hAnsi="arial" w:cs="arial"/>
          <w:b w:val="0"/>
          <w:i w:val="0"/>
          <w:strike w:val="0"/>
          <w:noProof w:val="0"/>
          <w:color w:val="000000"/>
          <w:position w:val="0"/>
          <w:sz w:val="24"/>
          <w:u w:val="none"/>
          <w:vertAlign w:val="baseline"/>
        </w:rPr>
        <w:t>  The Claimant also contends that the hiring of Lyzza D and Far Choy Yee Wen benefited Petrosains as part of its public relations (PR) strategy. However, we submit that this contention is unjustifiable. For one, the engagement of external stylists was unnecessary and an unjustifiable expenditure of Company resources. For another, the Claimant admitted during cross-examination (As at above) that she did not As atk or obtain prior approval from the Company for the hiring of these services. This failure demonstrates a clear breach of the Company’s procedures and policies.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[133]</w:t>
      </w:r>
      <w:r>
        <w:rPr>
          <w:rFonts w:ascii="arial" w:eastAsia="arial" w:hAnsi="arial" w:cs="arial"/>
          <w:b w:val="0"/>
          <w:i w:val="0"/>
          <w:strike w:val="0"/>
          <w:noProof w:val="0"/>
          <w:color w:val="000000"/>
          <w:position w:val="0"/>
          <w:sz w:val="24"/>
          <w:u w:val="none"/>
          <w:vertAlign w:val="baseline"/>
        </w:rPr>
        <w:t>  More pertinently, both COW-1 and COW-5 consistently testified that the Claimant’s appearance was less important than the content of her presentation, and there was no clear or direct benefit to Petrosains in how the Claimant’s hijab and/or make-up was done. What matters is the content of the Claimant’s talk during such public appearances: -</w:t>
      </w:r>
    </w:p>
    <w:p>
      <w:pPr>
        <w:keepNext w:val="0"/>
        <w:spacing w:before="0" w:after="0" w:line="300" w:lineRule="atLeast"/>
        <w:ind w:left="0" w:right="0" w:firstLine="0"/>
        <w:jc w:val="both"/>
      </w:pPr>
      <w:r>
        <w:br/>
      </w:r>
      <w:r>
        <w:pict>
          <v:shape id="_x0000_i1035" type="#_x0000_t75" style="width:333.75pt;height:252.75pt">
            <v:imagedata r:id="rId17"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1111 and 113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[134]</w:t>
      </w:r>
      <w:r>
        <w:rPr>
          <w:rFonts w:ascii="arial" w:eastAsia="arial" w:hAnsi="arial" w:cs="arial"/>
          <w:b w:val="0"/>
          <w:i w:val="0"/>
          <w:strike w:val="0"/>
          <w:noProof w:val="0"/>
          <w:color w:val="000000"/>
          <w:position w:val="0"/>
          <w:sz w:val="24"/>
          <w:u w:val="none"/>
          <w:vertAlign w:val="baseline"/>
        </w:rPr>
        <w:t xml:space="preserve">  The Claimant’s assertion during cross-examination that the expenses incurred for Lyzza D and Far Choy Yee Wen were part of a broader PR strategy is </w:t>
      </w:r>
      <w:r>
        <w:rPr>
          <w:rFonts w:ascii="arial" w:eastAsia="arial" w:hAnsi="arial" w:cs="arial"/>
          <w:b/>
          <w:i w:val="0"/>
          <w:strike w:val="0"/>
          <w:noProof w:val="0"/>
          <w:color w:val="000000"/>
          <w:position w:val="0"/>
          <w:sz w:val="24"/>
          <w:u w:val="single"/>
          <w:vertAlign w:val="baseline"/>
        </w:rPr>
        <w:t>unsubstantiated by any report,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documentation, or analysis demonstrating the benefits of these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services</w:t>
      </w:r>
      <w:r>
        <w:rPr>
          <w:rFonts w:ascii="arial" w:eastAsia="arial" w:hAnsi="arial" w:cs="arial"/>
          <w:b w:val="0"/>
          <w:i w:val="0"/>
          <w:strike w:val="0"/>
          <w:noProof w:val="0"/>
          <w:color w:val="000000"/>
          <w:position w:val="0"/>
          <w:sz w:val="24"/>
          <w:u w:val="none"/>
          <w:vertAlign w:val="baseline"/>
        </w:rPr>
        <w:t>. The Claimant failed to demonstrate how the external styling</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and make-up services enhanced Petrosains’ brand or contributed to its public relations objectives in any meaningful way, and thus falling short of the evidentiary burden under S.101 of the Evidence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[135]</w:t>
      </w:r>
      <w:r>
        <w:rPr>
          <w:rFonts w:ascii="arial" w:eastAsia="arial" w:hAnsi="arial" w:cs="arial"/>
          <w:b w:val="0"/>
          <w:i w:val="0"/>
          <w:strike w:val="0"/>
          <w:noProof w:val="0"/>
          <w:color w:val="000000"/>
          <w:position w:val="0"/>
          <w:sz w:val="24"/>
          <w:u w:val="none"/>
          <w:vertAlign w:val="baseline"/>
        </w:rPr>
        <w:t xml:space="preserve">  In light of the above, the Company submits the Claimant’s engagement of Lyzza D and Far Choy Yee Wen was unnecessary, unauthorized, and provided no demonstrable benefit to Petrosains whatsoever. The Claimant’s actions, which included misusing Company resources and failing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the best interests of the Company, constitute serious misconduct warranting her dismissal with just cause and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[136]</w:t>
      </w:r>
      <w:r>
        <w:rPr>
          <w:rFonts w:ascii="arial" w:eastAsia="arial" w:hAnsi="arial" w:cs="arial"/>
          <w:b w:val="0"/>
          <w:i w:val="0"/>
          <w:strike w:val="0"/>
          <w:noProof w:val="0"/>
          <w:color w:val="000000"/>
          <w:position w:val="0"/>
          <w:sz w:val="24"/>
          <w:u w:val="none"/>
          <w:vertAlign w:val="baseline"/>
        </w:rPr>
        <w:t>  In the circumstances, The Company’ counsel that the third allegations and fourth allegation have been established, and the Claimant breached Section 2.2, Corporate Values and Culture, Part 1 - Core Values and Culture of the Company’s Code of Conduct and Business Ethics (“</w:t>
      </w:r>
      <w:r>
        <w:rPr>
          <w:rFonts w:ascii="arial" w:eastAsia="arial" w:hAnsi="arial" w:cs="arial"/>
          <w:b/>
          <w:i w:val="0"/>
          <w:strike w:val="0"/>
          <w:noProof w:val="0"/>
          <w:color w:val="000000"/>
          <w:position w:val="0"/>
          <w:sz w:val="24"/>
          <w:u w:val="none"/>
          <w:vertAlign w:val="baseline"/>
        </w:rPr>
        <w:t>CoBE</w:t>
      </w:r>
      <w:r>
        <w:rPr>
          <w:rFonts w:ascii="arial" w:eastAsia="arial" w:hAnsi="arial" w:cs="arial"/>
          <w:b w:val="0"/>
          <w:i w:val="0"/>
          <w:strike w:val="0"/>
          <w:noProof w:val="0"/>
          <w:color w:val="000000"/>
          <w:position w:val="0"/>
          <w:sz w:val="24"/>
          <w:u w:val="none"/>
          <w:vertAlign w:val="baseline"/>
        </w:rPr>
        <w:t xml:space="preserve">”), as found on </w:t>
      </w:r>
      <w:r>
        <w:rPr>
          <w:rFonts w:ascii="arial" w:eastAsia="arial" w:hAnsi="arial" w:cs="arial"/>
          <w:b/>
          <w:i w:val="0"/>
          <w:strike w:val="0"/>
          <w:noProof w:val="0"/>
          <w:color w:val="000000"/>
          <w:position w:val="0"/>
          <w:sz w:val="24"/>
          <w:u w:val="none"/>
          <w:vertAlign w:val="baseline"/>
        </w:rPr>
        <w:t>page 149 of COB-2</w:t>
      </w:r>
      <w:r>
        <w:rPr>
          <w:rFonts w:ascii="arial" w:eastAsia="arial" w:hAnsi="arial" w:cs="arial"/>
          <w:b w:val="0"/>
          <w:i w:val="0"/>
          <w:strike w:val="0"/>
          <w:noProof w:val="0"/>
          <w:color w:val="000000"/>
          <w:position w:val="0"/>
          <w:sz w:val="24"/>
          <w:u w:val="none"/>
          <w:vertAlign w:val="baseline"/>
        </w:rPr>
        <w:t xml:space="preserve">. Additionally, the Claimant breached the generality of Section 1, Importance of Good Conduct and Discipline, Part IV— Discipline Process and Sanctions of CoBE (refer to </w:t>
      </w:r>
      <w:r>
        <w:rPr>
          <w:rFonts w:ascii="arial" w:eastAsia="arial" w:hAnsi="arial" w:cs="arial"/>
          <w:b/>
          <w:i w:val="0"/>
          <w:strike w:val="0"/>
          <w:noProof w:val="0"/>
          <w:color w:val="000000"/>
          <w:position w:val="0"/>
          <w:sz w:val="24"/>
          <w:u w:val="none"/>
          <w:vertAlign w:val="baseline"/>
        </w:rPr>
        <w:t>pages 152–155 of COB- 2</w:t>
      </w:r>
      <w:r>
        <w:rPr>
          <w:rFonts w:ascii="arial" w:eastAsia="arial" w:hAnsi="arial" w:cs="arial"/>
          <w:b w:val="0"/>
          <w:i w:val="0"/>
          <w:strike w:val="0"/>
          <w:noProof w:val="0"/>
          <w:color w:val="000000"/>
          <w:position w:val="0"/>
          <w:sz w:val="24"/>
          <w:u w:val="none"/>
          <w:vertAlign w:val="baseline"/>
        </w:rPr>
        <w:t>), as well as the express and/or implied terms of the Claimant’s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FIFTH ALLEGATION: PROHIBITING THE ADVERTISEMENT OF A VACANCY FOR THE POSITION OF DIRECTOR, STRATEGIC PLANNING &amp; SCIENCE ADVISORY</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single"/>
          <w:vertAlign w:val="baseline"/>
        </w:rPr>
        <w:t>Fifth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 xml:space="preserve">“That you Fatimah Fedora Zulkifli, (S/N;128907), in your capacity as Chief Executive Officer (CEO) Petrosains, had committed an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of misconduct, between October 2019 and January 2020, when you had abused your position by prohibiting Human Resource &amp; Administration (HRA) to advertise the vacancy for the position of Director Strategic Planning &amp; Science Advisory, in the cource of recruitment process of one, Zainal Akmal Hashim. This was despite the advertisement is required under Talent Sourcing Procedure &amp; Guideline and advised and/or recommended by HRA and by panel of interview (“5th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Your action as depicted above amounts to misconduct and is in violation of:</w:t>
      </w:r>
      <w:r>
        <w:t>
</w:t>
      </w:r>
    </w:p>
    <w:p>
      <w:pPr>
        <w:keepNext w:val="0"/>
        <w:numPr>
          <w:numId w:val="100"/>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Section 2.2, Corporate Values and Culture, Part 1 — Core Values and Culture of PETRONAS Code of Conduct and Business Ethics (CoBe) (The Code); and/or</w:t>
      </w:r>
    </w:p>
    <w:p>
      <w:pPr>
        <w:keepNext w:val="0"/>
        <w:numPr>
          <w:numId w:val="101"/>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 1, Importance of Good Conduct and Discipline, Part IV — Discipline, Disciplinary Process and Sanctions of the Code; and/or</w:t>
      </w:r>
    </w:p>
    <w:p>
      <w:pPr>
        <w:keepNext w:val="0"/>
        <w:numPr>
          <w:numId w:val="102"/>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Other express and/or implied terms of your employment.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If found guilty for the above misconduct, you may be liable for punishment under Section 2 of Part IV: Disciplinary Process and Sanctions, Country Supplement: Malaysia, the Code.”</w:t>
      </w:r>
      <w:r>
        <w:rPr>
          <w:rFonts w:ascii="arial" w:eastAsia="arial" w:hAnsi="arial" w:cs="arial"/>
          <w:b w:val="0"/>
          <w:i w:val="0"/>
          <w:strike w:val="0"/>
          <w:noProof w:val="0"/>
          <w:color w:val="000000"/>
          <w:position w:val="0"/>
          <w:sz w:val="24"/>
          <w:u w:val="none"/>
          <w:vertAlign w:val="baseline"/>
        </w:rPr>
        <w:t xml:space="preserve"> The Fifth Allegation is in respect of the Claimant’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abusing her position and/or authority whereby she had prohibited PETROSAINS’ Human Resource and Administration from advertising the vacant position for the Director Strategic Planning and Science Advisory.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[137]</w:t>
      </w:r>
      <w:r>
        <w:rPr>
          <w:rFonts w:ascii="arial" w:eastAsia="arial" w:hAnsi="arial" w:cs="arial"/>
          <w:b w:val="0"/>
          <w:i w:val="0"/>
          <w:strike w:val="0"/>
          <w:noProof w:val="0"/>
          <w:color w:val="000000"/>
          <w:position w:val="0"/>
          <w:sz w:val="24"/>
          <w:u w:val="none"/>
          <w:vertAlign w:val="baseline"/>
        </w:rPr>
        <w:t>  The Claimant had expressly instructed the Human Resources &amp; Administration (“</w:t>
      </w:r>
      <w:r>
        <w:rPr>
          <w:rFonts w:ascii="arial" w:eastAsia="arial" w:hAnsi="arial" w:cs="arial"/>
          <w:b/>
          <w:i w:val="0"/>
          <w:strike w:val="0"/>
          <w:noProof w:val="0"/>
          <w:color w:val="000000"/>
          <w:position w:val="0"/>
          <w:sz w:val="24"/>
          <w:u w:val="none"/>
          <w:vertAlign w:val="baseline"/>
        </w:rPr>
        <w:t>HRA</w:t>
      </w:r>
      <w:r>
        <w:rPr>
          <w:rFonts w:ascii="arial" w:eastAsia="arial" w:hAnsi="arial" w:cs="arial"/>
          <w:b w:val="0"/>
          <w:i w:val="0"/>
          <w:strike w:val="0"/>
          <w:noProof w:val="0"/>
          <w:color w:val="000000"/>
          <w:position w:val="0"/>
          <w:sz w:val="24"/>
          <w:u w:val="none"/>
          <w:vertAlign w:val="baseline"/>
        </w:rPr>
        <w:t>”) to not advertise the vacant positions on Jobstreet, which was PETROSAINS’ standard practice. Furthermore, the Company’s investigations revealed that the Claimant had, in fact, spoken to Zainal Akmal Hashim prior to his interview.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[138]</w:t>
      </w:r>
      <w:r>
        <w:rPr>
          <w:rFonts w:ascii="arial" w:eastAsia="arial" w:hAnsi="arial" w:cs="arial"/>
          <w:b w:val="0"/>
          <w:i w:val="0"/>
          <w:strike w:val="0"/>
          <w:noProof w:val="0"/>
          <w:color w:val="000000"/>
          <w:position w:val="0"/>
          <w:sz w:val="24"/>
          <w:u w:val="none"/>
          <w:vertAlign w:val="baseline"/>
        </w:rPr>
        <w:t>  The Company’s counsel submit that another consequence of the Claimant’s instructions to halt any advertisements was that it deprived Petrosains from reviewing other suitable candidates for the vacant position of Director Strategic Planning and Science Advisory.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[139]</w:t>
      </w:r>
      <w:r>
        <w:rPr>
          <w:rFonts w:ascii="arial" w:eastAsia="arial" w:hAnsi="arial" w:cs="arial"/>
          <w:b w:val="0"/>
          <w:i w:val="0"/>
          <w:strike w:val="0"/>
          <w:noProof w:val="0"/>
          <w:color w:val="000000"/>
          <w:position w:val="0"/>
          <w:sz w:val="24"/>
          <w:u w:val="none"/>
          <w:vertAlign w:val="baseline"/>
        </w:rPr>
        <w:t>  As such, the Company’s counsel submits that the Claimant had acted in breach of her duties when she prohibited the HRA from advertising the vacancy for the aforesaid position.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[140]</w:t>
      </w:r>
      <w:r>
        <w:rPr>
          <w:rFonts w:ascii="arial" w:eastAsia="arial" w:hAnsi="arial" w:cs="arial"/>
          <w:b w:val="0"/>
          <w:i w:val="0"/>
          <w:strike w:val="0"/>
          <w:noProof w:val="0"/>
          <w:color w:val="000000"/>
          <w:position w:val="0"/>
          <w:sz w:val="24"/>
          <w:u w:val="none"/>
          <w:vertAlign w:val="baseline"/>
        </w:rPr>
        <w:t>  However, COW-4 further testified that she was instructed by the Claimant not to advertise the vacant position of Director, Strategic Planning &amp; Science Advisory. COW-4 stated that she felt compelled to comply with the Claimant’s instructions, as she was ultimately the Claimant’s subordinate: -</w:t>
      </w:r>
    </w:p>
    <w:p>
      <w:pPr>
        <w:keepNext w:val="0"/>
        <w:spacing w:before="0" w:after="0" w:line="300" w:lineRule="atLeast"/>
        <w:ind w:left="0" w:right="0" w:firstLine="0"/>
        <w:jc w:val="both"/>
      </w:pPr>
      <w:r>
        <w:br/>
      </w:r>
      <w:r>
        <w:pict>
          <v:shape id="_x0000_i1036" type="#_x0000_t75" style="width:331.5pt;height:206.25pt">
            <v:imagedata r:id="rId18"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599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[141]</w:t>
      </w:r>
      <w:r>
        <w:rPr>
          <w:rFonts w:ascii="arial" w:eastAsia="arial" w:hAnsi="arial" w:cs="arial"/>
          <w:b w:val="0"/>
          <w:i w:val="0"/>
          <w:strike w:val="0"/>
          <w:noProof w:val="0"/>
          <w:color w:val="000000"/>
          <w:position w:val="0"/>
          <w:sz w:val="24"/>
          <w:u w:val="none"/>
          <w:vertAlign w:val="baseline"/>
        </w:rPr>
        <w:t>  COW-4 also clarified during re-examination that, although COW-4 did not need the approval of the CEO to advertise the positions of Zainal and/or Muzzafar, COW-4 nonetheless was compelled to comply with the Claimant’s instructions.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[142]</w:t>
      </w:r>
      <w:r>
        <w:rPr>
          <w:rFonts w:ascii="arial" w:eastAsia="arial" w:hAnsi="arial" w:cs="arial"/>
          <w:b w:val="0"/>
          <w:i w:val="0"/>
          <w:strike w:val="0"/>
          <w:noProof w:val="0"/>
          <w:color w:val="000000"/>
          <w:position w:val="0"/>
          <w:sz w:val="24"/>
          <w:u w:val="none"/>
          <w:vertAlign w:val="baseline"/>
        </w:rPr>
        <w:t>  Consistent with COW-4’s evidence, COW-5 has also confirmed during cross-examination that the Company did not advertise the vacant position of Director Strategic Planning &amp; Science Advisory because the Claimant did not allow COW-4 to do so: -</w:t>
      </w:r>
    </w:p>
    <w:p>
      <w:pPr>
        <w:keepNext w:val="0"/>
        <w:spacing w:before="0" w:after="0" w:line="300" w:lineRule="atLeast"/>
        <w:ind w:left="0" w:right="0" w:firstLine="0"/>
        <w:jc w:val="both"/>
      </w:pPr>
      <w:r>
        <w:br/>
      </w:r>
      <w:r>
        <w:pict>
          <v:shape id="_x0000_i1037" type="#_x0000_t75" style="width:333pt;height:108pt">
            <v:imagedata r:id="rId19"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1004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[143]</w:t>
      </w:r>
      <w:r>
        <w:rPr>
          <w:rFonts w:ascii="arial" w:eastAsia="arial" w:hAnsi="arial" w:cs="arial"/>
          <w:b w:val="0"/>
          <w:i w:val="0"/>
          <w:strike w:val="0"/>
          <w:noProof w:val="0"/>
          <w:color w:val="000000"/>
          <w:position w:val="0"/>
          <w:sz w:val="24"/>
          <w:u w:val="none"/>
          <w:vertAlign w:val="baseline"/>
        </w:rPr>
        <w:t>  As alluded to earlier, the Company’s investigations revealed that the Claimant had engaged in a ‘chitchat’ session with the eventual candidate (Zainal Akmal Hashim) for the said position of Director, Strategic Planning &amp; Science Advisory prior to his interview. Therefore, the Claimant’s action of instructing Human Resources not to advertise the said position should also be looked at collectively with the Claimant’s action of communicating with Zainal Akmal Hashim for the said position. COW-4 testified during cross-examination that the Claimant, by engaging in a chitchat session with Zainal Akmal Hashim, has compromised the transparency of the recruitment process: -</w:t>
      </w:r>
    </w:p>
    <w:p>
      <w:pPr>
        <w:keepNext w:val="0"/>
        <w:spacing w:before="0" w:after="0" w:line="300" w:lineRule="atLeast"/>
        <w:ind w:left="0" w:right="0" w:firstLine="0"/>
        <w:jc w:val="both"/>
      </w:pPr>
      <w:r>
        <w:br/>
      </w:r>
      <w:r>
        <w:pict>
          <v:shape id="_x0000_i1038" type="#_x0000_t75" style="width:333.75pt;height:251.25pt">
            <v:imagedata r:id="rId20"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Page(s) 578 – 579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[144]</w:t>
      </w:r>
      <w:r>
        <w:rPr>
          <w:rFonts w:ascii="arial" w:eastAsia="arial" w:hAnsi="arial" w:cs="arial"/>
          <w:b w:val="0"/>
          <w:i w:val="0"/>
          <w:strike w:val="0"/>
          <w:noProof w:val="0"/>
          <w:color w:val="000000"/>
          <w:position w:val="0"/>
          <w:sz w:val="24"/>
          <w:u w:val="none"/>
          <w:vertAlign w:val="baseline"/>
        </w:rPr>
        <w:t>  COW-5 further testified why such a “chitchat” between the Claimant and the candidate prior to the candidate’s interview would compromise the fairness of the interview: -</w:t>
      </w:r>
    </w:p>
    <w:p>
      <w:pPr>
        <w:keepNext w:val="0"/>
        <w:spacing w:before="0" w:after="0" w:line="300" w:lineRule="atLeast"/>
        <w:ind w:left="0" w:right="0" w:firstLine="0"/>
        <w:jc w:val="both"/>
      </w:pPr>
      <w:r>
        <w:br/>
      </w:r>
      <w:r>
        <w:pict>
          <v:shape id="_x0000_i1039" type="#_x0000_t75" style="width:332.25pt;height:152.25pt">
            <v:imagedata r:id="rId21"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1065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[145]</w:t>
      </w:r>
      <w:r>
        <w:rPr>
          <w:rFonts w:ascii="arial" w:eastAsia="arial" w:hAnsi="arial" w:cs="arial"/>
          <w:b w:val="0"/>
          <w:i w:val="0"/>
          <w:strike w:val="0"/>
          <w:noProof w:val="0"/>
          <w:color w:val="000000"/>
          <w:position w:val="0"/>
          <w:sz w:val="24"/>
          <w:u w:val="none"/>
          <w:vertAlign w:val="baseline"/>
        </w:rPr>
        <w:t>  The matter is further compounded in light of the Claimant’s admission during cross-examination that the Claimant actually approved the appointment proposal for Zainal Akmal Hashim: -</w:t>
      </w:r>
    </w:p>
    <w:p>
      <w:pPr>
        <w:keepNext w:val="0"/>
        <w:spacing w:before="0" w:after="0" w:line="300" w:lineRule="atLeast"/>
        <w:ind w:left="0" w:right="0" w:firstLine="0"/>
        <w:jc w:val="both"/>
      </w:pPr>
      <w:r>
        <w:br/>
      </w:r>
      <w:r>
        <w:pict>
          <v:shape id="_x0000_i1040" type="#_x0000_t75" style="width:337.5pt;height:77.25pt">
            <v:imagedata r:id="rId22"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 Page(s) 1535 – 1536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[146]</w:t>
      </w:r>
      <w:r>
        <w:rPr>
          <w:rFonts w:ascii="arial" w:eastAsia="arial" w:hAnsi="arial" w:cs="arial"/>
          <w:b w:val="0"/>
          <w:i w:val="0"/>
          <w:strike w:val="0"/>
          <w:noProof w:val="0"/>
          <w:color w:val="000000"/>
          <w:position w:val="0"/>
          <w:sz w:val="24"/>
          <w:u w:val="none"/>
          <w:vertAlign w:val="baseline"/>
        </w:rPr>
        <w:t xml:space="preserve">  When referred to </w:t>
      </w:r>
      <w:r>
        <w:rPr>
          <w:rFonts w:ascii="arial" w:eastAsia="arial" w:hAnsi="arial" w:cs="arial"/>
          <w:b/>
          <w:i w:val="0"/>
          <w:strike w:val="0"/>
          <w:noProof w:val="0"/>
          <w:color w:val="000000"/>
          <w:position w:val="0"/>
          <w:sz w:val="24"/>
          <w:u w:val="none"/>
          <w:vertAlign w:val="baseline"/>
        </w:rPr>
        <w:t>page 81 of COB-2</w:t>
      </w:r>
      <w:r>
        <w:rPr>
          <w:rFonts w:ascii="arial" w:eastAsia="arial" w:hAnsi="arial" w:cs="arial"/>
          <w:b w:val="0"/>
          <w:i w:val="0"/>
          <w:strike w:val="0"/>
          <w:noProof w:val="0"/>
          <w:color w:val="000000"/>
          <w:position w:val="0"/>
          <w:sz w:val="24"/>
          <w:u w:val="none"/>
          <w:vertAlign w:val="baseline"/>
        </w:rPr>
        <w:t xml:space="preserve"> (The Talent Sourcing Assessment Form for Zainal Akmal Hashim), the Claimant admitted during cross- examination that she had actually briefed the candidate on the job scope prior to his interview: -</w:t>
      </w:r>
    </w:p>
    <w:p>
      <w:pPr>
        <w:keepNext w:val="0"/>
        <w:spacing w:before="0" w:after="0" w:line="300" w:lineRule="atLeast"/>
        <w:ind w:left="0" w:right="0" w:firstLine="0"/>
        <w:jc w:val="both"/>
      </w:pPr>
      <w:r>
        <w:br/>
      </w:r>
      <w:r>
        <w:pict>
          <v:shape id="_x0000_i1041" type="#_x0000_t75" style="width:339.75pt;height:2in">
            <v:imagedata r:id="rId23"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 Page 1625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[147]</w:t>
      </w:r>
      <w:r>
        <w:rPr>
          <w:rFonts w:ascii="arial" w:eastAsia="arial" w:hAnsi="arial" w:cs="arial"/>
          <w:b w:val="0"/>
          <w:i w:val="0"/>
          <w:strike w:val="0"/>
          <w:noProof w:val="0"/>
          <w:color w:val="000000"/>
          <w:position w:val="0"/>
          <w:sz w:val="24"/>
          <w:u w:val="none"/>
          <w:vertAlign w:val="baseline"/>
        </w:rPr>
        <w:t>  In fact, at page 8 of CLB-9, namely the WhatsApp conversation between the Claimant and COW-4 where COW-4 referred to Zainal Akmal Hashim as the Claimant’s “friend”, the Claimant admitted that she did not dispute that Zainal Akmal Hashim was her friend, in her exchange with COW-4.</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[148]</w:t>
      </w:r>
      <w:r>
        <w:rPr>
          <w:rFonts w:ascii="arial" w:eastAsia="arial" w:hAnsi="arial" w:cs="arial"/>
          <w:b w:val="0"/>
          <w:i w:val="0"/>
          <w:strike w:val="0"/>
          <w:noProof w:val="0"/>
          <w:color w:val="000000"/>
          <w:position w:val="0"/>
          <w:sz w:val="24"/>
          <w:u w:val="none"/>
          <w:vertAlign w:val="baseline"/>
        </w:rPr>
        <w:t>  In light of the above, it is clear that the Claimant abused her position and authority by instructing the HRA to forgo standard recruitment practices, engaging in improper communications with Zainal Akmal Hashim regarding the position, which was not advertised, prior to the interview, and ultimately approving the appointment of her friend, Zainal Akmal Hashim. These actions not only compromised the transparency and fairness of the recruitment process but also constituted a clear breach of the Claimant’s fiduciary duties and the Company’s established policies, warranting her dismissal with just cause and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[149]</w:t>
      </w:r>
      <w:r>
        <w:rPr>
          <w:rFonts w:ascii="arial" w:eastAsia="arial" w:hAnsi="arial" w:cs="arial"/>
          <w:b w:val="0"/>
          <w:i w:val="0"/>
          <w:strike w:val="0"/>
          <w:noProof w:val="0"/>
          <w:color w:val="000000"/>
          <w:position w:val="0"/>
          <w:sz w:val="24"/>
          <w:u w:val="none"/>
          <w:vertAlign w:val="baseline"/>
        </w:rPr>
        <w:t>  In the circumstances, we submit that allegation 5 has clearly been established, and the Claimant breached Section 2.2, Corporate Values and Culture, Part 1 - Core Values and Culture of the Company’s Code of Conduct and Business Ethics (“</w:t>
      </w:r>
      <w:r>
        <w:rPr>
          <w:rFonts w:ascii="arial" w:eastAsia="arial" w:hAnsi="arial" w:cs="arial"/>
          <w:b/>
          <w:i w:val="0"/>
          <w:strike w:val="0"/>
          <w:noProof w:val="0"/>
          <w:color w:val="000000"/>
          <w:position w:val="0"/>
          <w:sz w:val="24"/>
          <w:u w:val="none"/>
          <w:vertAlign w:val="baseline"/>
        </w:rPr>
        <w:t>CoBE</w:t>
      </w:r>
      <w:r>
        <w:rPr>
          <w:rFonts w:ascii="arial" w:eastAsia="arial" w:hAnsi="arial" w:cs="arial"/>
          <w:b w:val="0"/>
          <w:i w:val="0"/>
          <w:strike w:val="0"/>
          <w:noProof w:val="0"/>
          <w:color w:val="000000"/>
          <w:position w:val="0"/>
          <w:sz w:val="24"/>
          <w:u w:val="none"/>
          <w:vertAlign w:val="baseline"/>
        </w:rPr>
        <w:t xml:space="preserve">”), as found on </w:t>
      </w:r>
      <w:r>
        <w:rPr>
          <w:rFonts w:ascii="arial" w:eastAsia="arial" w:hAnsi="arial" w:cs="arial"/>
          <w:b/>
          <w:i w:val="0"/>
          <w:strike w:val="0"/>
          <w:noProof w:val="0"/>
          <w:color w:val="000000"/>
          <w:position w:val="0"/>
          <w:sz w:val="24"/>
          <w:u w:val="none"/>
          <w:vertAlign w:val="baseline"/>
        </w:rPr>
        <w:t>page 149 of COB-2</w:t>
      </w:r>
      <w:r>
        <w:rPr>
          <w:rFonts w:ascii="arial" w:eastAsia="arial" w:hAnsi="arial" w:cs="arial"/>
          <w:b w:val="0"/>
          <w:i w:val="0"/>
          <w:strike w:val="0"/>
          <w:noProof w:val="0"/>
          <w:color w:val="000000"/>
          <w:position w:val="0"/>
          <w:sz w:val="24"/>
          <w:u w:val="none"/>
          <w:vertAlign w:val="baseline"/>
        </w:rPr>
        <w:t xml:space="preserve">. Additionally, the Claimant breached the generality of Section 1, Importance of Good Conduct and Discipline, Part IV - Discipline Process and Sanctions of CoBE (refer to </w:t>
      </w:r>
      <w:r>
        <w:rPr>
          <w:rFonts w:ascii="arial" w:eastAsia="arial" w:hAnsi="arial" w:cs="arial"/>
          <w:b/>
          <w:i w:val="0"/>
          <w:strike w:val="0"/>
          <w:noProof w:val="0"/>
          <w:color w:val="000000"/>
          <w:position w:val="0"/>
          <w:sz w:val="24"/>
          <w:u w:val="none"/>
          <w:vertAlign w:val="baseline"/>
        </w:rPr>
        <w:t>pages 152–155 of COB- 2</w:t>
      </w:r>
      <w:r>
        <w:rPr>
          <w:rFonts w:ascii="arial" w:eastAsia="arial" w:hAnsi="arial" w:cs="arial"/>
          <w:b w:val="0"/>
          <w:i w:val="0"/>
          <w:strike w:val="0"/>
          <w:noProof w:val="0"/>
          <w:color w:val="000000"/>
          <w:position w:val="0"/>
          <w:sz w:val="24"/>
          <w:u w:val="none"/>
          <w:vertAlign w:val="baseline"/>
        </w:rPr>
        <w:t>), as well as the express and/or implied terms of the Claimant’s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SIXTH ALLEGATION : APPROVING THE APPOINTMENT OF ZAINAL AKMAL HASHIM DESPITE NON-APPROVAL FROM THE MAJORITY OF THE INTERVIEW PANEL</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single"/>
          <w:vertAlign w:val="baseline"/>
        </w:rPr>
        <w:t>Sixth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 xml:space="preserve">“That you Fatimah Fedora Zulkifli, (S/N: 128907), in your capacity as Chief Executive Officer (CEQ) Petrosains, had committed an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of misconduct when you had exerted your influence and thereafter approved the appointment proposal dated 4 February 2020 for one, Zainal Akmal Hashim as the Director, Strategic Planning &amp; Science Advisory, despite not recommended by the majority of the interview panels during the stage 2 of the interview (“6th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Your action as depicted above amounts to misconduct and is in violation of:</w:t>
      </w:r>
      <w:r>
        <w:t>
</w:t>
      </w:r>
    </w:p>
    <w:p>
      <w:pPr>
        <w:keepNext w:val="0"/>
        <w:numPr>
          <w:numId w:val="103"/>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Section 2.2, Corporate Values and Culture, Part 1 — Core Values and Culture of PETRONAS Code of Conduct and Business Ethics (CoBE)(the Code); and/or</w:t>
      </w:r>
    </w:p>
    <w:p>
      <w:pPr>
        <w:keepNext w:val="0"/>
        <w:numPr>
          <w:numId w:val="104"/>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 1, Importance of Good Conduct and Discipline, Part IV — Discipline, Disciplinary Process and Sanctions of the Code; and/or</w:t>
      </w:r>
    </w:p>
    <w:p>
      <w:pPr>
        <w:keepNext w:val="0"/>
        <w:numPr>
          <w:numId w:val="105"/>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Other express and/or implied terms of your employment.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If found guilty for the above misconduct, you may be liable for punishment under Section 2 of Part IV: Disciplinary Process and Sanctions, Country Supplement: Malaysia, the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[150]</w:t>
      </w:r>
      <w:r>
        <w:rPr>
          <w:rFonts w:ascii="arial" w:eastAsia="arial" w:hAnsi="arial" w:cs="arial"/>
          <w:b w:val="0"/>
          <w:i w:val="0"/>
          <w:strike w:val="0"/>
          <w:noProof w:val="0"/>
          <w:color w:val="000000"/>
          <w:position w:val="0"/>
          <w:sz w:val="24"/>
          <w:u w:val="none"/>
          <w:vertAlign w:val="baseline"/>
        </w:rPr>
        <w:t xml:space="preserve">  Sixth Allegation is in respect of the Claimant’s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exerting her influence to approve the appointment of the proposal to employ Zainal Akmal Hashim (“</w:t>
      </w:r>
      <w:r>
        <w:rPr>
          <w:rFonts w:ascii="arial" w:eastAsia="arial" w:hAnsi="arial" w:cs="arial"/>
          <w:b/>
          <w:i w:val="0"/>
          <w:strike w:val="0"/>
          <w:noProof w:val="0"/>
          <w:color w:val="000000"/>
          <w:position w:val="0"/>
          <w:sz w:val="24"/>
          <w:u w:val="none"/>
          <w:vertAlign w:val="baseline"/>
        </w:rPr>
        <w:t>Zainal</w:t>
      </w:r>
      <w:r>
        <w:rPr>
          <w:rFonts w:ascii="arial" w:eastAsia="arial" w:hAnsi="arial" w:cs="arial"/>
          <w:b w:val="0"/>
          <w:i w:val="0"/>
          <w:strike w:val="0"/>
          <w:noProof w:val="0"/>
          <w:color w:val="000000"/>
          <w:position w:val="0"/>
          <w:sz w:val="24"/>
          <w:u w:val="none"/>
          <w:vertAlign w:val="baseline"/>
        </w:rPr>
        <w:t>”) as the Director, Strategic Planning &amp; Science Advisory.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[151]</w:t>
      </w:r>
      <w:r>
        <w:rPr>
          <w:rFonts w:ascii="arial" w:eastAsia="arial" w:hAnsi="arial" w:cs="arial"/>
          <w:b w:val="0"/>
          <w:i w:val="0"/>
          <w:strike w:val="0"/>
          <w:noProof w:val="0"/>
          <w:color w:val="000000"/>
          <w:position w:val="0"/>
          <w:sz w:val="24"/>
          <w:u w:val="none"/>
          <w:vertAlign w:val="baseline"/>
        </w:rPr>
        <w:t>  The Company’s recruitment process requires both Zainal and Mohd Muzaffar (whom which we will deal with pertaining to allegation 7 in the ensuing paragraphs) to undergo two stages of interviews, during which their qualifications and suitability for the role are assessed. Progression to the second stage is contingent upon a satisfactory recommendation by the interview panel in the first stage.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[152]</w:t>
      </w:r>
      <w:r>
        <w:rPr>
          <w:rFonts w:ascii="arial" w:eastAsia="arial" w:hAnsi="arial" w:cs="arial"/>
          <w:b w:val="0"/>
          <w:i w:val="0"/>
          <w:strike w:val="0"/>
          <w:noProof w:val="0"/>
          <w:color w:val="000000"/>
          <w:position w:val="0"/>
          <w:sz w:val="24"/>
          <w:u w:val="none"/>
          <w:vertAlign w:val="baseline"/>
        </w:rPr>
        <w:t>  In this regard, the Company submits that there are two stages of interviews for Zainal. During the second interview, it was disclosed by Zainal that the Claimant had in fact spoken to him and had briefed him on the job scope prior to the interview.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[153]</w:t>
      </w:r>
      <w:r>
        <w:rPr>
          <w:rFonts w:ascii="arial" w:eastAsia="arial" w:hAnsi="arial" w:cs="arial"/>
          <w:b w:val="0"/>
          <w:i w:val="0"/>
          <w:strike w:val="0"/>
          <w:noProof w:val="0"/>
          <w:color w:val="000000"/>
          <w:position w:val="0"/>
          <w:sz w:val="24"/>
          <w:u w:val="none"/>
          <w:vertAlign w:val="baseline"/>
        </w:rPr>
        <w:t xml:space="preserve">  Two of the three interviewers for the second interview for Zainal had in fact placed a remark to “Keep in View” or “KIV” Zainal and proposed to source for other candidates instead of ticking the “Recommended” column on the Company’s Talent Sourcing Assessment Forms in relation to the second interview. The said forms can be found at </w:t>
      </w:r>
      <w:r>
        <w:rPr>
          <w:rFonts w:ascii="arial" w:eastAsia="arial" w:hAnsi="arial" w:cs="arial"/>
          <w:b/>
          <w:i w:val="0"/>
          <w:strike w:val="0"/>
          <w:noProof w:val="0"/>
          <w:color w:val="000000"/>
          <w:position w:val="0"/>
          <w:sz w:val="24"/>
          <w:u w:val="none"/>
          <w:vertAlign w:val="baseline"/>
        </w:rPr>
        <w:t>pages 81 – 83 of COB-2</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[154]</w:t>
      </w:r>
      <w:r>
        <w:rPr>
          <w:rFonts w:ascii="arial" w:eastAsia="arial" w:hAnsi="arial" w:cs="arial"/>
          <w:b w:val="0"/>
          <w:i w:val="0"/>
          <w:strike w:val="0"/>
          <w:noProof w:val="0"/>
          <w:color w:val="000000"/>
          <w:position w:val="0"/>
          <w:sz w:val="24"/>
          <w:u w:val="none"/>
          <w:vertAlign w:val="baseline"/>
        </w:rPr>
        <w:t>  Notwithstanding the KIV remarks from the second interview, the Claimant had nevertheless proceeded to approve the proposal form to engage Zainal. The Claimant’s action of approving the appointment of Zainal contradicted the recommendation of the panel from the second interview.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[155]</w:t>
      </w:r>
      <w:r>
        <w:rPr>
          <w:rFonts w:ascii="arial" w:eastAsia="arial" w:hAnsi="arial" w:cs="arial"/>
          <w:b w:val="0"/>
          <w:i w:val="0"/>
          <w:strike w:val="0"/>
          <w:noProof w:val="0"/>
          <w:color w:val="000000"/>
          <w:position w:val="0"/>
          <w:sz w:val="24"/>
          <w:u w:val="none"/>
          <w:vertAlign w:val="baseline"/>
        </w:rPr>
        <w:t>  Furthermore, the Claimant failed to provide any justification for departing from and/or going against the decision of the panel. In this regard, the Company submits that the Claimant’s Limits of Authority as the CEO of PETROSAINS do not entitle her to exercise external influence in respect of the recruitment process, which ought to be exercised transparently and independently. As such, the Claimant had committed misconduct and acted in a potential conflict of interest.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[156]</w:t>
      </w:r>
      <w:r>
        <w:rPr>
          <w:rFonts w:ascii="arial" w:eastAsia="arial" w:hAnsi="arial" w:cs="arial"/>
          <w:b w:val="0"/>
          <w:i w:val="0"/>
          <w:strike w:val="0"/>
          <w:noProof w:val="0"/>
          <w:color w:val="000000"/>
          <w:position w:val="0"/>
          <w:sz w:val="24"/>
          <w:u w:val="none"/>
          <w:vertAlign w:val="baseline"/>
        </w:rPr>
        <w:t>  In light of the above evidence, it is clear that the Claimant abused her authority by improperly influencing the recruitment process, including pressuring subordinates to alter assessment forms, approving the appointment of her friend despite objections from the majority of the interview panel, and bypassing the transparency and fairness required in recruitment.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[157]</w:t>
      </w:r>
      <w:r>
        <w:rPr>
          <w:rFonts w:ascii="arial" w:eastAsia="arial" w:hAnsi="arial" w:cs="arial"/>
          <w:b w:val="0"/>
          <w:i w:val="0"/>
          <w:strike w:val="0"/>
          <w:noProof w:val="0"/>
          <w:color w:val="000000"/>
          <w:position w:val="0"/>
          <w:sz w:val="24"/>
          <w:u w:val="none"/>
          <w:vertAlign w:val="baseline"/>
        </w:rPr>
        <w:t>  In the circumstances, we submit that allegation 6 has been clearly established, and the Claimant breached Section 2.2, Corporate Values and Culture, Part 1 - Core Values and Culture of the Company’s Code of Conduct and Business Ethics (“</w:t>
      </w:r>
      <w:r>
        <w:rPr>
          <w:rFonts w:ascii="arial" w:eastAsia="arial" w:hAnsi="arial" w:cs="arial"/>
          <w:b/>
          <w:i w:val="0"/>
          <w:strike w:val="0"/>
          <w:noProof w:val="0"/>
          <w:color w:val="000000"/>
          <w:position w:val="0"/>
          <w:sz w:val="24"/>
          <w:u w:val="none"/>
          <w:vertAlign w:val="baseline"/>
        </w:rPr>
        <w:t>CoBE</w:t>
      </w:r>
      <w:r>
        <w:rPr>
          <w:rFonts w:ascii="arial" w:eastAsia="arial" w:hAnsi="arial" w:cs="arial"/>
          <w:b w:val="0"/>
          <w:i w:val="0"/>
          <w:strike w:val="0"/>
          <w:noProof w:val="0"/>
          <w:color w:val="000000"/>
          <w:position w:val="0"/>
          <w:sz w:val="24"/>
          <w:u w:val="none"/>
          <w:vertAlign w:val="baseline"/>
        </w:rPr>
        <w:t xml:space="preserve">”), as found on </w:t>
      </w:r>
      <w:r>
        <w:rPr>
          <w:rFonts w:ascii="arial" w:eastAsia="arial" w:hAnsi="arial" w:cs="arial"/>
          <w:b/>
          <w:i w:val="0"/>
          <w:strike w:val="0"/>
          <w:noProof w:val="0"/>
          <w:color w:val="000000"/>
          <w:position w:val="0"/>
          <w:sz w:val="24"/>
          <w:u w:val="none"/>
          <w:vertAlign w:val="baseline"/>
        </w:rPr>
        <w:t>page 149 of COB-2</w:t>
      </w:r>
      <w:r>
        <w:rPr>
          <w:rFonts w:ascii="arial" w:eastAsia="arial" w:hAnsi="arial" w:cs="arial"/>
          <w:b w:val="0"/>
          <w:i w:val="0"/>
          <w:strike w:val="0"/>
          <w:noProof w:val="0"/>
          <w:color w:val="000000"/>
          <w:position w:val="0"/>
          <w:sz w:val="24"/>
          <w:u w:val="none"/>
          <w:vertAlign w:val="baseline"/>
        </w:rPr>
        <w:t xml:space="preserve">. Additionally, the Claimant breached the generality of Section 1, Importance of Good Conduct and Discipline, Part IV - Discipline Process and Sanctions of CoBE (refer to </w:t>
      </w:r>
      <w:r>
        <w:rPr>
          <w:rFonts w:ascii="arial" w:eastAsia="arial" w:hAnsi="arial" w:cs="arial"/>
          <w:b/>
          <w:i w:val="0"/>
          <w:strike w:val="0"/>
          <w:noProof w:val="0"/>
          <w:color w:val="000000"/>
          <w:position w:val="0"/>
          <w:sz w:val="24"/>
          <w:u w:val="none"/>
          <w:vertAlign w:val="baseline"/>
        </w:rPr>
        <w:t>pages 152–155 of COB- 2</w:t>
      </w:r>
      <w:r>
        <w:rPr>
          <w:rFonts w:ascii="arial" w:eastAsia="arial" w:hAnsi="arial" w:cs="arial"/>
          <w:b w:val="0"/>
          <w:i w:val="0"/>
          <w:strike w:val="0"/>
          <w:noProof w:val="0"/>
          <w:color w:val="000000"/>
          <w:position w:val="0"/>
          <w:sz w:val="24"/>
          <w:u w:val="none"/>
          <w:vertAlign w:val="baseline"/>
        </w:rPr>
        <w:t>), as well as the express and/or implied terms of the Claimant’s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single"/>
          <w:vertAlign w:val="baseline"/>
        </w:rPr>
        <w:t>SEVENTH ALLEGATION : APPROVAL OF MOHD MUZAFFAR MD AJAT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single"/>
          <w:vertAlign w:val="baseline"/>
        </w:rPr>
        <w:t>Seventh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 xml:space="preserve">“That you Fatimah Fedora Zulkifli, (S/N:128907), in your capacity of Chief Executive Officer (CEO) Petrosains, had committed an </w:t>
      </w:r>
      <w:r>
        <w:rPr>
          <w:rFonts w:ascii="arial" w:eastAsia="arial" w:hAnsi="arial" w:cs="arial"/>
          <w:b/>
          <w:i/>
          <w:strike w:val="0"/>
          <w:noProof w:val="0"/>
          <w:color w:val="000000"/>
          <w:position w:val="0"/>
          <w:sz w:val="24"/>
          <w:u w:val="single"/>
          <w:vertAlign w:val="baseline"/>
        </w:rPr>
        <w:t>act</w:t>
      </w:r>
      <w:r>
        <w:rPr>
          <w:rFonts w:ascii="arial" w:eastAsia="arial" w:hAnsi="arial" w:cs="arial"/>
          <w:b/>
          <w:i/>
          <w:strike w:val="0"/>
          <w:noProof w:val="0"/>
          <w:color w:val="000000"/>
          <w:position w:val="0"/>
          <w:sz w:val="24"/>
          <w:u w:val="none"/>
          <w:vertAlign w:val="baseline"/>
        </w:rPr>
        <w:t xml:space="preserve"> of misconduct when you had exerted your influence and thereafter approved the appointment proposal dated 4 February 2020 for one, Mohd Muzaffar Md Ajat for the position as the Head Program Strategic &amp; Monitoring (“7th Allegation”).</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The above was despite the fact that the candidate had previously reported directly to you, during your tenure with Project Delivery &amp; Technology, PETRONAS.</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Your action as depicted above amounts to misconduct and is in violation of:</w:t>
      </w:r>
      <w:r>
        <w:t>
</w:t>
      </w:r>
    </w:p>
    <w:p>
      <w:pPr>
        <w:keepNext w:val="0"/>
        <w:numPr>
          <w:numId w:val="106"/>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Section 2.2, Corporate Values and Culture, Part 1 — Core Values and Culture of PETRONAS Code of Conduct and Business Ethics (CoBE)(the Code); and/or</w:t>
      </w:r>
    </w:p>
    <w:p>
      <w:pPr>
        <w:keepNext w:val="0"/>
        <w:numPr>
          <w:numId w:val="107"/>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Section1, Duty Regarding Avoidance of Conflict of Interest, Part Il -Duries of Good Faith, Fidelity,</w:t>
      </w:r>
    </w:p>
    <w:p>
      <w:pPr>
        <w:keepNext w:val="0"/>
        <w:numPr>
          <w:numId w:val="108"/>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Diligence and integrity of the Code; and/or</w:t>
      </w:r>
    </w:p>
    <w:p>
      <w:pPr>
        <w:keepNext w:val="0"/>
        <w:numPr>
          <w:numId w:val="109"/>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The generality of Section 1, Importance of Good Conduct and Discipline, Part IV — Discipline, Disciplinary, Process and Sanctions of the Code; and/or</w:t>
      </w:r>
    </w:p>
    <w:p>
      <w:pPr>
        <w:keepNext w:val="0"/>
        <w:numPr>
          <w:numId w:val="110"/>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Other express and/or implied terms of your employment.</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If found guilty for the above misconduct, you may be liable for punishment under Section 2 of Part IV: Disciplinary Process and Sanctions, Country Supplement: Malaysia, CoBE.”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[158]</w:t>
      </w:r>
      <w:r>
        <w:rPr>
          <w:rFonts w:ascii="arial" w:eastAsia="arial" w:hAnsi="arial" w:cs="arial"/>
          <w:b w:val="0"/>
          <w:i w:val="0"/>
          <w:strike w:val="0"/>
          <w:noProof w:val="0"/>
          <w:color w:val="000000"/>
          <w:position w:val="0"/>
          <w:sz w:val="24"/>
          <w:u w:val="none"/>
          <w:vertAlign w:val="baseline"/>
        </w:rPr>
        <w:t>  Allegation 7 against the Claimant is in respect of her misconduct of exerting influence and approving the appointment proposal of Mohd Muzaffar Md Ajat (“</w:t>
      </w:r>
      <w:r>
        <w:rPr>
          <w:rFonts w:ascii="arial" w:eastAsia="arial" w:hAnsi="arial" w:cs="arial"/>
          <w:b/>
          <w:i w:val="0"/>
          <w:strike w:val="0"/>
          <w:noProof w:val="0"/>
          <w:color w:val="000000"/>
          <w:position w:val="0"/>
          <w:sz w:val="24"/>
          <w:u w:val="none"/>
          <w:vertAlign w:val="baseline"/>
        </w:rPr>
        <w:t>Muzaffar</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[159]</w:t>
      </w:r>
      <w:r>
        <w:rPr>
          <w:rFonts w:ascii="arial" w:eastAsia="arial" w:hAnsi="arial" w:cs="arial"/>
          <w:b w:val="0"/>
          <w:i w:val="0"/>
          <w:strike w:val="0"/>
          <w:noProof w:val="0"/>
          <w:color w:val="000000"/>
          <w:position w:val="0"/>
          <w:sz w:val="24"/>
          <w:u w:val="none"/>
          <w:vertAlign w:val="baseline"/>
        </w:rPr>
        <w:t xml:space="preserve">  COW-5 testified during cross-examination about the chitchat sessions between the Claimant and Muzaffar (along with Zainal), referring to the WhatsApp conversation between the Claimant and COW-4 at </w:t>
      </w:r>
      <w:r>
        <w:rPr>
          <w:rFonts w:ascii="arial" w:eastAsia="arial" w:hAnsi="arial" w:cs="arial"/>
          <w:b/>
          <w:i w:val="0"/>
          <w:strike w:val="0"/>
          <w:noProof w:val="0"/>
          <w:color w:val="000000"/>
          <w:position w:val="0"/>
          <w:sz w:val="24"/>
          <w:u w:val="none"/>
          <w:vertAlign w:val="baseline"/>
        </w:rPr>
        <w:t>page 174 of COB-2</w:t>
      </w:r>
      <w:r>
        <w:rPr>
          <w:rFonts w:ascii="arial" w:eastAsia="arial" w:hAnsi="arial" w:cs="arial"/>
          <w:b w:val="0"/>
          <w:i w:val="0"/>
          <w:strike w:val="0"/>
          <w:noProof w:val="0"/>
          <w:color w:val="000000"/>
          <w:position w:val="0"/>
          <w:sz w:val="24"/>
          <w:u w:val="none"/>
          <w:vertAlign w:val="baseline"/>
        </w:rPr>
        <w:t>, which indicated that a career opportunity and the candidacy of Zainal and Muzaffar at Petrosains were discussed: -</w:t>
      </w:r>
    </w:p>
    <w:p>
      <w:pPr>
        <w:keepNext w:val="0"/>
        <w:spacing w:before="0" w:after="0" w:line="300" w:lineRule="atLeast"/>
        <w:ind w:left="0" w:right="0" w:firstLine="0"/>
        <w:jc w:val="both"/>
      </w:pPr>
      <w:r>
        <w:br/>
      </w:r>
      <w:r>
        <w:pict>
          <v:shape id="_x0000_i1042" type="#_x0000_t75" style="width:340.5pt;height:270pt">
            <v:imagedata r:id="rId24"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Page(s) 1067 – 1068 of the Agreed Notes of 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[160]</w:t>
      </w:r>
      <w:r>
        <w:rPr>
          <w:rFonts w:ascii="arial" w:eastAsia="arial" w:hAnsi="arial" w:cs="arial"/>
          <w:b w:val="0"/>
          <w:i w:val="0"/>
          <w:strike w:val="0"/>
          <w:noProof w:val="0"/>
          <w:color w:val="000000"/>
          <w:position w:val="0"/>
          <w:sz w:val="24"/>
          <w:u w:val="none"/>
          <w:vertAlign w:val="baseline"/>
        </w:rPr>
        <w:t>  One of the interviewers for the first interview, Encik Kamaruddin bin Kassim (</w:t>
      </w:r>
      <w:r>
        <w:rPr>
          <w:rFonts w:ascii="arial" w:eastAsia="arial" w:hAnsi="arial" w:cs="arial"/>
          <w:b/>
          <w:i w:val="0"/>
          <w:strike w:val="0"/>
          <w:noProof w:val="0"/>
          <w:color w:val="000000"/>
          <w:position w:val="0"/>
          <w:sz w:val="24"/>
          <w:u w:val="none"/>
          <w:vertAlign w:val="baseline"/>
        </w:rPr>
        <w:t>COW-3</w:t>
      </w:r>
      <w:r>
        <w:rPr>
          <w:rFonts w:ascii="arial" w:eastAsia="arial" w:hAnsi="arial" w:cs="arial"/>
          <w:b w:val="0"/>
          <w:i w:val="0"/>
          <w:strike w:val="0"/>
          <w:noProof w:val="0"/>
          <w:color w:val="000000"/>
          <w:position w:val="0"/>
          <w:sz w:val="24"/>
          <w:u w:val="none"/>
          <w:vertAlign w:val="baseline"/>
        </w:rPr>
        <w:t>), had initially refused to sign the Talent Sourcing Assessment Form for Muzaffar, as COW-3 was of the view that the PETROSAINS ought to source for more candidates before deciding on Muzzafar.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[161]</w:t>
      </w:r>
      <w:r>
        <w:rPr>
          <w:rFonts w:ascii="arial" w:eastAsia="arial" w:hAnsi="arial" w:cs="arial"/>
          <w:b w:val="0"/>
          <w:i w:val="0"/>
          <w:strike w:val="0"/>
          <w:noProof w:val="0"/>
          <w:color w:val="000000"/>
          <w:position w:val="0"/>
          <w:sz w:val="24"/>
          <w:u w:val="none"/>
          <w:vertAlign w:val="baseline"/>
        </w:rPr>
        <w:t xml:space="preserve">  However, the Claimant proceeded to call COW-3 and insisted that he sign the Talent Sourcing Assessment Form appearing at </w:t>
      </w:r>
      <w:r>
        <w:rPr>
          <w:rFonts w:ascii="arial" w:eastAsia="arial" w:hAnsi="arial" w:cs="arial"/>
          <w:b/>
          <w:i w:val="0"/>
          <w:strike w:val="0"/>
          <w:noProof w:val="0"/>
          <w:color w:val="000000"/>
          <w:position w:val="0"/>
          <w:sz w:val="24"/>
          <w:u w:val="none"/>
          <w:vertAlign w:val="baseline"/>
        </w:rPr>
        <w:t>page 70 of COB-2</w:t>
      </w:r>
      <w:r>
        <w:rPr>
          <w:rFonts w:ascii="arial" w:eastAsia="arial" w:hAnsi="arial" w:cs="arial"/>
          <w:b w:val="0"/>
          <w:i w:val="0"/>
          <w:strike w:val="0"/>
          <w:noProof w:val="0"/>
          <w:color w:val="000000"/>
          <w:position w:val="0"/>
          <w:sz w:val="24"/>
          <w:u w:val="none"/>
          <w:vertAlign w:val="baseline"/>
        </w:rPr>
        <w:t xml:space="preserve">. The remainder of the forms for Muzzafar can be found from </w:t>
      </w:r>
      <w:r>
        <w:rPr>
          <w:rFonts w:ascii="arial" w:eastAsia="arial" w:hAnsi="arial" w:cs="arial"/>
          <w:b/>
          <w:i w:val="0"/>
          <w:strike w:val="0"/>
          <w:noProof w:val="0"/>
          <w:color w:val="000000"/>
          <w:position w:val="0"/>
          <w:sz w:val="24"/>
          <w:u w:val="none"/>
          <w:vertAlign w:val="baseline"/>
        </w:rPr>
        <w:t>pages 70 – 76 of COB-2</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[162]</w:t>
      </w:r>
      <w:r>
        <w:rPr>
          <w:rFonts w:ascii="arial" w:eastAsia="arial" w:hAnsi="arial" w:cs="arial"/>
          <w:b w:val="0"/>
          <w:i w:val="0"/>
          <w:strike w:val="0"/>
          <w:noProof w:val="0"/>
          <w:color w:val="000000"/>
          <w:position w:val="0"/>
          <w:sz w:val="24"/>
          <w:u w:val="none"/>
          <w:vertAlign w:val="baseline"/>
        </w:rPr>
        <w:t xml:space="preserve">  It is clear upon a perusal of the Talent Sourcing Assessment Forms for Muzzafar for the second interview at </w:t>
      </w:r>
      <w:r>
        <w:rPr>
          <w:rFonts w:ascii="arial" w:eastAsia="arial" w:hAnsi="arial" w:cs="arial"/>
          <w:b/>
          <w:i w:val="0"/>
          <w:strike w:val="0"/>
          <w:noProof w:val="0"/>
          <w:color w:val="000000"/>
          <w:position w:val="0"/>
          <w:sz w:val="24"/>
          <w:u w:val="none"/>
          <w:vertAlign w:val="baseline"/>
        </w:rPr>
        <w:t>pages 74 – 76 of COB-2</w:t>
      </w:r>
      <w:r>
        <w:rPr>
          <w:rFonts w:ascii="arial" w:eastAsia="arial" w:hAnsi="arial" w:cs="arial"/>
          <w:b w:val="0"/>
          <w:i w:val="0"/>
          <w:strike w:val="0"/>
          <w:noProof w:val="0"/>
          <w:color w:val="000000"/>
          <w:position w:val="0"/>
          <w:sz w:val="24"/>
          <w:u w:val="none"/>
          <w:vertAlign w:val="baseline"/>
        </w:rPr>
        <w:t xml:space="preserve"> that the majority of the interviewers for Muzzafar’s second interview had remarked “KIV” for Muzzafar’s candidacy. Notwithstanding this, the Claimant had nevertheless approved the recruitment proposal dated 4.2.2020 (</w:t>
      </w:r>
      <w:r>
        <w:rPr>
          <w:rFonts w:ascii="arial" w:eastAsia="arial" w:hAnsi="arial" w:cs="arial"/>
          <w:b/>
          <w:i w:val="0"/>
          <w:strike w:val="0"/>
          <w:noProof w:val="0"/>
          <w:color w:val="000000"/>
          <w:position w:val="0"/>
          <w:sz w:val="24"/>
          <w:u w:val="none"/>
          <w:vertAlign w:val="baseline"/>
        </w:rPr>
        <w:t xml:space="preserve">at pages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 xml:space="preserve"> of COB-2</w:t>
      </w:r>
      <w:r>
        <w:rPr>
          <w:rFonts w:ascii="arial" w:eastAsia="arial" w:hAnsi="arial" w:cs="arial"/>
          <w:b w:val="0"/>
          <w:i w:val="0"/>
          <w:strike w:val="0"/>
          <w:noProof w:val="0"/>
          <w:color w:val="000000"/>
          <w:position w:val="0"/>
          <w:sz w:val="24"/>
          <w:u w:val="none"/>
          <w:vertAlign w:val="baseline"/>
        </w:rPr>
        <w:t xml:space="preserve">) for Muzaffar, which formed part of the 7th allegation against the Claimant. The Claimant’s signature is apparent at the bottom of page </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 xml:space="preserve"> of COB-2</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[163]</w:t>
      </w:r>
      <w:r>
        <w:rPr>
          <w:rFonts w:ascii="arial" w:eastAsia="arial" w:hAnsi="arial" w:cs="arial"/>
          <w:b w:val="0"/>
          <w:i w:val="0"/>
          <w:strike w:val="0"/>
          <w:noProof w:val="0"/>
          <w:color w:val="000000"/>
          <w:position w:val="0"/>
          <w:sz w:val="24"/>
          <w:u w:val="none"/>
          <w:vertAlign w:val="baseline"/>
        </w:rPr>
        <w:t>  As such, based on the above sequence of events, we submit that the Claimant exerted her influence in the recruitment process as the CEO.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[164]</w:t>
      </w:r>
      <w:r>
        <w:rPr>
          <w:rFonts w:ascii="arial" w:eastAsia="arial" w:hAnsi="arial" w:cs="arial"/>
          <w:b w:val="0"/>
          <w:i w:val="0"/>
          <w:strike w:val="0"/>
          <w:noProof w:val="0"/>
          <w:color w:val="000000"/>
          <w:position w:val="0"/>
          <w:sz w:val="24"/>
          <w:u w:val="none"/>
          <w:vertAlign w:val="baseline"/>
        </w:rPr>
        <w:t>  The Company further submits that regardless of the Claimant’s Limits of Authority, it was necessary and incumbent upon the Claimant to enable the recruitment process to proceed in its natural course as opposed to interfering with the same. The Claimant’s conduct was therefore in breach of her express and/or implied duties.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[165]</w:t>
      </w:r>
      <w:r>
        <w:rPr>
          <w:rFonts w:ascii="arial" w:eastAsia="arial" w:hAnsi="arial" w:cs="arial"/>
          <w:b w:val="0"/>
          <w:i w:val="0"/>
          <w:strike w:val="0"/>
          <w:noProof w:val="0"/>
          <w:color w:val="000000"/>
          <w:position w:val="0"/>
          <w:sz w:val="24"/>
          <w:u w:val="none"/>
          <w:vertAlign w:val="baseline"/>
        </w:rPr>
        <w:t xml:space="preserve">  Whether the said candidates had eventually joined PETROSAINS does not derogate the Claimant’s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interfering or exerting her influence in the recruitment process.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[166]</w:t>
      </w:r>
      <w:r>
        <w:rPr>
          <w:rFonts w:ascii="arial" w:eastAsia="arial" w:hAnsi="arial" w:cs="arial"/>
          <w:b w:val="0"/>
          <w:i w:val="0"/>
          <w:strike w:val="0"/>
          <w:noProof w:val="0"/>
          <w:color w:val="000000"/>
          <w:position w:val="0"/>
          <w:sz w:val="24"/>
          <w:u w:val="none"/>
          <w:vertAlign w:val="baseline"/>
        </w:rPr>
        <w:t>  As submitted above, COW-3 testified that he was compelled by the Claimant to sign the talent assessment forms at pages 70 and 78 of COB- 2 and was pressured to tick the “recommended” column to endorse the candidacy of Zainal Akmal Hashim and Mohd Muzzafar.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[167]</w:t>
      </w:r>
      <w:r>
        <w:rPr>
          <w:rFonts w:ascii="arial" w:eastAsia="arial" w:hAnsi="arial" w:cs="arial"/>
          <w:b w:val="0"/>
          <w:i w:val="0"/>
          <w:strike w:val="0"/>
          <w:noProof w:val="0"/>
          <w:color w:val="000000"/>
          <w:position w:val="0"/>
          <w:sz w:val="24"/>
          <w:u w:val="none"/>
          <w:vertAlign w:val="baseline"/>
        </w:rPr>
        <w:t xml:space="preserve">  In fact, COW-3 had placed a post-it note on the face of Mohd Muzzafar’s talent assessment form at </w:t>
      </w:r>
      <w:r>
        <w:rPr>
          <w:rFonts w:ascii="arial" w:eastAsia="arial" w:hAnsi="arial" w:cs="arial"/>
          <w:b/>
          <w:i w:val="0"/>
          <w:strike w:val="0"/>
          <w:noProof w:val="0"/>
          <w:color w:val="000000"/>
          <w:position w:val="0"/>
          <w:sz w:val="24"/>
          <w:u w:val="none"/>
          <w:vertAlign w:val="baseline"/>
        </w:rPr>
        <w:t>page 70 of COB-2</w:t>
      </w:r>
      <w:r>
        <w:rPr>
          <w:rFonts w:ascii="arial" w:eastAsia="arial" w:hAnsi="arial" w:cs="arial"/>
          <w:b w:val="0"/>
          <w:i w:val="0"/>
          <w:strike w:val="0"/>
          <w:noProof w:val="0"/>
          <w:color w:val="000000"/>
          <w:position w:val="0"/>
          <w:sz w:val="24"/>
          <w:u w:val="none"/>
          <w:vertAlign w:val="baseline"/>
        </w:rPr>
        <w:t>, indicating that he felt more candidates should be considered for the role of Head, Program Strategic &amp; Monitoring.</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[168]</w:t>
      </w:r>
      <w:r>
        <w:rPr>
          <w:rFonts w:ascii="arial" w:eastAsia="arial" w:hAnsi="arial" w:cs="arial"/>
          <w:b w:val="0"/>
          <w:i w:val="0"/>
          <w:strike w:val="0"/>
          <w:noProof w:val="0"/>
          <w:color w:val="000000"/>
          <w:position w:val="0"/>
          <w:sz w:val="24"/>
          <w:u w:val="none"/>
          <w:vertAlign w:val="baseline"/>
        </w:rPr>
        <w:t>  During cross-examination, the Claimant admitted that Muzaffar sent his CV to her, and she forwarded it to the HRA department for a career opportunity in Petrosains.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[169]</w:t>
      </w:r>
      <w:r>
        <w:rPr>
          <w:rFonts w:ascii="arial" w:eastAsia="arial" w:hAnsi="arial" w:cs="arial"/>
          <w:b w:val="0"/>
          <w:i w:val="0"/>
          <w:strike w:val="0"/>
          <w:noProof w:val="0"/>
          <w:color w:val="000000"/>
          <w:position w:val="0"/>
          <w:sz w:val="24"/>
          <w:u w:val="none"/>
          <w:vertAlign w:val="baseline"/>
        </w:rPr>
        <w:t>  Similar to the appointment process with Zainal Akmal Hashim, the Claimant had also had a discussion with Mohd Muzaffar about a career opportunity with the Company, as confirmed by the Claimant herself: -</w:t>
      </w:r>
    </w:p>
    <w:p>
      <w:pPr>
        <w:keepNext w:val="0"/>
        <w:spacing w:before="0" w:after="0" w:line="300" w:lineRule="atLeast"/>
        <w:ind w:left="0" w:right="0" w:firstLine="0"/>
        <w:jc w:val="both"/>
      </w:pPr>
      <w:r>
        <w:br/>
      </w:r>
      <w:r>
        <w:pict>
          <v:shape id="_x0000_i1043" type="#_x0000_t75" style="width:339.75pt;height:119.25pt">
            <v:imagedata r:id="rId25"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1635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[170]</w:t>
      </w:r>
      <w:r>
        <w:rPr>
          <w:rFonts w:ascii="arial" w:eastAsia="arial" w:hAnsi="arial" w:cs="arial"/>
          <w:b w:val="0"/>
          <w:i w:val="0"/>
          <w:strike w:val="0"/>
          <w:noProof w:val="0"/>
          <w:color w:val="000000"/>
          <w:position w:val="0"/>
          <w:sz w:val="24"/>
          <w:u w:val="none"/>
          <w:vertAlign w:val="baseline"/>
        </w:rPr>
        <w:t>  The Claimant even admitted during cross-examination that she explored several options for Mohd Muzaffar to join Petrosains: -</w:t>
      </w:r>
    </w:p>
    <w:p>
      <w:pPr>
        <w:keepNext w:val="0"/>
        <w:spacing w:before="0" w:after="0" w:line="300" w:lineRule="atLeast"/>
        <w:ind w:left="0" w:right="0" w:firstLine="0"/>
        <w:jc w:val="both"/>
      </w:pPr>
      <w:r>
        <w:br/>
      </w:r>
      <w:r>
        <w:pict>
          <v:shape id="_x0000_i1044" type="#_x0000_t75" style="width:341.25pt;height:80.25pt">
            <v:imagedata r:id="rId26"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1622 of the Agreed Notes of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[171]</w:t>
      </w:r>
      <w:r>
        <w:rPr>
          <w:rFonts w:ascii="arial" w:eastAsia="arial" w:hAnsi="arial" w:cs="arial"/>
          <w:b w:val="0"/>
          <w:i w:val="0"/>
          <w:strike w:val="0"/>
          <w:noProof w:val="0"/>
          <w:color w:val="000000"/>
          <w:position w:val="0"/>
          <w:sz w:val="24"/>
          <w:u w:val="none"/>
          <w:vertAlign w:val="baseline"/>
        </w:rPr>
        <w:t>  The Company’s Counsel submits that the Claimant abused her authority by improperly influencing the recruitment process, including pressuring subordinates to alter assessment forms, approving the appointment of Mohd Muzaffar, and bypassing the transparency and fairness required in recruitment.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[172]</w:t>
      </w:r>
      <w:r>
        <w:rPr>
          <w:rFonts w:ascii="arial" w:eastAsia="arial" w:hAnsi="arial" w:cs="arial"/>
          <w:b w:val="0"/>
          <w:i w:val="0"/>
          <w:strike w:val="0"/>
          <w:noProof w:val="0"/>
          <w:color w:val="000000"/>
          <w:position w:val="0"/>
          <w:sz w:val="24"/>
          <w:u w:val="none"/>
          <w:vertAlign w:val="baseline"/>
        </w:rPr>
        <w:t>  In the circumstances, we submit that allegation 7 has clearly been established, and the Claimant breached Section 2.2, Corporate Values and Culture, Part 1 — Core Values and Culture of the Company’s Code of Conduct and Business Ethics (“</w:t>
      </w:r>
      <w:r>
        <w:rPr>
          <w:rFonts w:ascii="arial" w:eastAsia="arial" w:hAnsi="arial" w:cs="arial"/>
          <w:b/>
          <w:i w:val="0"/>
          <w:strike w:val="0"/>
          <w:noProof w:val="0"/>
          <w:color w:val="000000"/>
          <w:position w:val="0"/>
          <w:sz w:val="24"/>
          <w:u w:val="none"/>
          <w:vertAlign w:val="baseline"/>
        </w:rPr>
        <w:t>CoBE</w:t>
      </w:r>
      <w:r>
        <w:rPr>
          <w:rFonts w:ascii="arial" w:eastAsia="arial" w:hAnsi="arial" w:cs="arial"/>
          <w:b w:val="0"/>
          <w:i w:val="0"/>
          <w:strike w:val="0"/>
          <w:noProof w:val="0"/>
          <w:color w:val="000000"/>
          <w:position w:val="0"/>
          <w:sz w:val="24"/>
          <w:u w:val="none"/>
          <w:vertAlign w:val="baseline"/>
        </w:rPr>
        <w:t xml:space="preserve">”), as found on </w:t>
      </w:r>
      <w:r>
        <w:rPr>
          <w:rFonts w:ascii="arial" w:eastAsia="arial" w:hAnsi="arial" w:cs="arial"/>
          <w:b/>
          <w:i w:val="0"/>
          <w:strike w:val="0"/>
          <w:noProof w:val="0"/>
          <w:color w:val="000000"/>
          <w:position w:val="0"/>
          <w:sz w:val="24"/>
          <w:u w:val="none"/>
          <w:vertAlign w:val="baseline"/>
        </w:rPr>
        <w:t>page 149 of COB-2</w:t>
      </w:r>
      <w:r>
        <w:rPr>
          <w:rFonts w:ascii="arial" w:eastAsia="arial" w:hAnsi="arial" w:cs="arial"/>
          <w:b w:val="0"/>
          <w:i w:val="0"/>
          <w:strike w:val="0"/>
          <w:noProof w:val="0"/>
          <w:color w:val="000000"/>
          <w:position w:val="0"/>
          <w:sz w:val="24"/>
          <w:u w:val="none"/>
          <w:vertAlign w:val="baseline"/>
        </w:rPr>
        <w:t xml:space="preserve">. Additionally, the Claimant breached the generality of Section 1, Importance of Good Conduct and Discipline, Part IV — Discipline Process and Sanctions of CoBE (refer to </w:t>
      </w:r>
      <w:r>
        <w:rPr>
          <w:rFonts w:ascii="arial" w:eastAsia="arial" w:hAnsi="arial" w:cs="arial"/>
          <w:b/>
          <w:i w:val="0"/>
          <w:strike w:val="0"/>
          <w:noProof w:val="0"/>
          <w:color w:val="000000"/>
          <w:position w:val="0"/>
          <w:sz w:val="24"/>
          <w:u w:val="none"/>
          <w:vertAlign w:val="baseline"/>
        </w:rPr>
        <w:t>pages 152–155 of COB- 2</w:t>
      </w:r>
      <w:r>
        <w:rPr>
          <w:rFonts w:ascii="arial" w:eastAsia="arial" w:hAnsi="arial" w:cs="arial"/>
          <w:b w:val="0"/>
          <w:i w:val="0"/>
          <w:strike w:val="0"/>
          <w:noProof w:val="0"/>
          <w:color w:val="000000"/>
          <w:position w:val="0"/>
          <w:sz w:val="24"/>
          <w:u w:val="none"/>
          <w:vertAlign w:val="baseline"/>
        </w:rPr>
        <w:t>), the generality of Section 1, Duty Regarding Avoidance of Conflict of Interest, Part II – Duties of Good Faith, Fidelity, Diligence and Integrity of CoBE, as well as the express and/or implied terms of the Claimant’s employment.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CLAIMANT’S MISCONDUCT WAS SUFFICIENTLY SERIOUS AS TO WARRANT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[173]</w:t>
      </w:r>
      <w:r>
        <w:rPr>
          <w:rFonts w:ascii="arial" w:eastAsia="arial" w:hAnsi="arial" w:cs="arial"/>
          <w:b w:val="0"/>
          <w:i w:val="0"/>
          <w:strike w:val="0"/>
          <w:noProof w:val="0"/>
          <w:color w:val="000000"/>
          <w:position w:val="0"/>
          <w:sz w:val="24"/>
          <w:u w:val="none"/>
          <w:vertAlign w:val="baseline"/>
        </w:rPr>
        <w:t xml:space="preserve">  It is the Company’s submission that the Claimant’s acts of misconduct were sufficiently serious to warrant her dismissal from the Company. The Claimant, despite being PETRONAS’ secondee at PETROSAINS, was nevertheless tasked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with integrity and honesty.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[174]</w:t>
      </w:r>
      <w:r>
        <w:rPr>
          <w:rFonts w:ascii="arial" w:eastAsia="arial" w:hAnsi="arial" w:cs="arial"/>
          <w:b w:val="0"/>
          <w:i w:val="0"/>
          <w:strike w:val="0"/>
          <w:noProof w:val="0"/>
          <w:color w:val="000000"/>
          <w:position w:val="0"/>
          <w:sz w:val="24"/>
          <w:u w:val="none"/>
          <w:vertAlign w:val="baseline"/>
        </w:rPr>
        <w:t xml:space="preserve">  Moreover, owing to the high rank held by the Claimant, she should be held to a higher standard than other employees and was expected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as a role model to other employees within the Company. In support of this, we refer to the following line of authorities: -</w:t>
      </w:r>
      <w:r>
        <w:t>
</w:t>
      </w:r>
    </w:p>
    <w:p>
      <w:pPr>
        <w:keepNext w:val="0"/>
        <w:numPr>
          <w:numId w:val="111"/>
        </w:numPr>
        <w:spacing w:before="120" w:after="0" w:line="300" w:lineRule="atLeast"/>
        <w:ind w:right="0"/>
        <w:jc w:val="both"/>
      </w:pPr>
      <w:r>
        <w:rPr>
          <w:rFonts w:ascii="arial" w:eastAsia="arial" w:hAnsi="arial" w:cs="arial"/>
          <w:b/>
          <w:i/>
          <w:strike w:val="0"/>
          <w:noProof w:val="0"/>
          <w:color w:val="000000"/>
          <w:position w:val="0"/>
          <w:sz w:val="24"/>
          <w:u w:val="none"/>
          <w:vertAlign w:val="baseline"/>
        </w:rPr>
        <w:t>In</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Perwira Habib Bank (M) Bhd v. Tan Teng Seng </w:t>
      </w:r>
      <w:r>
        <w:rPr>
          <w:rFonts w:ascii="arial" w:eastAsia="arial" w:hAnsi="arial" w:cs="arial"/>
          <w:b w:val="0"/>
          <w:i w:val="0"/>
          <w:strike w:val="0"/>
          <w:noProof w:val="0"/>
          <w:color w:val="000000"/>
          <w:position w:val="0"/>
          <w:sz w:val="24"/>
          <w:u w:val="none"/>
          <w:vertAlign w:val="baseline"/>
        </w:rPr>
        <w:t>[1997] 2 ILR 839</w:t>
      </w:r>
      <w:r>
        <w:rPr>
          <w:rFonts w:ascii="arial" w:eastAsia="arial" w:hAnsi="arial" w:cs="arial"/>
          <w:b/>
          <w:i/>
          <w:strike w:val="0"/>
          <w:noProof w:val="0"/>
          <w:color w:val="000000"/>
          <w:position w:val="0"/>
          <w:sz w:val="24"/>
          <w:u w:val="none"/>
          <w:vertAlign w:val="baseline"/>
        </w:rPr>
        <w:t>, it was held that Claimants in a higher position occupied a position of trust, and that such position demands absolute honesty and impeccability: -</w:t>
      </w:r>
    </w:p>
    <w:p>
      <w:pPr>
        <w:keepNext w:val="0"/>
        <w:spacing w:before="120" w:after="0" w:line="240" w:lineRule="atLeast"/>
        <w:ind w:left="1520" w:right="0"/>
        <w:jc w:val="both"/>
      </w:pPr>
      <w:r>
        <w:br/>
      </w:r>
      <w:r>
        <w:rPr>
          <w:rFonts w:ascii="arial" w:eastAsia="arial" w:hAnsi="arial" w:cs="arial"/>
          <w:b/>
          <w:i/>
          <w:strike w:val="0"/>
          <w:noProof w:val="0"/>
          <w:color w:val="000000"/>
          <w:position w:val="0"/>
          <w:sz w:val="18"/>
          <w:u w:val="none"/>
          <w:vertAlign w:val="baseline"/>
        </w:rPr>
        <w:t>“The bank demands from its employees absolute honesty and impeccability. The claimant, as a bank manager, occupied a position of trust. He should not only be honest but be As atn to be honest. Like Caesar’s wife, the claimant must be above all suspicion.”</w:t>
      </w:r>
      <w:r>
        <w:t>
</w:t>
      </w:r>
    </w:p>
    <w:p>
      <w:pPr>
        <w:keepNext w:val="0"/>
        <w:numPr>
          <w:numId w:val="112"/>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[As at page 102 of the Company’s Bundle of Authorities]</w:t>
      </w:r>
    </w:p>
    <w:p>
      <w:pPr>
        <w:keepNext w:val="0"/>
        <w:numPr>
          <w:numId w:val="1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 In emphasizing that the Claimant, owing to her senior role in the Company and the need for her to demonstrate a high level of integrity and accountability as she needed to set a good example for her subordinates, we refer to the decision in the case of </w:t>
      </w:r>
      <w:r>
        <w:rPr>
          <w:rFonts w:ascii="arial" w:eastAsia="arial" w:hAnsi="arial" w:cs="arial"/>
          <w:b w:val="0"/>
          <w:i/>
          <w:strike w:val="0"/>
          <w:noProof w:val="0"/>
          <w:color w:val="000000"/>
          <w:position w:val="0"/>
          <w:sz w:val="24"/>
          <w:u w:val="none"/>
          <w:vertAlign w:val="baseline"/>
        </w:rPr>
        <w:t xml:space="preserve">Mohd Isa Mujani v. Eastern Pacific Industrial Corporation Berhad </w:t>
      </w:r>
      <w:r>
        <w:rPr>
          <w:rFonts w:ascii="arial" w:eastAsia="arial" w:hAnsi="arial" w:cs="arial"/>
          <w:b w:val="0"/>
          <w:i w:val="0"/>
          <w:strike w:val="0"/>
          <w:noProof w:val="0"/>
          <w:color w:val="000000"/>
          <w:position w:val="0"/>
          <w:sz w:val="24"/>
          <w:u w:val="none"/>
          <w:vertAlign w:val="baseline"/>
        </w:rPr>
        <w:t xml:space="preserve">[2019] 4 ILR 291 where the Industrial Court in that case upheld the dismissal of the Claimant who was a senior executive of the Company: - </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“Remorse or a lack of it are relevant considerations when coming to a decision on whether to dismiss an employee for misconduct. The claimant’s involvement with the payment of the Said Sum to RSH and the dishonest use of TI’s letterhead, to name a few, had been relevant matters to take into consideration when determining the punishment to be imposed.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The claimant had held a senior</w:t>
      </w:r>
      <w:r>
        <w:rPr>
          <w:rFonts w:ascii="arial" w:eastAsia="arial" w:hAnsi="arial" w:cs="arial"/>
          <w:b w:val="0"/>
          <w:i w:val="0"/>
          <w:strike w:val="0"/>
          <w:noProof w:val="0"/>
          <w:color w:val="000000"/>
          <w:position w:val="0"/>
          <w:sz w:val="18"/>
          <w:u w:val="single"/>
          <w:vertAlign w:val="baseline"/>
        </w:rPr>
        <w:t xml:space="preserve"> position in the company and in such a position </w:t>
      </w:r>
      <w:r>
        <w:rPr>
          <w:rFonts w:ascii="arial" w:eastAsia="arial" w:hAnsi="arial" w:cs="arial"/>
          <w:b/>
          <w:i/>
          <w:strike w:val="0"/>
          <w:noProof w:val="0"/>
          <w:color w:val="000000"/>
          <w:position w:val="0"/>
          <w:sz w:val="18"/>
          <w:u w:val="single"/>
          <w:vertAlign w:val="baseline"/>
        </w:rPr>
        <w:t>had had to demonstrate a high level of integrity</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and accountability as he had had to set an</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example for his subordinates. He had been</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aware that RSH had not been entitled to the Said</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Sum but had proceeded to ensure that it had</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been issued out. Then, he had failed to reclaim it</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back, which had shown his lack of remorse for</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his actions. Honesty, integrity, trust and</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confidence are of utmost importance in an</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employer-employee relationship. Loss suffered</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by the company had also been a material</w:t>
      </w:r>
      <w:r>
        <w:rPr>
          <w:rFonts w:ascii="arial" w:eastAsia="arial" w:hAnsi="arial" w:cs="arial"/>
          <w:b w:val="0"/>
          <w:i w:val="0"/>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consideration and here the company had suffered a loss in the Said Sum. The claimant, by his actions, had clearly been in breach of his fiduciary duties owed to the company. The company had had a large workforce and had been a subsidiary of a government linked company (‘GLC’). The claimant’s blatant disregard of its interests had to invite severe punishment. His misconduct had involved the core of the company’s business and its trust in him. He should have been aware that dismissal would have been the inevitable consequence of his actions. Having considered all the circumstances of the case, the punishment of dismissal had been fair, fit, proportionate and reasonable</w:t>
      </w:r>
      <w:r>
        <w:rPr>
          <w:rFonts w:ascii="arial" w:eastAsia="arial" w:hAnsi="arial" w:cs="arial"/>
          <w:b w:val="0"/>
          <w:i/>
          <w:strike w:val="0"/>
          <w:noProof w:val="0"/>
          <w:color w:val="000000"/>
          <w:position w:val="0"/>
          <w:sz w:val="18"/>
          <w:u w:val="none"/>
          <w:vertAlign w:val="baseline"/>
        </w:rPr>
        <w:t>”</w:t>
      </w:r>
      <w:r>
        <w:t>
</w:t>
      </w:r>
    </w:p>
    <w:p>
      <w:pPr>
        <w:keepNext w:val="0"/>
        <w:numPr>
          <w:numId w:val="114"/>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[As at pages121– 122 of the Company’s Bundle of Authorities]</w:t>
      </w:r>
      <w:r>
        <w:rPr>
          <w:rFonts w:ascii="arial" w:eastAsia="arial" w:hAnsi="arial" w:cs="arial"/>
          <w:b w:val="0"/>
          <w:i w:val="0"/>
          <w:strike w:val="0"/>
          <w:noProof w:val="0"/>
          <w:color w:val="000000"/>
          <w:position w:val="0"/>
          <w:sz w:val="24"/>
          <w:u w:val="none"/>
          <w:vertAlign w:val="baseline"/>
        </w:rPr>
        <w:t xml:space="preserve"> iii.)In further support of the foregoing, we refer to the High Court decision in </w:t>
      </w:r>
      <w:r>
        <w:rPr>
          <w:rFonts w:ascii="arial" w:eastAsia="arial" w:hAnsi="arial" w:cs="arial"/>
          <w:b w:val="0"/>
          <w:i/>
          <w:strike w:val="0"/>
          <w:noProof w:val="0"/>
          <w:color w:val="000000"/>
          <w:position w:val="0"/>
          <w:sz w:val="24"/>
          <w:u w:val="none"/>
          <w:vertAlign w:val="baseline"/>
        </w:rPr>
        <w:t xml:space="preserve">Azizullah Kinayatullah v. Keretapi Tanah Melayu Berhad  </w:t>
      </w:r>
      <w:r>
        <w:rPr>
          <w:rFonts w:ascii="arial" w:eastAsia="arial" w:hAnsi="arial" w:cs="arial"/>
          <w:b w:val="0"/>
          <w:i w:val="0"/>
          <w:strike w:val="0"/>
          <w:noProof w:val="0"/>
          <w:color w:val="000000"/>
          <w:position w:val="0"/>
          <w:sz w:val="24"/>
          <w:u w:val="none"/>
          <w:vertAlign w:val="baseline"/>
        </w:rPr>
        <w:t xml:space="preserve">[2021] 1 LNS 2451 where Noorin Badaruddin J (as Her Ladyship then was) held that the Applicant’s (the Claimant at the Industrial Court proceedings) unauthorized actions in creating a new department and positions without board approval constituted serious misconduct, justifying his dismissal due to a breach of company policies and the loss of trust and confidence in his leadership, even if the misconduct of the Applicant did not cause financial hardship to the Company: - </w:t>
      </w:r>
    </w:p>
    <w:p>
      <w:pPr>
        <w:keepNext w:val="0"/>
        <w:spacing w:before="120" w:after="0" w:line="240" w:lineRule="atLeast"/>
        <w:ind w:left="1520" w:right="0"/>
        <w:jc w:val="both"/>
      </w:pPr>
      <w:r>
        <w:br/>
      </w:r>
      <w:r>
        <w:rPr>
          <w:rFonts w:ascii="arial" w:eastAsia="arial" w:hAnsi="arial" w:cs="arial"/>
          <w:b/>
          <w:i/>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The applicant is undoubtedly a very high- ranking officer in the 1st respondent. He had acted on his accord to create new department and posts against the need of the workforce and the organization structure of the 1st Respondent without the approval of the Board and knowing for a fact that the approval must first be obtained. His blatant disregard to the company’s rules and policy had been discussed in extenso by the learned Chairman. The applicant never had a blanket overriding power/discretion to do what he did without first obtaining the approval of the Board and such conduct is indeed a serious breach</w:t>
      </w:r>
      <w:r>
        <w:rPr>
          <w:rFonts w:ascii="arial" w:eastAsia="arial" w:hAnsi="arial" w:cs="arial"/>
          <w:b/>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i/>
          <w:strike w:val="0"/>
          <w:noProof w:val="0"/>
          <w:color w:val="000000"/>
          <w:position w:val="0"/>
          <w:sz w:val="18"/>
          <w:u w:val="single"/>
          <w:vertAlign w:val="baseline"/>
        </w:rPr>
        <w:t>The Applicant’s conduct not only infringed the company’s rules and policies, he had in effect arrogated to himself the power which he has none in the first place. As such, the 1</w:t>
      </w:r>
      <w:r>
        <w:rPr>
          <w:rFonts w:ascii="arial" w:eastAsia="arial" w:hAnsi="arial" w:cs="arial"/>
          <w:b/>
          <w:i/>
          <w:strike w:val="0"/>
          <w:noProof w:val="0"/>
          <w:color w:val="000000"/>
          <w:position w:val="0"/>
          <w:sz w:val="18"/>
          <w:u w:val="single"/>
          <w:vertAlign w:val="superscript"/>
        </w:rPr>
        <w:t>st</w:t>
      </w:r>
      <w:r>
        <w:rPr>
          <w:rFonts w:ascii="arial" w:eastAsia="arial" w:hAnsi="arial" w:cs="arial"/>
          <w:b/>
          <w:i/>
          <w:strike w:val="0"/>
          <w:noProof w:val="0"/>
          <w:color w:val="000000"/>
          <w:position w:val="0"/>
          <w:sz w:val="18"/>
          <w:u w:val="single"/>
          <w:vertAlign w:val="baseline"/>
        </w:rPr>
        <w:t>Respondent cannot be held to have acted unreasonably in dismissing the Applicant as his</w:t>
      </w:r>
    </w:p>
    <w:p>
      <w:pPr>
        <w:keepNext w:val="0"/>
        <w:spacing w:before="120" w:after="0" w:line="240" w:lineRule="atLeast"/>
        <w:ind w:left="1520" w:right="0"/>
        <w:jc w:val="both"/>
      </w:pPr>
      <w:r>
        <w:br/>
      </w:r>
      <w:r>
        <w:rPr>
          <w:rFonts w:ascii="arial" w:eastAsia="arial" w:hAnsi="arial" w:cs="arial"/>
          <w:b/>
          <w:i/>
          <w:strike w:val="0"/>
          <w:noProof w:val="0"/>
          <w:color w:val="000000"/>
          <w:position w:val="0"/>
          <w:sz w:val="18"/>
          <w:u w:val="single"/>
          <w:vertAlign w:val="baseline"/>
        </w:rPr>
        <w:t>conduct is a serious misconduct that any employer would lose the trust and confidence in such an employee holding the position he held even if the company does not suffer any financial implications (to which the learned Chairman had found otherwise).</w:t>
      </w:r>
    </w:p>
    <w:p>
      <w:pPr>
        <w:keepNext w:val="0"/>
        <w:spacing w:before="120" w:after="0" w:line="240" w:lineRule="atLeast"/>
        <w:ind w:left="1520" w:right="0"/>
        <w:jc w:val="both"/>
      </w:pPr>
      <w:r>
        <w:br/>
      </w:r>
      <w:r>
        <w:rPr>
          <w:rFonts w:ascii="arial" w:eastAsia="arial" w:hAnsi="arial" w:cs="arial"/>
          <w:b/>
          <w:i/>
          <w:strike w:val="0"/>
          <w:noProof w:val="0"/>
          <w:color w:val="000000"/>
          <w:position w:val="0"/>
          <w:sz w:val="18"/>
          <w:u w:val="single"/>
          <w:vertAlign w:val="baseline"/>
        </w:rPr>
        <w:t>Any allegations on the part of the applicant justifying his conduct as beneficial to the company cannot prevail over the internal policies of the company where as an employee, strict compliance to the rules and regulations/policy of the company must be adhered to</w:t>
      </w:r>
      <w:r>
        <w:rPr>
          <w:rFonts w:ascii="arial" w:eastAsia="arial" w:hAnsi="arial" w:cs="arial"/>
          <w:b w:val="0"/>
          <w:i/>
          <w:strike w:val="0"/>
          <w:noProof w:val="0"/>
          <w:color w:val="000000"/>
          <w:position w:val="0"/>
          <w:sz w:val="18"/>
          <w:u w:val="none"/>
          <w:vertAlign w:val="baseline"/>
        </w:rPr>
        <w:t>”</w:t>
      </w:r>
      <w:r>
        <w:t>
</w:t>
      </w:r>
    </w:p>
    <w:p>
      <w:pPr>
        <w:keepNext w:val="0"/>
        <w:numPr>
          <w:numId w:val="115"/>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[As at page 205 of the Company’s Bundle of Authorities]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[175]</w:t>
      </w:r>
      <w:r>
        <w:rPr>
          <w:rFonts w:ascii="arial" w:eastAsia="arial" w:hAnsi="arial" w:cs="arial"/>
          <w:b w:val="0"/>
          <w:i w:val="0"/>
          <w:strike w:val="0"/>
          <w:noProof w:val="0"/>
          <w:color w:val="000000"/>
          <w:position w:val="0"/>
          <w:sz w:val="24"/>
          <w:u w:val="none"/>
          <w:vertAlign w:val="baseline"/>
        </w:rPr>
        <w:t xml:space="preserve">  In line with the above authorities, it is abundantly clear that honesty and integrity are amongst the core characteristics arising out of the Claimant’s role as CEO of PETROSAINS. It is undeniable that the Claimant owed a fiduciary duty to the Company, especially by virtue of her role. In further support of this, we also refer to the decision of the Federal Court in the case of </w:t>
      </w:r>
      <w:r>
        <w:rPr>
          <w:rFonts w:ascii="arial" w:eastAsia="arial" w:hAnsi="arial" w:cs="arial"/>
          <w:b w:val="0"/>
          <w:i/>
          <w:strike w:val="0"/>
          <w:noProof w:val="0"/>
          <w:color w:val="000000"/>
          <w:position w:val="0"/>
          <w:sz w:val="24"/>
          <w:u w:val="none"/>
          <w:vertAlign w:val="baseline"/>
        </w:rPr>
        <w:t xml:space="preserve">Akira Sales &amp; Services (M) Sdn. Bhd. v. Nadiah Zee Abdullah &amp; Another Appeal  </w:t>
      </w:r>
      <w:r>
        <w:rPr>
          <w:rFonts w:ascii="arial" w:eastAsia="arial" w:hAnsi="arial" w:cs="arial"/>
          <w:b w:val="0"/>
          <w:i w:val="0"/>
          <w:strike w:val="0"/>
          <w:noProof w:val="0"/>
          <w:color w:val="000000"/>
          <w:position w:val="0"/>
          <w:sz w:val="24"/>
          <w:u w:val="none"/>
          <w:vertAlign w:val="baseline"/>
        </w:rPr>
        <w:t>[2018] 2 CLJ 513 concerning the dismissals of senior management of the Company in that matter due to allegations of breach of trust i.e., for having acted without authority of the Board of Directors in opening a current account in the name of the Company. In upholding the dismissals, the apex Court held as follows: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 xml:space="preserve">“[47] The award of the IC could be reviewed for substance as well as for process. In the instant case, the IC had lost sight of the issue when it proceeded to adjudicate on CBT instead of misconduct in employment. And when it proceeded to adjudicate on CBT instead of misconduct in employment, the IC acted without jurisdiction, took into account an irrelevant matter, namely CBT, but failed to take into account the relevant matter of evidence of misconduct and the complaint. As said, </w:t>
      </w:r>
      <w:r>
        <w:rPr>
          <w:rFonts w:ascii="arial" w:eastAsia="arial" w:hAnsi="arial" w:cs="arial"/>
          <w:b/>
          <w:i/>
          <w:strike w:val="0"/>
          <w:noProof w:val="0"/>
          <w:color w:val="000000"/>
          <w:position w:val="0"/>
          <w:sz w:val="18"/>
          <w:u w:val="single"/>
          <w:vertAlign w:val="baseline"/>
        </w:rPr>
        <w:t>the complaint was that the respondents opened and operated the Perwira account without the authority of the company. The respondents did not deny that they opened and operated the Perwira account and that they deposited the money of the company into the Perwira account. The respondents explained that they did so to prevent the transfer of the company’s funds to Singapore. But it was not appreciated that what the respondents had done was to put funds of the company in their absolute control and beyond the reach of the company.</w:t>
      </w:r>
      <w:r>
        <w:rPr>
          <w:rFonts w:ascii="arial" w:eastAsia="arial" w:hAnsi="arial" w:cs="arial"/>
          <w:b/>
          <w:i/>
          <w:strike w:val="0"/>
          <w:noProof w:val="0"/>
          <w:color w:val="000000"/>
          <w:position w:val="0"/>
          <w:sz w:val="18"/>
          <w:u w:val="none"/>
          <w:vertAlign w:val="baseline"/>
        </w:rPr>
        <w:t xml:space="preserve"> The respondents might have been directors/minority shareholders of the company. But it was in their capacity as employees that the respondents had the day to day management of the company. </w:t>
      </w:r>
      <w:r>
        <w:rPr>
          <w:rFonts w:ascii="arial" w:eastAsia="arial" w:hAnsi="arial" w:cs="arial"/>
          <w:b/>
          <w:i/>
          <w:strike w:val="0"/>
          <w:noProof w:val="0"/>
          <w:color w:val="000000"/>
          <w:position w:val="0"/>
          <w:sz w:val="18"/>
          <w:u w:val="single"/>
          <w:vertAlign w:val="baseline"/>
        </w:rPr>
        <w:t>And as employees with day to day management of the company, was it right for the respondents to put funds of the company in their absolute control and beyond the reach and control of the company? Would that behaviour not warrant dismissal? It must surely be that an employee who puts funds of his employer beyond the reach and control of his employer warrants dismissal. Any reasonable tribunal would find that the dismissal of the respondents was with just cause</w:t>
      </w:r>
      <w:r>
        <w:rPr>
          <w:rFonts w:ascii="arial" w:eastAsia="arial" w:hAnsi="arial" w:cs="arial"/>
          <w:b/>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[As at pages 244 – 245 of the Company’s Bundle of</w:t>
      </w:r>
      <w:r>
        <w:rPr>
          <w:rFonts w:ascii="arial" w:eastAsia="arial" w:hAnsi="arial" w:cs="arial"/>
          <w:b w:val="0"/>
          <w:i w:val="0"/>
          <w:strike w:val="0"/>
          <w:noProof w:val="0"/>
          <w:color w:val="000000"/>
          <w:position w:val="0"/>
          <w:sz w:val="24"/>
          <w:u w:val="none"/>
          <w:vertAlign w:val="baseline"/>
        </w:rPr>
        <w:t xml:space="preserve"> Authorities]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[176]</w:t>
      </w:r>
      <w:r>
        <w:rPr>
          <w:rFonts w:ascii="arial" w:eastAsia="arial" w:hAnsi="arial" w:cs="arial"/>
          <w:b w:val="0"/>
          <w:i w:val="0"/>
          <w:strike w:val="0"/>
          <w:noProof w:val="0"/>
          <w:color w:val="000000"/>
          <w:position w:val="0"/>
          <w:sz w:val="24"/>
          <w:u w:val="none"/>
          <w:vertAlign w:val="baseline"/>
        </w:rPr>
        <w:t xml:space="preserve">  The Federal Court in </w:t>
      </w:r>
      <w:r>
        <w:rPr>
          <w:rFonts w:ascii="arial" w:eastAsia="arial" w:hAnsi="arial" w:cs="arial"/>
          <w:b/>
          <w:i/>
          <w:strike w:val="0"/>
          <w:noProof w:val="0"/>
          <w:color w:val="000000"/>
          <w:position w:val="0"/>
          <w:sz w:val="24"/>
          <w:u w:val="none"/>
          <w:vertAlign w:val="baseline"/>
        </w:rPr>
        <w:t>Akira Sales &amp; Services (M) Sdn Bhd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supra</w:t>
      </w:r>
      <w:r>
        <w:rPr>
          <w:rFonts w:ascii="arial" w:eastAsia="arial" w:hAnsi="arial" w:cs="arial"/>
          <w:b w:val="0"/>
          <w:i w:val="0"/>
          <w:strike w:val="0"/>
          <w:noProof w:val="0"/>
          <w:color w:val="000000"/>
          <w:position w:val="0"/>
          <w:sz w:val="24"/>
          <w:u w:val="none"/>
          <w:vertAlign w:val="baseline"/>
        </w:rPr>
        <w:t xml:space="preserve">) recognized the heightened obligations of senior management employees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honestly and with integrity, as their decisions and actions bear a direct impact on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w:t>
      </w:r>
      <w:r>
        <w:rPr>
          <w:rFonts w:ascii="arial" w:eastAsia="arial" w:hAnsi="arial" w:cs="arial"/>
          <w:b/>
          <w:i/>
          <w:strike w:val="0"/>
          <w:noProof w:val="0"/>
          <w:color w:val="000000"/>
          <w:position w:val="0"/>
          <w:sz w:val="24"/>
          <w:u w:val="single"/>
          <w:vertAlign w:val="baseline"/>
        </w:rPr>
        <w:t>177</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Similarly, the Claimant in the present case was expected to exercise her duties with the highest standards of probity, especially given the reliance placed on the Claimant’s judgment by the Board of Directors and other stakeholders. However, the Claimant’s misconduct, as outlined in Allegations 1 to 7, demonstrates a clear failure to discharge these fiduciary obligations.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[178]</w:t>
      </w:r>
      <w:r>
        <w:rPr>
          <w:rFonts w:ascii="arial" w:eastAsia="arial" w:hAnsi="arial" w:cs="arial"/>
          <w:b w:val="0"/>
          <w:i w:val="0"/>
          <w:strike w:val="0"/>
          <w:noProof w:val="0"/>
          <w:color w:val="000000"/>
          <w:position w:val="0"/>
          <w:sz w:val="24"/>
          <w:u w:val="none"/>
          <w:vertAlign w:val="baseline"/>
        </w:rPr>
        <w:t xml:space="preserve">  The </w:t>
      </w:r>
      <w:r>
        <w:rPr>
          <w:rFonts w:ascii="arial" w:eastAsia="arial" w:hAnsi="arial" w:cs="arial"/>
          <w:b/>
          <w:i/>
          <w:strike w:val="0"/>
          <w:noProof w:val="0"/>
          <w:color w:val="000000"/>
          <w:position w:val="0"/>
          <w:sz w:val="24"/>
          <w:u w:val="none"/>
          <w:vertAlign w:val="baseline"/>
        </w:rPr>
        <w:t>Akira Sales &amp; Services (M) Sdn Bhd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supra</w:t>
      </w:r>
      <w:r>
        <w:rPr>
          <w:rFonts w:ascii="arial" w:eastAsia="arial" w:hAnsi="arial" w:cs="arial"/>
          <w:b w:val="0"/>
          <w:i w:val="0"/>
          <w:strike w:val="0"/>
          <w:noProof w:val="0"/>
          <w:color w:val="000000"/>
          <w:position w:val="0"/>
          <w:sz w:val="24"/>
          <w:u w:val="none"/>
          <w:vertAlign w:val="baseline"/>
        </w:rPr>
        <w:t>) decision offers insight into breaches of trust by senior management in affirming the dismissal of senior employees who exceeded the authority granted to them by the Board of Directors. Their independent actions, which effectively placed the Company’s funds entirely under their control, were found to have irreparably damaged the trust and confidence essential to the employer- employee relationship.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[179]</w:t>
      </w:r>
      <w:r>
        <w:rPr>
          <w:rFonts w:ascii="arial" w:eastAsia="arial" w:hAnsi="arial" w:cs="arial"/>
          <w:b w:val="0"/>
          <w:i w:val="0"/>
          <w:strike w:val="0"/>
          <w:noProof w:val="0"/>
          <w:color w:val="000000"/>
          <w:position w:val="0"/>
          <w:sz w:val="24"/>
          <w:u w:val="none"/>
          <w:vertAlign w:val="baseline"/>
        </w:rPr>
        <w:t>  By analogy, the Claimant’s actions in instructing her subordinates to make personal arrangements (Allegation 1), concealing correspondence addressed to the Leadership Team (Allegation 2) and exerting undue influence in recruitment decisions (Allegations 5 – 7) reflect similar misconduct. These actions placed the Company in a vulnerable position, exposed it to potential reputational harm, and demonstrated a disregard for established procedures and corporate governance standards.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[180]</w:t>
      </w:r>
      <w:r>
        <w:rPr>
          <w:rFonts w:ascii="arial" w:eastAsia="arial" w:hAnsi="arial" w:cs="arial"/>
          <w:b w:val="0"/>
          <w:i w:val="0"/>
          <w:strike w:val="0"/>
          <w:noProof w:val="0"/>
          <w:color w:val="000000"/>
          <w:position w:val="0"/>
          <w:sz w:val="24"/>
          <w:u w:val="none"/>
          <w:vertAlign w:val="baseline"/>
        </w:rPr>
        <w:t xml:space="preserve">  The Federal Court in </w:t>
      </w:r>
      <w:r>
        <w:rPr>
          <w:rFonts w:ascii="arial" w:eastAsia="arial" w:hAnsi="arial" w:cs="arial"/>
          <w:b/>
          <w:i/>
          <w:strike w:val="0"/>
          <w:noProof w:val="0"/>
          <w:color w:val="000000"/>
          <w:position w:val="0"/>
          <w:sz w:val="24"/>
          <w:u w:val="none"/>
          <w:vertAlign w:val="baseline"/>
        </w:rPr>
        <w:t>Akira Sales &amp; Services (M) Sdn Bhd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supra</w:t>
      </w:r>
      <w:r>
        <w:rPr>
          <w:rFonts w:ascii="arial" w:eastAsia="arial" w:hAnsi="arial" w:cs="arial"/>
          <w:b w:val="0"/>
          <w:i w:val="0"/>
          <w:strike w:val="0"/>
          <w:noProof w:val="0"/>
          <w:color w:val="000000"/>
          <w:position w:val="0"/>
          <w:sz w:val="24"/>
          <w:u w:val="none"/>
          <w:vertAlign w:val="baseline"/>
        </w:rPr>
        <w:t>) emphasized that any conduct by an employee in a senior managerial role that erodes the employer’s ability to trust the employee warrants dismissal. The Claimant’s conduct in the present case - whether charging personal expenses to the Company (Allegation 1), abusing her position to suppress unfavourable information (Allegation 2), or bypassing standard recruitment practices for personal benefit (Allegations 5 - 7) similarly undermined the confidence PETROSAINS could reasonably place in the Claimant to discharge her duties effectively and honestly.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[181]</w:t>
      </w:r>
      <w:r>
        <w:rPr>
          <w:rFonts w:ascii="arial" w:eastAsia="arial" w:hAnsi="arial" w:cs="arial"/>
          <w:b w:val="0"/>
          <w:i w:val="0"/>
          <w:strike w:val="0"/>
          <w:noProof w:val="0"/>
          <w:color w:val="000000"/>
          <w:position w:val="0"/>
          <w:sz w:val="24"/>
          <w:u w:val="none"/>
          <w:vertAlign w:val="baseline"/>
        </w:rPr>
        <w:t xml:space="preserve">  We submit the Claimant’s dismissal was not disproportionate or unreasonably severe having regard to the gravity of the proven misconduct. In this context, we refer to the Federal Court decision in </w:t>
      </w:r>
      <w:r>
        <w:rPr>
          <w:rFonts w:ascii="arial" w:eastAsia="arial" w:hAnsi="arial" w:cs="arial"/>
          <w:b w:val="0"/>
          <w:i/>
          <w:strike w:val="0"/>
          <w:noProof w:val="0"/>
          <w:color w:val="000000"/>
          <w:position w:val="0"/>
          <w:sz w:val="24"/>
          <w:u w:val="none"/>
          <w:vertAlign w:val="baseline"/>
        </w:rPr>
        <w:t xml:space="preserve">Ng Hock Cheng v. Pengarah Am Penjara &amp; Ors  </w:t>
      </w:r>
      <w:r>
        <w:rPr>
          <w:rFonts w:ascii="arial" w:eastAsia="arial" w:hAnsi="arial" w:cs="arial"/>
          <w:b w:val="0"/>
          <w:i w:val="0"/>
          <w:strike w:val="0"/>
          <w:noProof w:val="0"/>
          <w:color w:val="000000"/>
          <w:position w:val="0"/>
          <w:sz w:val="24"/>
          <w:u w:val="none"/>
          <w:vertAlign w:val="baseline"/>
        </w:rPr>
        <w:t>[1998] 1 CLJ 405 where the Federal Court held as follows: -</w:t>
      </w:r>
    </w:p>
    <w:p>
      <w:pPr>
        <w:keepNext w:val="0"/>
        <w:spacing w:before="0" w:after="0" w:line="300" w:lineRule="atLeast"/>
        <w:ind w:left="0" w:right="0" w:firstLine="0"/>
        <w:jc w:val="both"/>
      </w:pPr>
      <w:r>
        <w:br/>
      </w:r>
      <w:r>
        <w:rPr>
          <w:rFonts w:ascii="arial" w:eastAsia="arial" w:hAnsi="arial" w:cs="arial"/>
          <w:b w:val="0"/>
          <w:i/>
          <w:strike w:val="0"/>
          <w:noProof w:val="0"/>
          <w:color w:val="000000"/>
          <w:position w:val="0"/>
          <w:sz w:val="24"/>
          <w:u w:val="none"/>
          <w:vertAlign w:val="baseline"/>
        </w:rPr>
        <w:t>“[1c] In this respect, the majority judgment of the Court of Appeal in Tan Teck Seng v. Suruhanjaya Perkhidmatan &amp; Anor could not stand with the instant decision of the Federal Court.</w:t>
      </w:r>
      <w:r>
        <w:rPr>
          <w:rFonts w:ascii="arial" w:eastAsia="arial" w:hAnsi="arial" w:cs="arial"/>
          <w:b w:val="0"/>
          <w:i w:val="0"/>
          <w:strike w:val="0"/>
          <w:noProof w:val="0"/>
          <w:color w:val="000000"/>
          <w:position w:val="0"/>
          <w:sz w:val="24"/>
          <w:u w:val="none"/>
          <w:vertAlign w:val="baseline"/>
        </w:rPr>
        <w:t xml:space="preserve"> The dissenting judgement in Teck Seng v. Suruhanjaya Perkhidmatan &amp; Anor</w:t>
      </w:r>
      <w:r>
        <w:rPr>
          <w:rFonts w:ascii="arial" w:eastAsia="arial" w:hAnsi="arial" w:cs="arial"/>
          <w:b/>
          <w:i/>
          <w:strike w:val="0"/>
          <w:noProof w:val="0"/>
          <w:color w:val="000000"/>
          <w:position w:val="0"/>
          <w:sz w:val="24"/>
          <w:u w:val="single"/>
          <w:vertAlign w:val="baseline"/>
        </w:rPr>
        <w:t>was, therefore, right in restating the principle that: the test is not what the Court of Appeal or the High court thinks should be the appropriate penalty. Whether dismissal or a lesser penalty (like a reduction in rank) was appropriate is not for the court to say. The court must not substitute its own views as to what is the appropriate penalty (for the employee’s misconduct) for the view of the particular employer concerned</w:t>
      </w:r>
      <w:r>
        <w:rPr>
          <w:rFonts w:ascii="arial" w:eastAsia="arial" w:hAnsi="arial" w:cs="arial"/>
          <w:b w:val="0"/>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[As at page 248 of the Company’s Bundle of Authorities]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[182]</w:t>
      </w:r>
      <w:r>
        <w:rPr>
          <w:rFonts w:ascii="arial" w:eastAsia="arial" w:hAnsi="arial" w:cs="arial"/>
          <w:b w:val="0"/>
          <w:i w:val="0"/>
          <w:strike w:val="0"/>
          <w:noProof w:val="0"/>
          <w:color w:val="000000"/>
          <w:position w:val="0"/>
          <w:sz w:val="24"/>
          <w:u w:val="none"/>
          <w:vertAlign w:val="baseline"/>
        </w:rPr>
        <w:t xml:space="preserve">  To further support our contention that the severity of the punishment imposed on the Claimant is solely within the purview of the Company, we cite the recent decision of Ahmad Kamal Md Shahid J (as His Lordship then was) in </w:t>
      </w:r>
      <w:r>
        <w:rPr>
          <w:rFonts w:ascii="arial" w:eastAsia="arial" w:hAnsi="arial" w:cs="arial"/>
          <w:b w:val="0"/>
          <w:i/>
          <w:strike w:val="0"/>
          <w:noProof w:val="0"/>
          <w:color w:val="000000"/>
          <w:position w:val="0"/>
          <w:sz w:val="24"/>
          <w:u w:val="none"/>
          <w:vertAlign w:val="baseline"/>
        </w:rPr>
        <w:t xml:space="preserve">Nurul Izzati Musa v. Jabatan Perkhidmatan Awam Malaysia &amp; Anor  </w:t>
      </w:r>
      <w:r>
        <w:rPr>
          <w:rFonts w:ascii="arial" w:eastAsia="arial" w:hAnsi="arial" w:cs="arial"/>
          <w:b w:val="0"/>
          <w:i w:val="0"/>
          <w:strike w:val="0"/>
          <w:noProof w:val="0"/>
          <w:color w:val="000000"/>
          <w:position w:val="0"/>
          <w:sz w:val="24"/>
          <w:u w:val="none"/>
          <w:vertAlign w:val="baseline"/>
        </w:rPr>
        <w:t>[2024] 2 CLJ 261 where His Lordship held: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 xml:space="preserve">“[44] </w:t>
      </w:r>
      <w:r>
        <w:rPr>
          <w:rFonts w:ascii="arial" w:eastAsia="arial" w:hAnsi="arial" w:cs="arial"/>
          <w:b/>
          <w:i/>
          <w:strike w:val="0"/>
          <w:noProof w:val="0"/>
          <w:color w:val="000000"/>
          <w:position w:val="0"/>
          <w:sz w:val="18"/>
          <w:u w:val="single"/>
          <w:vertAlign w:val="baseline"/>
        </w:rPr>
        <w:t>It is a trite law that as a general rule, the court will not interfere in matters pertaining to professional discipline but leave matters to the disciplinary body of that profession</w:t>
      </w:r>
      <w:r>
        <w:rPr>
          <w:rFonts w:ascii="arial" w:eastAsia="arial" w:hAnsi="arial" w:cs="arial"/>
          <w:b/>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[47]</w:t>
      </w:r>
      <w:r>
        <w:rPr>
          <w:rFonts w:ascii="arial" w:eastAsia="arial" w:hAnsi="arial" w:cs="arial"/>
          <w:b/>
          <w:i/>
          <w:strike w:val="0"/>
          <w:noProof w:val="0"/>
          <w:color w:val="000000"/>
          <w:position w:val="0"/>
          <w:sz w:val="18"/>
          <w:u w:val="single"/>
          <w:vertAlign w:val="baseline"/>
        </w:rPr>
        <w:t>Therefore, it is my view that the severity or leniency of the punishment imposed is not within the purview of this court.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[48]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The Federal Court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Ng Hock Cheng v. Pengarah Am Penjara &amp; Ors  </w:t>
      </w:r>
      <w:r>
        <w:rPr>
          <w:rFonts w:ascii="arial" w:eastAsia="arial" w:hAnsi="arial" w:cs="arial"/>
          <w:b w:val="0"/>
          <w:i w:val="0"/>
          <w:strike w:val="0"/>
          <w:noProof w:val="0"/>
          <w:color w:val="000000"/>
          <w:position w:val="0"/>
          <w:sz w:val="18"/>
          <w:u w:val="none"/>
          <w:vertAlign w:val="baseline"/>
        </w:rPr>
        <w:t>[1998] 1 CLJ 405; ; [1997] 2 MLRA 146; ; [1998] 1 MLJ 153; ; [1997] 4 AMR 419</w:t>
      </w:r>
      <w:r>
        <w:rPr>
          <w:rFonts w:ascii="arial" w:eastAsia="arial" w:hAnsi="arial" w:cs="arial"/>
          <w:b/>
          <w:i/>
          <w:strike w:val="0"/>
          <w:noProof w:val="0"/>
          <w:color w:val="000000"/>
          <w:position w:val="0"/>
          <w:sz w:val="18"/>
          <w:u w:val="single"/>
          <w:vertAlign w:val="baseline"/>
        </w:rPr>
        <w:t>had stated that the test to be adopted is not what the court thinks to be the appropriate penalty, but it is for the disciplinary tribunal to determine the seriousness of the misconduct of its members and to pass the appropriate punishment</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[As at pages 278 – 279 of the Company’s Bundle of Authorities]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ABSENCE OF A DOMESTIC INQUIRY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[183]</w:t>
      </w:r>
      <w:r>
        <w:rPr>
          <w:rFonts w:ascii="arial" w:eastAsia="arial" w:hAnsi="arial" w:cs="arial"/>
          <w:b w:val="0"/>
          <w:i w:val="0"/>
          <w:strike w:val="0"/>
          <w:noProof w:val="0"/>
          <w:color w:val="000000"/>
          <w:position w:val="0"/>
          <w:sz w:val="24"/>
          <w:u w:val="none"/>
          <w:vertAlign w:val="baseline"/>
        </w:rPr>
        <w:t xml:space="preserve">  The Company’s Counsel submitted that it is trite law that the failure to hold a domestic inquiry is not a fatality but only an irregularity curable by </w:t>
      </w:r>
      <w:r>
        <w:rPr>
          <w:rFonts w:ascii="arial" w:eastAsia="arial" w:hAnsi="arial" w:cs="arial"/>
          <w:b w:val="0"/>
          <w:i/>
          <w:strike w:val="0"/>
          <w:noProof w:val="0"/>
          <w:color w:val="000000"/>
          <w:position w:val="0"/>
          <w:sz w:val="24"/>
          <w:u w:val="none"/>
          <w:vertAlign w:val="baseline"/>
        </w:rPr>
        <w:t>de novo</w:t>
      </w:r>
      <w:r>
        <w:rPr>
          <w:rFonts w:ascii="arial" w:eastAsia="arial" w:hAnsi="arial" w:cs="arial"/>
          <w:b w:val="0"/>
          <w:i w:val="0"/>
          <w:strike w:val="0"/>
          <w:noProof w:val="0"/>
          <w:color w:val="000000"/>
          <w:position w:val="0"/>
          <w:sz w:val="24"/>
          <w:u w:val="none"/>
          <w:vertAlign w:val="baseline"/>
        </w:rPr>
        <w:t xml:space="preserve"> proceedings before the Industrial Court. On the authority of </w:t>
      </w:r>
      <w:r>
        <w:rPr>
          <w:rFonts w:ascii="arial" w:eastAsia="arial" w:hAnsi="arial" w:cs="arial"/>
          <w:b w:val="0"/>
          <w:i/>
          <w:strike w:val="0"/>
          <w:noProof w:val="0"/>
          <w:color w:val="000000"/>
          <w:position w:val="0"/>
          <w:sz w:val="24"/>
          <w:u w:val="none"/>
          <w:vertAlign w:val="baseline"/>
        </w:rPr>
        <w:t xml:space="preserve">Wong Yuen Hock v. Syarikat Hong Leong Assurance Sdn Bhd &amp; Another Appeal  </w:t>
      </w:r>
      <w:r>
        <w:rPr>
          <w:rFonts w:ascii="arial" w:eastAsia="arial" w:hAnsi="arial" w:cs="arial"/>
          <w:b w:val="0"/>
          <w:i w:val="0"/>
          <w:strike w:val="0"/>
          <w:noProof w:val="0"/>
          <w:color w:val="000000"/>
          <w:position w:val="0"/>
          <w:sz w:val="24"/>
          <w:u w:val="none"/>
          <w:vertAlign w:val="baseline"/>
        </w:rPr>
        <w:t xml:space="preserve">[1995] 3 CLJ 344 which followed the decision of the Supreme Court in </w:t>
      </w:r>
      <w:r>
        <w:rPr>
          <w:rFonts w:ascii="arial" w:eastAsia="arial" w:hAnsi="arial" w:cs="arial"/>
          <w:b w:val="0"/>
          <w:i/>
          <w:strike w:val="0"/>
          <w:noProof w:val="0"/>
          <w:color w:val="000000"/>
          <w:position w:val="0"/>
          <w:sz w:val="24"/>
          <w:u w:val="none"/>
          <w:vertAlign w:val="baseline"/>
        </w:rPr>
        <w:t xml:space="preserve">Dreamland Corporation (M) Sdn Bhd v Choong Chin Sooi &amp; Industrial Court of Malaysia  </w:t>
      </w:r>
      <w:r>
        <w:rPr>
          <w:rFonts w:ascii="arial" w:eastAsia="arial" w:hAnsi="arial" w:cs="arial"/>
          <w:b w:val="0"/>
          <w:i w:val="0"/>
          <w:strike w:val="0"/>
          <w:noProof w:val="0"/>
          <w:color w:val="000000"/>
          <w:position w:val="0"/>
          <w:sz w:val="24"/>
          <w:u w:val="none"/>
          <w:vertAlign w:val="baseline"/>
        </w:rPr>
        <w:t xml:space="preserve">[1988] 1 CLJ 1, SCJ Wan Suleiman (as he then was) </w:t>
      </w:r>
      <w:r>
        <w:rPr>
          <w:rFonts w:ascii="arial" w:eastAsia="arial" w:hAnsi="arial" w:cs="arial"/>
          <w:b/>
          <w:i w:val="0"/>
          <w:strike w:val="0"/>
          <w:noProof w:val="0"/>
          <w:color w:val="000000"/>
          <w:position w:val="0"/>
          <w:sz w:val="24"/>
          <w:u w:val="none"/>
          <w:vertAlign w:val="baseline"/>
        </w:rPr>
        <w:t>[As at pages 294 and 298 of the Company’s Bundle of Authorities].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[184]</w:t>
      </w:r>
      <w:r>
        <w:rPr>
          <w:rFonts w:ascii="arial" w:eastAsia="arial" w:hAnsi="arial" w:cs="arial"/>
          <w:b w:val="0"/>
          <w:i w:val="0"/>
          <w:strike w:val="0"/>
          <w:noProof w:val="0"/>
          <w:color w:val="000000"/>
          <w:position w:val="0"/>
          <w:sz w:val="24"/>
          <w:u w:val="none"/>
          <w:vertAlign w:val="baseline"/>
        </w:rPr>
        <w:t xml:space="preserve">  We find further support in the case of </w:t>
      </w:r>
      <w:r>
        <w:rPr>
          <w:rFonts w:ascii="arial" w:eastAsia="arial" w:hAnsi="arial" w:cs="arial"/>
          <w:b w:val="0"/>
          <w:i/>
          <w:strike w:val="0"/>
          <w:noProof w:val="0"/>
          <w:color w:val="000000"/>
          <w:position w:val="0"/>
          <w:sz w:val="24"/>
          <w:u w:val="none"/>
          <w:vertAlign w:val="baseline"/>
        </w:rPr>
        <w:t xml:space="preserve">Hong Leong Equipment Sdn Bhd v. Liew Fook Chuan &amp; Other Appeals  </w:t>
      </w:r>
      <w:r>
        <w:rPr>
          <w:rFonts w:ascii="arial" w:eastAsia="arial" w:hAnsi="arial" w:cs="arial"/>
          <w:b w:val="0"/>
          <w:i w:val="0"/>
          <w:strike w:val="0"/>
          <w:noProof w:val="0"/>
          <w:color w:val="000000"/>
          <w:position w:val="0"/>
          <w:sz w:val="24"/>
          <w:u w:val="none"/>
          <w:vertAlign w:val="baseline"/>
        </w:rPr>
        <w:t xml:space="preserve">[1997] 1 CLJ 665 </w:t>
      </w:r>
      <w:r>
        <w:rPr>
          <w:rFonts w:ascii="arial" w:eastAsia="arial" w:hAnsi="arial" w:cs="arial"/>
          <w:b/>
          <w:i/>
          <w:strike w:val="0"/>
          <w:noProof w:val="0"/>
          <w:color w:val="000000"/>
          <w:position w:val="0"/>
          <w:sz w:val="24"/>
          <w:u w:val="none"/>
          <w:vertAlign w:val="baseline"/>
        </w:rPr>
        <w:t>where</w:t>
      </w:r>
      <w:r>
        <w:rPr>
          <w:rFonts w:ascii="arial" w:eastAsia="arial" w:hAnsi="arial" w:cs="arial"/>
          <w:b w:val="0"/>
          <w:i w:val="0"/>
          <w:strike w:val="0"/>
          <w:noProof w:val="0"/>
          <w:color w:val="000000"/>
          <w:position w:val="0"/>
          <w:sz w:val="24"/>
          <w:u w:val="none"/>
          <w:vertAlign w:val="baseline"/>
        </w:rPr>
        <w:t xml:space="preserve"> Gopal Sri Ram JCA as he then was said: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“The fact that an employer has conducted a domestic inquiry against his workman is, in my judgment, an entirely irrelevant consideration to the issue whether the latter had been dismissed without just cause or excuse. The findings of a domestic inquiry are not binding upon the Industrial Court which rehears the matter afresh.”</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[185]</w:t>
      </w:r>
      <w:r>
        <w:rPr>
          <w:rFonts w:ascii="arial" w:eastAsia="arial" w:hAnsi="arial" w:cs="arial"/>
          <w:b w:val="0"/>
          <w:i w:val="0"/>
          <w:strike w:val="0"/>
          <w:noProof w:val="0"/>
          <w:color w:val="000000"/>
          <w:position w:val="0"/>
          <w:sz w:val="24"/>
          <w:u w:val="none"/>
          <w:vertAlign w:val="baseline"/>
        </w:rPr>
        <w:t>  In line with the above authorities, we submit that the hearing before this Honourable Court itself provides a better and impartial forum for the Claimant should be taken as sufficient opportunity for the Claimant to being heard to satisfy natural justice.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[186]</w:t>
      </w:r>
      <w:r>
        <w:rPr>
          <w:rFonts w:ascii="arial" w:eastAsia="arial" w:hAnsi="arial" w:cs="arial"/>
          <w:b w:val="0"/>
          <w:i w:val="0"/>
          <w:strike w:val="0"/>
          <w:noProof w:val="0"/>
          <w:color w:val="000000"/>
          <w:position w:val="0"/>
          <w:sz w:val="24"/>
          <w:u w:val="none"/>
          <w:vertAlign w:val="baseline"/>
        </w:rPr>
        <w:t>  Based on the above authorities and in light of the Claimant’s actions, which constituted breaches of fiduciary duty, abuse of authority, and conduct inconsistent with the trust and confidence required in her role, we submit that the Company acted appropriately in terminating the Claimant’s employment. The Claimant’s dismissal was, therefore,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[187]</w:t>
      </w:r>
      <w:r>
        <w:rPr>
          <w:rFonts w:ascii="arial" w:eastAsia="arial" w:hAnsi="arial" w:cs="arial"/>
          <w:b w:val="0"/>
          <w:i w:val="0"/>
          <w:strike w:val="0"/>
          <w:noProof w:val="0"/>
          <w:color w:val="000000"/>
          <w:position w:val="0"/>
          <w:sz w:val="24"/>
          <w:u w:val="none"/>
          <w:vertAlign w:val="baseline"/>
        </w:rPr>
        <w:t>  The Company objects to the tendering of ID-10 on the grounds that it is a confidential and restricted internal document, accessible exclusively to senior personnel. Its disclosure would compromise the confidentiality of internal governance processes.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[188]</w:t>
      </w:r>
      <w:r>
        <w:rPr>
          <w:rFonts w:ascii="arial" w:eastAsia="arial" w:hAnsi="arial" w:cs="arial"/>
          <w:b w:val="0"/>
          <w:i w:val="0"/>
          <w:strike w:val="0"/>
          <w:noProof w:val="0"/>
          <w:color w:val="000000"/>
          <w:position w:val="0"/>
          <w:sz w:val="24"/>
          <w:u w:val="none"/>
          <w:vertAlign w:val="baseline"/>
        </w:rPr>
        <w:t>  CLW-1 testified during cross-examination that she does not know whether copies of ID-10 were given to all employees of Petrosains, as this would be handled under administrative matters. We find it questionable that such a high-ranking member of the Company, like CLW-1, has no clue as to whether an important document, such as the limits of authority, is confidential or not.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[189]</w:t>
      </w:r>
      <w:r>
        <w:rPr>
          <w:rFonts w:ascii="arial" w:eastAsia="arial" w:hAnsi="arial" w:cs="arial"/>
          <w:b w:val="0"/>
          <w:i w:val="0"/>
          <w:strike w:val="0"/>
          <w:noProof w:val="0"/>
          <w:color w:val="000000"/>
          <w:position w:val="0"/>
          <w:sz w:val="24"/>
          <w:u w:val="none"/>
          <w:vertAlign w:val="baseline"/>
        </w:rPr>
        <w:t xml:space="preserve">  Based on the foregoing evidence, the Claimant clearly failed to comply with the requirements outlined on </w:t>
      </w:r>
      <w:r>
        <w:rPr>
          <w:rFonts w:ascii="arial" w:eastAsia="arial" w:hAnsi="arial" w:cs="arial"/>
          <w:b/>
          <w:i w:val="0"/>
          <w:strike w:val="0"/>
          <w:noProof w:val="0"/>
          <w:color w:val="000000"/>
          <w:position w:val="0"/>
          <w:sz w:val="24"/>
          <w:u w:val="none"/>
          <w:vertAlign w:val="baseline"/>
        </w:rPr>
        <w:t>page 35 of ID-10</w:t>
      </w:r>
      <w:r>
        <w:rPr>
          <w:rFonts w:ascii="arial" w:eastAsia="arial" w:hAnsi="arial" w:cs="arial"/>
          <w:b w:val="0"/>
          <w:i w:val="0"/>
          <w:strike w:val="0"/>
          <w:noProof w:val="0"/>
          <w:color w:val="000000"/>
          <w:position w:val="0"/>
          <w:sz w:val="24"/>
          <w:u w:val="none"/>
          <w:vertAlign w:val="baseline"/>
        </w:rPr>
        <w:t xml:space="preserve">. Additionally, the Claimant failed to comply with the handover of documents upon dismissal. As reflected in the Handover Form at </w:t>
      </w:r>
      <w:r>
        <w:rPr>
          <w:rFonts w:ascii="arial" w:eastAsia="arial" w:hAnsi="arial" w:cs="arial"/>
          <w:b/>
          <w:i w:val="0"/>
          <w:strike w:val="0"/>
          <w:noProof w:val="0"/>
          <w:color w:val="000000"/>
          <w:position w:val="0"/>
          <w:sz w:val="24"/>
          <w:u w:val="none"/>
          <w:vertAlign w:val="baseline"/>
        </w:rPr>
        <w:t>page 41 of COB-1</w:t>
      </w:r>
      <w:r>
        <w:rPr>
          <w:rFonts w:ascii="arial" w:eastAsia="arial" w:hAnsi="arial" w:cs="arial"/>
          <w:b w:val="0"/>
          <w:i w:val="0"/>
          <w:strike w:val="0"/>
          <w:noProof w:val="0"/>
          <w:color w:val="000000"/>
          <w:position w:val="0"/>
          <w:sz w:val="24"/>
          <w:u w:val="none"/>
          <w:vertAlign w:val="baseline"/>
        </w:rPr>
        <w:t>, the Claimant did not return ID-10.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[190]</w:t>
      </w:r>
      <w:r>
        <w:rPr>
          <w:rFonts w:ascii="arial" w:eastAsia="arial" w:hAnsi="arial" w:cs="arial"/>
          <w:b w:val="0"/>
          <w:i w:val="0"/>
          <w:strike w:val="0"/>
          <w:noProof w:val="0"/>
          <w:color w:val="000000"/>
          <w:position w:val="0"/>
          <w:sz w:val="24"/>
          <w:u w:val="none"/>
          <w:vertAlign w:val="baseline"/>
        </w:rPr>
        <w:t>  ID-4 consists of pages 673 to 831, which includes the Petrosains Strategic Blueprint 2030. This document outlines strategic pillars, goals, and frameworks for the organization, including the phrase “Global Icon,” which relates to the Petronas Twin Towers and other strategic initiatives.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[191]</w:t>
      </w:r>
      <w:r>
        <w:rPr>
          <w:rFonts w:ascii="arial" w:eastAsia="arial" w:hAnsi="arial" w:cs="arial"/>
          <w:b w:val="0"/>
          <w:i w:val="0"/>
          <w:strike w:val="0"/>
          <w:noProof w:val="0"/>
          <w:color w:val="000000"/>
          <w:position w:val="0"/>
          <w:sz w:val="24"/>
          <w:u w:val="none"/>
          <w:vertAlign w:val="baseline"/>
        </w:rPr>
        <w:t>  COW-3 has testified during examination in chief that ID-4 is a confidential document, that is made accessible only to the directors and CEO of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[192]</w:t>
      </w:r>
      <w:r>
        <w:rPr>
          <w:rFonts w:ascii="arial" w:eastAsia="arial" w:hAnsi="arial" w:cs="arial"/>
          <w:b w:val="0"/>
          <w:i w:val="0"/>
          <w:strike w:val="0"/>
          <w:noProof w:val="0"/>
          <w:color w:val="000000"/>
          <w:position w:val="0"/>
          <w:sz w:val="24"/>
          <w:u w:val="none"/>
          <w:vertAlign w:val="baseline"/>
        </w:rPr>
        <w:t>  In other words, the inclusion of strategic planning materials such as ID-4 serves no probative value in proving or disproving the misconduct of the Claimant. We submit that the introduction of ID-4 is an attempt to broaden the scope of the dispute beyond the allegations of misconduct that led to the Claimant’s dismissal.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[193]</w:t>
      </w:r>
      <w:r>
        <w:rPr>
          <w:rFonts w:ascii="arial" w:eastAsia="arial" w:hAnsi="arial" w:cs="arial"/>
          <w:b w:val="0"/>
          <w:i w:val="0"/>
          <w:strike w:val="0"/>
          <w:noProof w:val="0"/>
          <w:color w:val="000000"/>
          <w:position w:val="0"/>
          <w:sz w:val="24"/>
          <w:u w:val="none"/>
          <w:vertAlign w:val="baseline"/>
        </w:rPr>
        <w:t>  In summary, we accordingly submit that ID-3, ID-4 and ID-10 should remain as ID documents and not be taken into account by this Honourable Court in determining the case on its merits.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DUTY OF THE INDUSTRIAL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[194]</w:t>
      </w:r>
      <w:r>
        <w:rPr>
          <w:rFonts w:ascii="arial" w:eastAsia="arial" w:hAnsi="arial" w:cs="arial"/>
          <w:b w:val="0"/>
          <w:i w:val="0"/>
          <w:strike w:val="0"/>
          <w:noProof w:val="0"/>
          <w:color w:val="000000"/>
          <w:position w:val="0"/>
          <w:sz w:val="24"/>
          <w:u w:val="none"/>
          <w:vertAlign w:val="baseline"/>
        </w:rPr>
        <w:t>  The fact that the Claimant was dismissed by the Company is an undisputed fact and/or agreed by both parties. The issue which remains disputed by the parties is whether the Claimant was dismissed with just cause and excuse, in which the Claimant reiterates that the Claimant’s employment with the Company was terminated without just cause and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[195]</w:t>
      </w:r>
      <w:r>
        <w:rPr>
          <w:rFonts w:ascii="arial" w:eastAsia="arial" w:hAnsi="arial" w:cs="arial"/>
          <w:b w:val="0"/>
          <w:i w:val="0"/>
          <w:strike w:val="0"/>
          <w:noProof w:val="0"/>
          <w:color w:val="000000"/>
          <w:position w:val="0"/>
          <w:sz w:val="24"/>
          <w:u w:val="none"/>
          <w:vertAlign w:val="baseline"/>
        </w:rPr>
        <w:t xml:space="preserve">  In this regard, refer to the case of </w:t>
      </w:r>
      <w:r>
        <w:rPr>
          <w:rFonts w:ascii="arial" w:eastAsia="arial" w:hAnsi="arial" w:cs="arial"/>
          <w:b w:val="0"/>
          <w:i/>
          <w:strike w:val="0"/>
          <w:noProof w:val="0"/>
          <w:color w:val="000000"/>
          <w:position w:val="0"/>
          <w:sz w:val="24"/>
          <w:u w:val="none"/>
          <w:vertAlign w:val="baseline"/>
        </w:rPr>
        <w:t xml:space="preserve">YAP KIT SEONG v. INTI IABS SDN BHD  </w:t>
      </w:r>
      <w:r>
        <w:rPr>
          <w:rFonts w:ascii="arial" w:eastAsia="arial" w:hAnsi="arial" w:cs="arial"/>
          <w:b w:val="0"/>
          <w:i w:val="0"/>
          <w:strike w:val="0"/>
          <w:noProof w:val="0"/>
          <w:color w:val="000000"/>
          <w:position w:val="0"/>
          <w:sz w:val="24"/>
          <w:u w:val="none"/>
          <w:vertAlign w:val="baseline"/>
        </w:rPr>
        <w:t>[2023] 4 ILR 610, wherein it was held as follows: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‘‘[11]</w:t>
      </w:r>
      <w:r>
        <w:rPr>
          <w:rFonts w:ascii="arial" w:eastAsia="arial" w:hAnsi="arial" w:cs="arial"/>
          <w:b w:val="0"/>
          <w:i/>
          <w:strike w:val="0"/>
          <w:noProof w:val="0"/>
          <w:color w:val="000000"/>
          <w:position w:val="0"/>
          <w:sz w:val="18"/>
          <w:u w:val="none"/>
          <w:vertAlign w:val="baseline"/>
        </w:rPr>
        <w:t xml:space="preserve">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Chee Hong v. Cathay Organization (M) Sdn Bhd  </w:t>
      </w:r>
      <w:r>
        <w:rPr>
          <w:rFonts w:ascii="arial" w:eastAsia="arial" w:hAnsi="arial" w:cs="arial"/>
          <w:b w:val="0"/>
          <w:i w:val="0"/>
          <w:strike w:val="0"/>
          <w:noProof w:val="0"/>
          <w:color w:val="000000"/>
          <w:position w:val="0"/>
          <w:sz w:val="18"/>
          <w:u w:val="none"/>
          <w:vertAlign w:val="baseline"/>
        </w:rPr>
        <w:t>[1988] 1 CLJ 45; ; [1988] 1 CLJ (Rep) 298</w:t>
      </w:r>
      <w:r>
        <w:rPr>
          <w:rFonts w:ascii="arial" w:eastAsia="arial" w:hAnsi="arial" w:cs="arial"/>
          <w:b w:val="0"/>
          <w:i/>
          <w:strike w:val="0"/>
          <w:noProof w:val="0"/>
          <w:color w:val="000000"/>
          <w:position w:val="0"/>
          <w:sz w:val="18"/>
          <w:u w:val="none"/>
          <w:vertAlign w:val="baseline"/>
        </w:rPr>
        <w:t>, the court had stated the followings: 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whether there was a dismissal, and if so, whether it was with or without just cause or excuse.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[12] In a case involving retrenchment, the issues before the court essentially are whether there existed circumstances which justified the retrenchment exercise undertaken by the Company and whether the Company had acted bona fide in retrenching the claimant. </w:t>
      </w:r>
      <w:r>
        <w:rPr>
          <w:rFonts w:ascii="arial" w:eastAsia="arial" w:hAnsi="arial" w:cs="arial"/>
          <w:b/>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Arkitek Akiprima Sdn Bhd v. Lianq Siew Fatt &amp; Anor  </w:t>
      </w:r>
      <w:r>
        <w:rPr>
          <w:rFonts w:ascii="arial" w:eastAsia="arial" w:hAnsi="arial" w:cs="arial"/>
          <w:b w:val="0"/>
          <w:i w:val="0"/>
          <w:strike w:val="0"/>
          <w:noProof w:val="0"/>
          <w:color w:val="000000"/>
          <w:position w:val="0"/>
          <w:sz w:val="18"/>
          <w:u w:val="none"/>
          <w:vertAlign w:val="baseline"/>
        </w:rPr>
        <w:t>[2002] 1 ILR 150</w:t>
      </w:r>
      <w:r>
        <w:rPr>
          <w:rFonts w:ascii="arial" w:eastAsia="arial" w:hAnsi="arial" w:cs="arial"/>
          <w:b/>
          <w:i/>
          <w:strike w:val="0"/>
          <w:noProof w:val="0"/>
          <w:color w:val="000000"/>
          <w:position w:val="0"/>
          <w:sz w:val="18"/>
          <w:u w:val="none"/>
          <w:vertAlign w:val="baseline"/>
        </w:rPr>
        <w:t xml:space="preserve"> (Award No. 11 of 2002).</w:t>
      </w:r>
      <w:r>
        <w:rPr>
          <w:rFonts w:ascii="arial" w:eastAsia="arial" w:hAnsi="arial" w:cs="arial"/>
          <w:b w:val="0"/>
          <w:i/>
          <w:strike w:val="0"/>
          <w:noProof w:val="0"/>
          <w:color w:val="000000"/>
          <w:position w:val="0"/>
          <w:sz w:val="18"/>
          <w:u w:val="none"/>
          <w:vertAlign w:val="baseline"/>
        </w:rPr>
        <w:t xml:space="preserve"> It is an established principle that the burden is on the employer to prove their case against the claimant and to justify the retrenchment exercise on a balance of probabilities. </w:t>
      </w:r>
      <w:r>
        <w:rPr>
          <w:rFonts w:ascii="arial" w:eastAsia="arial" w:hAnsi="arial" w:cs="arial"/>
          <w:b/>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Liew Soon Cheonq v. Aljazeera International (Malaysia) Sdn Bhd  </w:t>
      </w:r>
      <w:r>
        <w:rPr>
          <w:rFonts w:ascii="arial" w:eastAsia="arial" w:hAnsi="arial" w:cs="arial"/>
          <w:b w:val="0"/>
          <w:i w:val="0"/>
          <w:strike w:val="0"/>
          <w:noProof w:val="0"/>
          <w:color w:val="000000"/>
          <w:position w:val="0"/>
          <w:sz w:val="18"/>
          <w:u w:val="none"/>
          <w:vertAlign w:val="baseline"/>
        </w:rPr>
        <w:t>[2016] 4 ILR 360</w:t>
      </w:r>
      <w:r>
        <w:rPr>
          <w:rFonts w:ascii="arial" w:eastAsia="arial" w:hAnsi="arial" w:cs="arial"/>
          <w:b/>
          <w:i/>
          <w:strike w:val="0"/>
          <w:noProof w:val="0"/>
          <w:color w:val="000000"/>
          <w:position w:val="0"/>
          <w:sz w:val="18"/>
          <w:u w:val="none"/>
          <w:vertAlign w:val="baseline"/>
        </w:rPr>
        <w:t xml:space="preserve"> (Award No. 1065 of 2016)].</w:t>
      </w:r>
      <w:r>
        <w:rPr>
          <w:rFonts w:ascii="arial" w:eastAsia="arial" w:hAnsi="arial" w:cs="arial"/>
          <w:b w:val="0"/>
          <w:i/>
          <w:strike w:val="0"/>
          <w:noProof w:val="0"/>
          <w:color w:val="000000"/>
          <w:position w:val="0"/>
          <w:sz w:val="18"/>
          <w:u w:val="none"/>
          <w:vertAlign w:val="baseline"/>
        </w:rPr>
        <w:t xml:space="preserve"> Reference also made to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Ireka Construction Berhad v. Chantiravathan Subramaniam James  </w:t>
      </w:r>
      <w:r>
        <w:rPr>
          <w:rFonts w:ascii="arial" w:eastAsia="arial" w:hAnsi="arial" w:cs="arial"/>
          <w:b w:val="0"/>
          <w:i w:val="0"/>
          <w:strike w:val="0"/>
          <w:noProof w:val="0"/>
          <w:color w:val="000000"/>
          <w:position w:val="0"/>
          <w:sz w:val="18"/>
          <w:u w:val="none"/>
          <w:vertAlign w:val="baseline"/>
        </w:rPr>
        <w:t>[1995] 2 ILR 11 (Award No. 245 of 1995).</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[13] It is incumbent for the Company to prove on the standard of balance of probabilities that it has grounds to justify its exercise of retrenchment. </w:t>
      </w:r>
      <w:r>
        <w:rPr>
          <w:rFonts w:ascii="arial" w:eastAsia="arial" w:hAnsi="arial" w:cs="arial"/>
          <w:b/>
          <w:i/>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18"/>
          <w:u w:val="none"/>
          <w:vertAlign w:val="baseline"/>
        </w:rPr>
        <w:t>[2002] 3 CU 314</w:t>
      </w:r>
      <w:r>
        <w:rPr>
          <w:rFonts w:ascii="arial" w:eastAsia="arial" w:hAnsi="arial" w:cs="arial"/>
          <w:b/>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[196]</w:t>
      </w:r>
      <w:r>
        <w:rPr>
          <w:rFonts w:ascii="arial" w:eastAsia="arial" w:hAnsi="arial" w:cs="arial"/>
          <w:b w:val="0"/>
          <w:i w:val="0"/>
          <w:strike w:val="0"/>
          <w:noProof w:val="0"/>
          <w:color w:val="000000"/>
          <w:position w:val="0"/>
          <w:sz w:val="24"/>
          <w:u w:val="none"/>
          <w:vertAlign w:val="baseline"/>
        </w:rPr>
        <w:t>  In cases of unfair dismissal, the burden of proof lies with the Company to prove that the dismissal process adhered to proper procedures and that the Claimant was dismissed for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[197]</w:t>
      </w:r>
      <w:r>
        <w:rPr>
          <w:rFonts w:ascii="arial" w:eastAsia="arial" w:hAnsi="arial" w:cs="arial"/>
          <w:b w:val="0"/>
          <w:i w:val="0"/>
          <w:strike w:val="0"/>
          <w:noProof w:val="0"/>
          <w:color w:val="000000"/>
          <w:position w:val="0"/>
          <w:sz w:val="24"/>
          <w:u w:val="none"/>
          <w:vertAlign w:val="baseline"/>
        </w:rPr>
        <w:t xml:space="preserve">  Referring to the case of </w:t>
      </w:r>
      <w:r>
        <w:rPr>
          <w:rFonts w:ascii="arial" w:eastAsia="arial" w:hAnsi="arial" w:cs="arial"/>
          <w:b w:val="0"/>
          <w:i/>
          <w:strike w:val="0"/>
          <w:noProof w:val="0"/>
          <w:color w:val="000000"/>
          <w:position w:val="0"/>
          <w:sz w:val="24"/>
          <w:u w:val="none"/>
          <w:vertAlign w:val="baseline"/>
        </w:rPr>
        <w:t xml:space="preserve">NIALL ATHOLL MURRAY V BAKER HUGHES (MALAYSIA) SDN. BHD. &amp; ANOR  </w:t>
      </w:r>
      <w:r>
        <w:rPr>
          <w:rFonts w:ascii="arial" w:eastAsia="arial" w:hAnsi="arial" w:cs="arial"/>
          <w:b w:val="0"/>
          <w:i w:val="0"/>
          <w:strike w:val="0"/>
          <w:noProof w:val="0"/>
          <w:color w:val="000000"/>
          <w:position w:val="0"/>
          <w:sz w:val="24"/>
          <w:u w:val="none"/>
          <w:vertAlign w:val="baseline"/>
        </w:rPr>
        <w:t>[2018] MELRU 1194, the court reaffirmed the principle that the burden of proof in an unfair dismissal case lies with the employer:</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“In an unfair dismissal case, the burden of proof is on the employer to discharge as stated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Stamford Executive Centre v. Dharsini Ganesan  </w:t>
      </w:r>
      <w:r>
        <w:rPr>
          <w:rFonts w:ascii="arial" w:eastAsia="arial" w:hAnsi="arial" w:cs="arial"/>
          <w:b w:val="0"/>
          <w:i w:val="0"/>
          <w:strike w:val="0"/>
          <w:noProof w:val="0"/>
          <w:color w:val="000000"/>
          <w:position w:val="0"/>
          <w:sz w:val="18"/>
          <w:u w:val="none"/>
          <w:vertAlign w:val="baseline"/>
        </w:rPr>
        <w:t>[1986] 1 ILR 101</w:t>
      </w:r>
      <w:r>
        <w:rPr>
          <w:rFonts w:ascii="arial" w:eastAsia="arial" w:hAnsi="arial" w:cs="arial"/>
          <w:b/>
          <w:i w:val="0"/>
          <w:strike w:val="0"/>
          <w:noProof w:val="0"/>
          <w:color w:val="000000"/>
          <w:position w:val="0"/>
          <w:sz w:val="18"/>
          <w:u w:val="none"/>
          <w:vertAlign w:val="baseline"/>
        </w:rPr>
        <w: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may further be emphasised here that in a dismissal case the employer must produce convincing evidence that the workman committed the offence or offences the workman is alleged to have committed for which he has been dismissed. The burden of proof lies on the employer. He must prove the workman guilty and it is not the workman who must prove himself not guilty. This is so basic a principle of industrial jurisprudence that no employer is expected to come to this Court in ignorance of it.”.</w:t>
      </w:r>
      <w:r>
        <w:t>
</w:t>
      </w:r>
    </w:p>
    <w:p/>
    <w:p>
      <w:pPr>
        <w:keepNext w:val="0"/>
        <w:spacing w:after="0" w:line="240" w:lineRule="atLeast"/>
        <w:ind w:left="400" w:right="0" w:firstLine="0"/>
        <w:jc w:val="both"/>
      </w:pPr>
      <w:r>
        <w:rPr>
          <w:rFonts w:ascii="arial" w:eastAsia="arial" w:hAnsi="arial" w:cs="arial"/>
          <w:b/>
          <w:i/>
          <w:strike w:val="0"/>
          <w:noProof w:val="0"/>
          <w:color w:val="000000"/>
          <w:position w:val="0"/>
          <w:sz w:val="18"/>
          <w:u w:val="none"/>
          <w:vertAlign w:val="baseline"/>
        </w:rPr>
        <w:t>[14] Further, in order to successfully defend an unfair dismissal claim, the burden of proof is on the employer to show that the reason for dismissing the employee falls into one of the two categories set out in</w:t>
      </w:r>
      <w:r>
        <w:rPr>
          <w:rFonts w:ascii="arial" w:eastAsia="arial" w:hAnsi="arial" w:cs="arial"/>
          <w:b w:val="0"/>
          <w:i w:val="0"/>
          <w:strike w:val="0"/>
          <w:noProof w:val="0"/>
          <w:color w:val="000000"/>
          <w:position w:val="0"/>
          <w:sz w:val="18"/>
          <w:u w:val="none"/>
          <w:vertAlign w:val="baseline"/>
        </w:rPr>
        <w:t xml:space="preserve"> subsection 20(3)</w:t>
      </w:r>
      <w:r>
        <w:rPr>
          <w:rFonts w:ascii="arial" w:eastAsia="arial" w:hAnsi="arial" w:cs="arial"/>
          <w:b/>
          <w:i/>
          <w:strike w:val="0"/>
          <w:noProof w:val="0"/>
          <w:color w:val="000000"/>
          <w:position w:val="0"/>
          <w:sz w:val="18"/>
          <w:u w:val="none"/>
          <w:vertAlign w:val="baseline"/>
        </w:rPr>
        <w:t xml:space="preserve"> of </w:t>
      </w:r>
      <w:r>
        <w:rPr>
          <w:rFonts w:ascii="arial" w:eastAsia="arial" w:hAnsi="arial" w:cs="arial"/>
          <w:b/>
          <w:i/>
          <w:strike w:val="0"/>
          <w:noProof w:val="0"/>
          <w:color w:val="000000"/>
          <w:position w:val="0"/>
          <w:sz w:val="18"/>
          <w:u w:val="single"/>
          <w:vertAlign w:val="baseline"/>
        </w:rPr>
        <w:t>Act</w:t>
      </w:r>
      <w:r>
        <w:rPr>
          <w:rFonts w:ascii="arial" w:eastAsia="arial" w:hAnsi="arial" w:cs="arial"/>
          <w:b/>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177</w:t>
      </w:r>
      <w:r>
        <w:rPr>
          <w:rFonts w:ascii="arial" w:eastAsia="arial" w:hAnsi="arial" w:cs="arial"/>
          <w:b/>
          <w:i/>
          <w:strike w:val="0"/>
          <w:noProof w:val="0"/>
          <w:color w:val="000000"/>
          <w:position w:val="0"/>
          <w:sz w:val="18"/>
          <w:u w:val="none"/>
          <w:vertAlign w:val="baseline"/>
        </w:rPr>
        <w:t>]. The termination of the employee will be deemed to have been unjust unless an employer can prove that the employee was dismissed for a just cause or excuse. Even if an employer succeeds in proving that there was a reason for the dismissal of the employee, it is for the Industrial Court to decide whether the dismissal was</w:t>
      </w:r>
      <w:r>
        <w:rPr>
          <w:rFonts w:ascii="arial" w:eastAsia="arial" w:hAnsi="arial" w:cs="arial"/>
          <w:b w:val="0"/>
          <w:i/>
          <w:strike w:val="0"/>
          <w:noProof w:val="0"/>
          <w:color w:val="000000"/>
          <w:position w:val="0"/>
          <w:sz w:val="18"/>
          <w:u w:val="none"/>
          <w:vertAlign w:val="baseline"/>
        </w:rPr>
        <w:t xml:space="preserve"> warranted or not in accordance </w:t>
      </w:r>
      <w:r>
        <w:rPr>
          <w:rFonts w:ascii="arial" w:eastAsia="arial" w:hAnsi="arial" w:cs="arial"/>
          <w:b/>
          <w:i/>
          <w:strike w:val="0"/>
          <w:noProof w:val="0"/>
          <w:color w:val="000000"/>
          <w:position w:val="0"/>
          <w:sz w:val="18"/>
          <w:u w:val="none"/>
          <w:vertAlign w:val="baseline"/>
        </w:rPr>
        <w:t>with, inter alia, the principles of equity, good conscience and the substantial merits of the case (</w:t>
      </w:r>
      <w:r>
        <w:rPr>
          <w:rFonts w:ascii="arial" w:eastAsia="arial" w:hAnsi="arial" w:cs="arial"/>
          <w:b w:val="0"/>
          <w:i w:val="0"/>
          <w:strike w:val="0"/>
          <w:noProof w:val="0"/>
          <w:color w:val="000000"/>
          <w:position w:val="0"/>
          <w:sz w:val="18"/>
          <w:u w:val="none"/>
          <w:vertAlign w:val="baseline"/>
        </w:rPr>
        <w:t>subsection 30(5)</w:t>
      </w:r>
      <w:r>
        <w:rPr>
          <w:rFonts w:ascii="arial" w:eastAsia="arial" w:hAnsi="arial" w:cs="arial"/>
          <w:b/>
          <w:i/>
          <w:strike w:val="0"/>
          <w:noProof w:val="0"/>
          <w:color w:val="000000"/>
          <w:position w:val="0"/>
          <w:sz w:val="18"/>
          <w:u w:val="none"/>
          <w:vertAlign w:val="baseline"/>
        </w:rPr>
        <w:t xml:space="preserve"> of </w:t>
      </w:r>
      <w:r>
        <w:rPr>
          <w:rFonts w:ascii="arial" w:eastAsia="arial" w:hAnsi="arial" w:cs="arial"/>
          <w:b/>
          <w:i/>
          <w:strike w:val="0"/>
          <w:noProof w:val="0"/>
          <w:color w:val="000000"/>
          <w:position w:val="0"/>
          <w:sz w:val="18"/>
          <w:u w:val="single"/>
          <w:vertAlign w:val="baseline"/>
        </w:rPr>
        <w:t>Act</w:t>
      </w:r>
      <w:r>
        <w:rPr>
          <w:rFonts w:ascii="arial" w:eastAsia="arial" w:hAnsi="arial" w:cs="arial"/>
          <w:b/>
          <w:i/>
          <w:strike w:val="0"/>
          <w:noProof w:val="0"/>
          <w:color w:val="000000"/>
          <w:position w:val="0"/>
          <w:sz w:val="18"/>
          <w:u w:val="single"/>
          <w:vertAlign w:val="baseline"/>
        </w:rPr>
        <w:t xml:space="preserve"> </w:t>
      </w:r>
      <w:r>
        <w:rPr>
          <w:rFonts w:ascii="arial" w:eastAsia="arial" w:hAnsi="arial" w:cs="arial"/>
          <w:b/>
          <w:i/>
          <w:strike w:val="0"/>
          <w:noProof w:val="0"/>
          <w:color w:val="000000"/>
          <w:position w:val="0"/>
          <w:sz w:val="18"/>
          <w:u w:val="single"/>
          <w:vertAlign w:val="baseline"/>
        </w:rPr>
        <w:t>177</w:t>
      </w:r>
      <w:r>
        <w:rPr>
          <w:rFonts w:ascii="arial" w:eastAsia="arial" w:hAnsi="arial" w:cs="arial"/>
          <w:b/>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[198]</w:t>
      </w:r>
      <w:r>
        <w:rPr>
          <w:rFonts w:ascii="arial" w:eastAsia="arial" w:hAnsi="arial" w:cs="arial"/>
          <w:b w:val="0"/>
          <w:i w:val="0"/>
          <w:strike w:val="0"/>
          <w:noProof w:val="0"/>
          <w:color w:val="000000"/>
          <w:position w:val="0"/>
          <w:sz w:val="24"/>
          <w:u w:val="none"/>
          <w:vertAlign w:val="baseline"/>
        </w:rPr>
        <w:t>  The dismissal will be deemed unjust unless the employer can prove that the dismissal was for just cause or excuse. Even if the employer provides a reason for the dismissal, it is for the Industrial Court to determine whether the dismissal was justified, considering principles of equity, good conscience, and the substantial merits of the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[199]</w:t>
      </w:r>
      <w:r>
        <w:rPr>
          <w:rFonts w:ascii="arial" w:eastAsia="arial" w:hAnsi="arial" w:cs="arial"/>
          <w:b w:val="0"/>
          <w:i w:val="0"/>
          <w:strike w:val="0"/>
          <w:noProof w:val="0"/>
          <w:color w:val="000000"/>
          <w:position w:val="0"/>
          <w:sz w:val="24"/>
          <w:u w:val="none"/>
          <w:vertAlign w:val="baseline"/>
        </w:rPr>
        <w:t>  In light of the principles established in the cited cases, it is clear that the burden of proof in an unfair dismissal case lies with the Company. The Company must provide convincing evidence that the dismissal was conducted following proper procedures and that the Claimant was dismissed for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[200]</w:t>
      </w:r>
      <w:r>
        <w:rPr>
          <w:rFonts w:ascii="arial" w:eastAsia="arial" w:hAnsi="arial" w:cs="arial"/>
          <w:b w:val="0"/>
          <w:i w:val="0"/>
          <w:strike w:val="0"/>
          <w:noProof w:val="0"/>
          <w:color w:val="000000"/>
          <w:position w:val="0"/>
          <w:sz w:val="24"/>
          <w:u w:val="none"/>
          <w:vertAlign w:val="baseline"/>
        </w:rPr>
        <w:t>  The Company must demonstrate the validity of the dismissal with clear evidence of misconduct or other grounds for dismissal. Moreover, if the Company’s reasons are unsubstantiated or fail to meet the required standard, the dismissal will be deemed unjust. The Industrial Court will assess whether the dismissal aligns with the principles of equity, good conscience, and the substantial merits of the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[201]</w:t>
      </w:r>
      <w:r>
        <w:rPr>
          <w:rFonts w:ascii="arial" w:eastAsia="arial" w:hAnsi="arial" w:cs="arial"/>
          <w:b w:val="0"/>
          <w:i w:val="0"/>
          <w:strike w:val="0"/>
          <w:noProof w:val="0"/>
          <w:color w:val="000000"/>
          <w:position w:val="0"/>
          <w:sz w:val="24"/>
          <w:u w:val="none"/>
          <w:vertAlign w:val="baseline"/>
        </w:rPr>
        <w:t xml:space="preserve">  First and foremost, it is the duty of the Industrial Court to determine whether the termination or dismissal is with or without just cause or excuse. In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Raja Azlan Shah CJ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“if the employer chooses to give a reason for the action taken by him, the duty of the Industrial Court will be to enquire whether the excuse or reason has or has not been made out”. His Lordship went on to hold that if the Industrial Court finds that this has not been proved, “then the inevitable conclusion must be the termination or dismissal was without just cause or excuse”.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[202]</w:t>
      </w:r>
      <w:r>
        <w:rPr>
          <w:rFonts w:ascii="arial" w:eastAsia="arial" w:hAnsi="arial" w:cs="arial"/>
          <w:b w:val="0"/>
          <w:i w:val="0"/>
          <w:strike w:val="0"/>
          <w:noProof w:val="0"/>
          <w:color w:val="000000"/>
          <w:position w:val="0"/>
          <w:sz w:val="24"/>
          <w:u w:val="none"/>
          <w:vertAlign w:val="baseline"/>
        </w:rPr>
        <w:t>  The Federal Court in MILAN AUTO SDN. BHD. V. WONG SHE held that the function of the Industrial Court in dismissal cases on a reference under section 20 is two-fold. Firstly, to determine whether the misconduct complained of by the employer has been established, and secondly whether the proven misconduct constitutes just cause or excuse for the dismissal.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LAW AND BURDEN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[203]</w:t>
      </w:r>
      <w:r>
        <w:rPr>
          <w:rFonts w:ascii="arial" w:eastAsia="arial" w:hAnsi="arial" w:cs="arial"/>
          <w:b w:val="0"/>
          <w:i w:val="0"/>
          <w:strike w:val="0"/>
          <w:noProof w:val="0"/>
          <w:color w:val="000000"/>
          <w:position w:val="0"/>
          <w:sz w:val="24"/>
          <w:u w:val="none"/>
          <w:vertAlign w:val="baseline"/>
        </w:rPr>
        <w:t>  Whenever a Company had caused the dismissal of the workman, it is incumbent on the part of the Company to discharge the burden of proof that the dismissal was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[204]</w:t>
      </w:r>
      <w:r>
        <w:rPr>
          <w:rFonts w:ascii="arial" w:eastAsia="arial" w:hAnsi="arial" w:cs="arial"/>
          <w:b w:val="0"/>
          <w:i w:val="0"/>
          <w:strike w:val="0"/>
          <w:noProof w:val="0"/>
          <w:color w:val="000000"/>
          <w:position w:val="0"/>
          <w:sz w:val="24"/>
          <w:u w:val="none"/>
          <w:vertAlign w:val="baseline"/>
        </w:rPr>
        <w:t>  It is trite law that the Company bears the burden to prove that the Claimant had committed the alleged misconduct and the conduct warrants the Claimant’s dismissal. The Company must prove the Claimant guilty and it is not the Claimant who must prove himself not guilty.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[205]</w:t>
      </w:r>
      <w:r>
        <w:rPr>
          <w:rFonts w:ascii="arial" w:eastAsia="arial" w:hAnsi="arial" w:cs="arial"/>
          <w:b w:val="0"/>
          <w:i w:val="0"/>
          <w:strike w:val="0"/>
          <w:noProof w:val="0"/>
          <w:color w:val="000000"/>
          <w:position w:val="0"/>
          <w:sz w:val="24"/>
          <w:u w:val="none"/>
          <w:vertAlign w:val="baseline"/>
        </w:rPr>
        <w:t xml:space="preserve">  This principle was laid down by His Lordship Mr. Justice Raja Azlan Shah C. J. (Malaya) (now His Royal Highness the Sultan of Perak) in the case of </w:t>
      </w:r>
      <w:r>
        <w:rPr>
          <w:rFonts w:ascii="arial" w:eastAsia="arial" w:hAnsi="arial" w:cs="arial"/>
          <w:b w:val="0"/>
          <w:i/>
          <w:strike w:val="0"/>
          <w:noProof w:val="0"/>
          <w:color w:val="000000"/>
          <w:position w:val="0"/>
          <w:sz w:val="24"/>
          <w:u w:val="none"/>
          <w:vertAlign w:val="baseline"/>
        </w:rPr>
        <w:t xml:space="preserve">GOON KWEE PHOY v J &amp; P COATS (M) BHC)  </w:t>
      </w:r>
      <w:r>
        <w:rPr>
          <w:rFonts w:ascii="arial" w:eastAsia="arial" w:hAnsi="arial" w:cs="arial"/>
          <w:b w:val="0"/>
          <w:i w:val="0"/>
          <w:strike w:val="0"/>
          <w:noProof w:val="0"/>
          <w:color w:val="000000"/>
          <w:position w:val="0"/>
          <w:sz w:val="24"/>
          <w:u w:val="none"/>
          <w:vertAlign w:val="baseline"/>
        </w:rPr>
        <w:t>[1981] 2 ML J 129. The relevant passages are found at p. 1 36 of the report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representations are made and are referred to the Industrial Court for enquiry, it is the duty of that court to determine whether the termination or dismissal is with or without just cause or excuse.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single"/>
          <w:vertAlign w:val="baseline"/>
        </w:rPr>
        <w:t>If the employer chooses to give a reason for the action taken by him, the duty of the Industrial Court will be to enquire whether that excuse or reasons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[emphasis added]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[206]</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WONG YUEN HOCK v SYARIKAT HONG LEONG ASSURANCE SDN BHD &amp; ANOTHER APPEAL  </w:t>
      </w:r>
      <w:r>
        <w:rPr>
          <w:rFonts w:ascii="arial" w:eastAsia="arial" w:hAnsi="arial" w:cs="arial"/>
          <w:b w:val="0"/>
          <w:i w:val="0"/>
          <w:strike w:val="0"/>
          <w:noProof w:val="0"/>
          <w:color w:val="000000"/>
          <w:position w:val="0"/>
          <w:sz w:val="24"/>
          <w:u w:val="none"/>
          <w:vertAlign w:val="baseline"/>
        </w:rPr>
        <w:t>[1995] 3 CLJ 344, in delivering the grounds of judgment of the Federal Court, His Lordship Mr. Justice Mohd Azmi FCJ stated as follows at p.352 of the report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On the authorities, we were of the view that the main and only function of the Industrial Court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xml:space="preserve">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(unless otherwise lawfully provided by the terms of the reference), is to determine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whether the misconduct or irregularities complained by the management as the grounds of dismissal were in fact committed by the workman, and if so, whether such grounds constitute just cause or excuse.’’ </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[207]</w:t>
      </w:r>
      <w:r>
        <w:rPr>
          <w:rFonts w:ascii="arial" w:eastAsia="arial" w:hAnsi="arial" w:cs="arial"/>
          <w:b w:val="0"/>
          <w:i w:val="0"/>
          <w:strike w:val="0"/>
          <w:noProof w:val="0"/>
          <w:color w:val="000000"/>
          <w:position w:val="0"/>
          <w:sz w:val="24"/>
          <w:u w:val="none"/>
          <w:vertAlign w:val="baseline"/>
        </w:rPr>
        <w:t xml:space="preserve">  The burden of proof in an unfair dismissal claim lies on the employer to prove on a balance of probabilities that the employee is guilty of the allegation or the reason for the dismissal. This principle was expounded in </w:t>
      </w:r>
      <w:r>
        <w:rPr>
          <w:rFonts w:ascii="arial" w:eastAsia="arial" w:hAnsi="arial" w:cs="arial"/>
          <w:b w:val="0"/>
          <w:i/>
          <w:strike w:val="0"/>
          <w:noProof w:val="0"/>
          <w:color w:val="000000"/>
          <w:position w:val="0"/>
          <w:sz w:val="24"/>
          <w:u w:val="none"/>
          <w:vertAlign w:val="baseline"/>
        </w:rPr>
        <w:t xml:space="preserve">STAMFORD EXECUTIVE CENTRE V DHARSINI GANESON  </w:t>
      </w:r>
      <w:r>
        <w:rPr>
          <w:rFonts w:ascii="arial" w:eastAsia="arial" w:hAnsi="arial" w:cs="arial"/>
          <w:b w:val="0"/>
          <w:i w:val="0"/>
          <w:strike w:val="0"/>
          <w:noProof w:val="0"/>
          <w:color w:val="000000"/>
          <w:position w:val="0"/>
          <w:sz w:val="24"/>
          <w:u w:val="none"/>
          <w:vertAlign w:val="baseline"/>
        </w:rPr>
        <w:t>[1986] ILR 10</w:t>
      </w:r>
      <w:r>
        <w:rPr>
          <w:rFonts w:ascii="arial" w:eastAsia="arial" w:hAnsi="arial" w:cs="arial"/>
          <w:b/>
          <w:i w:val="0"/>
          <w:strike w:val="0"/>
          <w:noProof w:val="0"/>
          <w:color w:val="000000"/>
          <w:position w:val="0"/>
          <w:sz w:val="24"/>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a dismissal case the employer must produce convincing evidence that the workman committed the offence or offences the workman is alleged to have committed for which he has been dismissed. The burden of proof lies on the employer. The employer must prove the workman guilty and it is not the workman who must prove himself not guilty. This is so basic a principle of industrial jurisprudence that no employer is expected to come to this Court in ignorance of it.”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[208]</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[1987] 1 MELR 32 ; ; 1 MLRA 346, the Supreme Court held that: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“Where the Industrial Court is dealing with reference under s20, the first thing that the Court will have to do is to ask itself a question whether there was a dismissal , and if so, whether it was with or without just cause or excuse.”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[209]</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IREKA CONSTRUCTION BHD. V. CHANTIRAVATHAN SUBRAMANIAM JAMES  </w:t>
      </w:r>
      <w:r>
        <w:rPr>
          <w:rFonts w:ascii="arial" w:eastAsia="arial" w:hAnsi="arial" w:cs="arial"/>
          <w:b w:val="0"/>
          <w:i w:val="0"/>
          <w:strike w:val="0"/>
          <w:noProof w:val="0"/>
          <w:color w:val="000000"/>
          <w:position w:val="0"/>
          <w:sz w:val="24"/>
          <w:u w:val="none"/>
          <w:vertAlign w:val="baseline"/>
        </w:rPr>
        <w:t>[1995] 2 ILR 11 it was held that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case.”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[210]</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at the Court Appeal held that the standard of proof for cases heard before the Industrial Court is </w:t>
      </w:r>
      <w:r>
        <w:rPr>
          <w:rFonts w:ascii="arial" w:eastAsia="arial" w:hAnsi="arial" w:cs="arial"/>
          <w:b w:val="0"/>
          <w:i/>
          <w:strike w:val="0"/>
          <w:noProof w:val="0"/>
          <w:color w:val="000000"/>
          <w:position w:val="0"/>
          <w:sz w:val="24"/>
          <w:u w:val="none"/>
          <w:vertAlign w:val="baseline"/>
        </w:rPr>
        <w:t>“on the balance of probabilities”: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our view the passage quoted from Administrative Law by H.W.R. Wade &amp; C.F. Forsyth offers the clearest statement on the standard of proof required, that is the civil standard based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on the balance of probabilities</w:t>
      </w:r>
      <w:r>
        <w:rPr>
          <w:rFonts w:ascii="arial" w:eastAsia="arial" w:hAnsi="arial" w:cs="arial"/>
          <w:b w:val="0"/>
          <w:i/>
          <w:strike w:val="0"/>
          <w:noProof w:val="0"/>
          <w:color w:val="000000"/>
          <w:position w:val="0"/>
          <w:sz w:val="18"/>
          <w:u w:val="none"/>
          <w:vertAlign w:val="baseline"/>
        </w:rPr>
        <w:t>, which is flexible so that the degree of probability required is proportionate to the nature of gravity of the issue.”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[211]</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TYCO ENGINEERING AND CONSTRUCTION (M) SDN BHD V JAMES FRANCIS TRIMBLE  </w:t>
      </w:r>
      <w:r>
        <w:rPr>
          <w:rFonts w:ascii="arial" w:eastAsia="arial" w:hAnsi="arial" w:cs="arial"/>
          <w:b w:val="0"/>
          <w:i w:val="0"/>
          <w:strike w:val="0"/>
          <w:noProof w:val="0"/>
          <w:color w:val="000000"/>
          <w:position w:val="0"/>
          <w:sz w:val="24"/>
          <w:u w:val="none"/>
          <w:vertAlign w:val="baseline"/>
        </w:rPr>
        <w:t>[2000] 2 MELR 678, the Industrial Court outlined the law on the burden of proof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burden of proof that the dismissal was with just cause or excuse is on the employer which is on the balance of probabilities to adduce cogent and convincing evidence being the real reason by dismissing the employee. This is the principle of industrial jurisprudence”.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[212]</w:t>
      </w:r>
      <w:r>
        <w:rPr>
          <w:rFonts w:ascii="arial" w:eastAsia="arial" w:hAnsi="arial" w:cs="arial"/>
          <w:b w:val="0"/>
          <w:i w:val="0"/>
          <w:strike w:val="0"/>
          <w:noProof w:val="0"/>
          <w:color w:val="000000"/>
          <w:position w:val="0"/>
          <w:sz w:val="24"/>
          <w:u w:val="none"/>
          <w:vertAlign w:val="baseline"/>
        </w:rPr>
        <w:t xml:space="preserve">  Based on the case of </w:t>
      </w:r>
      <w:r>
        <w:rPr>
          <w:rFonts w:ascii="arial" w:eastAsia="arial" w:hAnsi="arial" w:cs="arial"/>
          <w:b w:val="0"/>
          <w:i/>
          <w:strike w:val="0"/>
          <w:noProof w:val="0"/>
          <w:color w:val="000000"/>
          <w:position w:val="0"/>
          <w:sz w:val="24"/>
          <w:u w:val="none"/>
          <w:vertAlign w:val="baseline"/>
        </w:rPr>
        <w:t xml:space="preserve">COLGATE PALMOLIVE (M) SDN BHD V. YAP KOK FOONG &amp; ANOTHER APPEAL  </w:t>
      </w:r>
      <w:r>
        <w:rPr>
          <w:rFonts w:ascii="arial" w:eastAsia="arial" w:hAnsi="arial" w:cs="arial"/>
          <w:b w:val="0"/>
          <w:i w:val="0"/>
          <w:strike w:val="0"/>
          <w:noProof w:val="0"/>
          <w:color w:val="000000"/>
          <w:position w:val="0"/>
          <w:sz w:val="24"/>
          <w:u w:val="none"/>
          <w:vertAlign w:val="baseline"/>
        </w:rPr>
        <w:t>[2001] 3 CLJ 9, it now remains to be considered whether the termination was with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ISSUES FOR DETERMINATION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[213]</w:t>
      </w:r>
      <w:r>
        <w:rPr>
          <w:rFonts w:ascii="arial" w:eastAsia="arial" w:hAnsi="arial" w:cs="arial"/>
          <w:b w:val="0"/>
          <w:i w:val="0"/>
          <w:strike w:val="0"/>
          <w:noProof w:val="0"/>
          <w:color w:val="000000"/>
          <w:position w:val="0"/>
          <w:sz w:val="24"/>
          <w:u w:val="none"/>
          <w:vertAlign w:val="baseline"/>
        </w:rPr>
        <w:t>  The issues in this case as follows:</w:t>
      </w:r>
      <w:r>
        <w:t>
</w:t>
      </w:r>
    </w:p>
    <w:p>
      <w:pPr>
        <w:keepNext w:val="0"/>
        <w:numPr>
          <w:numId w:val="1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has proven the alleged misconduct on a balance of probabilities;</w:t>
      </w:r>
    </w:p>
    <w:p>
      <w:pPr>
        <w:keepNext w:val="0"/>
        <w:numPr>
          <w:numId w:val="1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proven, whether the misconduct constitutes just cause or excuse for dismissal;</w:t>
      </w:r>
    </w:p>
    <w:p>
      <w:pPr>
        <w:keepNext w:val="0"/>
        <w:numPr>
          <w:numId w:val="1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dismissal was procedurally fair; and</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the dismissal is found to be without just cause or excuse, the appropriate remedy.</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FINDINGS AND EVALUATION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Alleged Misconduct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[214]</w:t>
      </w:r>
      <w:r>
        <w:rPr>
          <w:rFonts w:ascii="arial" w:eastAsia="arial" w:hAnsi="arial" w:cs="arial"/>
          <w:b w:val="0"/>
          <w:i w:val="0"/>
          <w:strike w:val="0"/>
          <w:noProof w:val="0"/>
          <w:color w:val="000000"/>
          <w:position w:val="0"/>
          <w:sz w:val="24"/>
          <w:u w:val="none"/>
          <w:vertAlign w:val="baseline"/>
        </w:rPr>
        <w:t>  The Company levelled seven allegations of misconduct. The Award here will address the substantive allegations.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First Allegation: Personal Trip to Beijing National Stadium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[215]</w:t>
      </w:r>
      <w:r>
        <w:rPr>
          <w:rFonts w:ascii="arial" w:eastAsia="arial" w:hAnsi="arial" w:cs="arial"/>
          <w:b w:val="0"/>
          <w:i w:val="0"/>
          <w:strike w:val="0"/>
          <w:noProof w:val="0"/>
          <w:color w:val="000000"/>
          <w:position w:val="0"/>
          <w:sz w:val="24"/>
          <w:u w:val="none"/>
          <w:vertAlign w:val="baseline"/>
        </w:rPr>
        <w:t>  The Company alleged that the Claimant instructed her subordinate to arrange a personal visit during a business trip and charged RM1,532 to the Company.</w:t>
      </w:r>
      <w:r>
        <w:t>
</w:t>
      </w:r>
    </w:p>
    <w:p>
      <w:pPr>
        <w:keepNext w:val="0"/>
        <w:numPr>
          <w:numId w:val="1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Honourable Court notes that both parties agree the visit occurred. The Company contends it was personal; the Claimant asserts it was for benchmarking;</w:t>
      </w:r>
    </w:p>
    <w:p>
      <w:pPr>
        <w:keepNext w:val="0"/>
        <w:numPr>
          <w:numId w:val="1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relied on the Petrosains LOA to show she had discretion over such matters;</w:t>
      </w:r>
    </w:p>
    <w:p>
      <w:pPr>
        <w:keepNext w:val="0"/>
        <w:numPr>
          <w:numId w:val="1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However, no formal report, justification, or approval was presented post-trip; and</w:t>
      </w:r>
    </w:p>
    <w:p>
      <w:pPr>
        <w:keepNext w:val="0"/>
        <w:numPr>
          <w:numId w:val="1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While the trip was within budget, approving one’s own personal expenses violates governance principles.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Finding:</w:t>
      </w:r>
      <w:r>
        <w:rPr>
          <w:rFonts w:ascii="arial" w:eastAsia="arial" w:hAnsi="arial" w:cs="arial"/>
          <w:b w:val="0"/>
          <w:i w:val="0"/>
          <w:strike w:val="0"/>
          <w:noProof w:val="0"/>
          <w:color w:val="000000"/>
          <w:position w:val="0"/>
          <w:sz w:val="24"/>
          <w:u w:val="none"/>
          <w:vertAlign w:val="baseline"/>
        </w:rPr>
        <w:t xml:space="preserve"> This Honourable Court finds this allegation proven on a balance of probabilities.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Second Allegation: Instructing Subordinate to Collect Anonymous Letters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[216]</w:t>
      </w:r>
      <w:r>
        <w:rPr>
          <w:rFonts w:ascii="arial" w:eastAsia="arial" w:hAnsi="arial" w:cs="arial"/>
          <w:b w:val="0"/>
          <w:i w:val="0"/>
          <w:strike w:val="0"/>
          <w:noProof w:val="0"/>
          <w:color w:val="000000"/>
          <w:position w:val="0"/>
          <w:sz w:val="24"/>
          <w:u w:val="none"/>
          <w:vertAlign w:val="baseline"/>
        </w:rPr>
        <w:t>  The Claimant instructed an office assistant to collect letters addressed to other members of the Petrosains Leadership Team. The letters contained allegations about the Claimant.</w:t>
      </w:r>
      <w:r>
        <w:t>
</w:t>
      </w:r>
    </w:p>
    <w:p>
      <w:pPr>
        <w:keepNext w:val="0"/>
        <w:numPr>
          <w:numId w:val="1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admitted this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asserting it was to escalate the matter to the Chairman.</w:t>
      </w:r>
    </w:p>
    <w:p>
      <w:pPr>
        <w:keepNext w:val="0"/>
        <w:numPr>
          <w:numId w:val="1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However, this instruction interfered with correspondence not addressed to 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Finding:</w:t>
      </w:r>
      <w:r>
        <w:rPr>
          <w:rFonts w:ascii="arial" w:eastAsia="arial" w:hAnsi="arial" w:cs="arial"/>
          <w:b w:val="0"/>
          <w:i w:val="0"/>
          <w:strike w:val="0"/>
          <w:noProof w:val="0"/>
          <w:color w:val="000000"/>
          <w:position w:val="0"/>
          <w:sz w:val="24"/>
          <w:u w:val="none"/>
          <w:vertAlign w:val="baseline"/>
        </w:rPr>
        <w:t xml:space="preserve"> This Honourable Court finds Misconduct established.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was improper and inconsistent with her fiduciary role.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Third Allegation and Fourth Allegation : Engaging Personal Makeup Artists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[217]</w:t>
      </w:r>
      <w:r>
        <w:rPr>
          <w:rFonts w:ascii="arial" w:eastAsia="arial" w:hAnsi="arial" w:cs="arial"/>
          <w:b w:val="0"/>
          <w:i w:val="0"/>
          <w:strike w:val="0"/>
          <w:noProof w:val="0"/>
          <w:color w:val="000000"/>
          <w:position w:val="0"/>
          <w:sz w:val="24"/>
          <w:u w:val="none"/>
          <w:vertAlign w:val="baseline"/>
        </w:rPr>
        <w:t>  The Claimant engaged two individuals (Lyzza D and Far Choy Yee Wen) as stylists/makeup artists, with payments charged to the Company.</w:t>
      </w:r>
      <w:r>
        <w:t>
</w:t>
      </w:r>
    </w:p>
    <w:p>
      <w:pPr>
        <w:keepNext w:val="0"/>
        <w:numPr>
          <w:numId w:val="1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witnesses confirmed these expenses were incurred despite similar services being available from media outlets.</w:t>
      </w:r>
    </w:p>
    <w:p>
      <w:pPr>
        <w:keepNext w:val="0"/>
        <w:numPr>
          <w:numId w:val="1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did not provide evidence of prior approval for these expenses.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Finding :</w:t>
      </w:r>
      <w:r>
        <w:rPr>
          <w:rFonts w:ascii="arial" w:eastAsia="arial" w:hAnsi="arial" w:cs="arial"/>
          <w:b w:val="0"/>
          <w:i w:val="0"/>
          <w:strike w:val="0"/>
          <w:noProof w:val="0"/>
          <w:color w:val="000000"/>
          <w:position w:val="0"/>
          <w:sz w:val="24"/>
          <w:u w:val="none"/>
          <w:vertAlign w:val="baseline"/>
        </w:rPr>
        <w:t xml:space="preserve"> This Honourable Court found that misconduct proven. These acts demonstrate poor judgment and personal benefit at the Company’s expense.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Fifth Allegation – Approval of Business Travel Expenses</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Claimant’s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[218]</w:t>
      </w:r>
      <w:r>
        <w:rPr>
          <w:rFonts w:ascii="arial" w:eastAsia="arial" w:hAnsi="arial" w:cs="arial"/>
          <w:b w:val="0"/>
          <w:i w:val="0"/>
          <w:strike w:val="0"/>
          <w:noProof w:val="0"/>
          <w:color w:val="000000"/>
          <w:position w:val="0"/>
          <w:sz w:val="24"/>
          <w:u w:val="none"/>
          <w:vertAlign w:val="baseline"/>
        </w:rPr>
        <w:t>  The Claimant argued that the approval of business-related travel and expenses was fully within her authority as CEO under the Petrosains Limits of Authority (LOA). Section 3, Part C of the LOA granted her sole approving authority for business and training-related travel outside Malaysia. No additional approvals from the Board of Petrosains or PETRONAS were required, provided the expenditures were within the approved budget.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Sixth and Seventh Allegation – Appointment of Individuals Without Proper Authorization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Claimant’s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[219]</w:t>
      </w:r>
      <w:r>
        <w:rPr>
          <w:rFonts w:ascii="arial" w:eastAsia="arial" w:hAnsi="arial" w:cs="arial"/>
          <w:b w:val="0"/>
          <w:i w:val="0"/>
          <w:strike w:val="0"/>
          <w:noProof w:val="0"/>
          <w:color w:val="000000"/>
          <w:position w:val="0"/>
          <w:sz w:val="24"/>
          <w:u w:val="none"/>
          <w:vertAlign w:val="baseline"/>
        </w:rPr>
        <w:t>  The Claimant submitted that she acted within her authority as CEO under the LOA and Petrosains’ HR guidelines. She contended that:</w:t>
      </w:r>
      <w:r>
        <w:t>
</w:t>
      </w:r>
    </w:p>
    <w:p>
      <w:pPr>
        <w:keepNext w:val="0"/>
        <w:numPr>
          <w:numId w:val="1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Talent sourcing and appointment processes were governed by internal SOPs;</w:t>
      </w:r>
    </w:p>
    <w:p>
      <w:pPr>
        <w:keepNext w:val="0"/>
        <w:numPr>
          <w:numId w:val="1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no evidence to suggest any breach of process or impropriety; and</w:t>
      </w:r>
    </w:p>
    <w:p>
      <w:pPr>
        <w:keepNext w:val="0"/>
        <w:numPr>
          <w:numId w:val="1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objections were raised at the time of appointments, and the appointments were made in good faith to fulfil operational needs. Furthermore, the Claimant emphasized that the Company failed to demonstrate any procedural breaches or produce evidence of personal benefit or favoritism.</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Company’s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[220]</w:t>
      </w:r>
      <w:r>
        <w:rPr>
          <w:rFonts w:ascii="arial" w:eastAsia="arial" w:hAnsi="arial" w:cs="arial"/>
          <w:b w:val="0"/>
          <w:i w:val="0"/>
          <w:strike w:val="0"/>
          <w:noProof w:val="0"/>
          <w:color w:val="000000"/>
          <w:position w:val="0"/>
          <w:sz w:val="24"/>
          <w:u w:val="none"/>
          <w:vertAlign w:val="baseline"/>
        </w:rPr>
        <w:t>  The Company alleged that the Claimant appointed certain individuals in violation of Petrosains’ recruitment policies. It argued that:</w:t>
      </w:r>
      <w:r>
        <w:t>
</w:t>
      </w:r>
    </w:p>
    <w:p>
      <w:pPr>
        <w:keepNext w:val="0"/>
        <w:numPr>
          <w:numId w:val="1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appointments lacked proper documentation and were not approved via the standard process; and</w:t>
      </w:r>
    </w:p>
    <w:p>
      <w:pPr>
        <w:keepNext w:val="0"/>
        <w:numPr>
          <w:numId w:val="1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These actions indicated abuse of authority and a lack of transparency.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[221]</w:t>
      </w:r>
      <w:r>
        <w:rPr>
          <w:rFonts w:ascii="arial" w:eastAsia="arial" w:hAnsi="arial" w:cs="arial"/>
          <w:b w:val="0"/>
          <w:i w:val="0"/>
          <w:strike w:val="0"/>
          <w:noProof w:val="0"/>
          <w:color w:val="000000"/>
          <w:position w:val="0"/>
          <w:sz w:val="24"/>
          <w:u w:val="none"/>
          <w:vertAlign w:val="baseline"/>
        </w:rPr>
        <w:t>  This Honourable Court Court finds that the Company failed to substantiate any procedural violation by the Claimant. On the contrary, the LOA and recruitment guidelines vested authority over talent sourcing primarily in the Director of Human Resources, not the CEO. The Claimant did not exceed her scope of authority nor interfere improperly with Humann Resourse functions. The Company led no evidence to prove any wrongful intent, nor was there any showing of gain or breach of trust. Thus, the allegation does not rise to the level of misconduct, let alone justify summary dismissal.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Sixth Allegations and Seventh allegation: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[222]</w:t>
      </w:r>
      <w:r>
        <w:rPr>
          <w:rFonts w:ascii="arial" w:eastAsia="arial" w:hAnsi="arial" w:cs="arial"/>
          <w:b w:val="0"/>
          <w:i w:val="0"/>
          <w:strike w:val="0"/>
          <w:noProof w:val="0"/>
          <w:color w:val="000000"/>
          <w:position w:val="0"/>
          <w:sz w:val="24"/>
          <w:u w:val="none"/>
          <w:vertAlign w:val="baseline"/>
        </w:rPr>
        <w:t>  This Honourable Court finds that both allegations:</w:t>
      </w:r>
      <w:r>
        <w:t>
</w:t>
      </w:r>
    </w:p>
    <w:p>
      <w:pPr>
        <w:keepNext w:val="0"/>
        <w:numPr>
          <w:numId w:val="1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Were not substantiated with convincing evidence;</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Related to functions that were clearly within the Claimant’s purview as CEO under the LOA;</w:t>
      </w:r>
    </w:p>
    <w:p>
      <w:pPr>
        <w:keepNext w:val="0"/>
        <w:numPr>
          <w:numId w:val="1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Did not involve dishonesty, fraud, or loss to the Company; and</w:t>
      </w:r>
    </w:p>
    <w:p>
      <w:pPr>
        <w:keepNext w:val="0"/>
        <w:numPr>
          <w:numId w:val="1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Do not warrant the extreme penalty of dismissal.</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PROCEDURAL FAIRNESS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[223]</w:t>
      </w:r>
      <w:r>
        <w:rPr>
          <w:rFonts w:ascii="arial" w:eastAsia="arial" w:hAnsi="arial" w:cs="arial"/>
          <w:b w:val="0"/>
          <w:i w:val="0"/>
          <w:strike w:val="0"/>
          <w:noProof w:val="0"/>
          <w:color w:val="000000"/>
          <w:position w:val="0"/>
          <w:sz w:val="24"/>
          <w:u w:val="none"/>
          <w:vertAlign w:val="baseline"/>
        </w:rPr>
        <w:t>  The Court notes with concern that no domestic inquiry was conducted.</w:t>
      </w:r>
      <w:r>
        <w:t>
</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issued a show cause letter and given the opportunity to reply;</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However, this Honourable Court finds that the process lacked transparency. The Claimant was not clearly informed of the reasons for her suspension or given proper feedback on her reply; and</w:t>
      </w:r>
    </w:p>
    <w:p>
      <w:pPr>
        <w:keepNext w:val="0"/>
        <w:numPr>
          <w:numId w:val="1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Further, the dismissal was communicated by the investigating officer rather than a properly appointed punishing authority.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[224]</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i w:val="0"/>
          <w:strike w:val="0"/>
          <w:noProof w:val="0"/>
          <w:color w:val="000000"/>
          <w:position w:val="0"/>
          <w:sz w:val="24"/>
          <w:u w:val="none"/>
          <w:vertAlign w:val="baseline"/>
        </w:rPr>
        <w:t>Finding of this Honourable Court:</w:t>
      </w:r>
      <w:r>
        <w:rPr>
          <w:rFonts w:ascii="arial" w:eastAsia="arial" w:hAnsi="arial" w:cs="arial"/>
          <w:b w:val="0"/>
          <w:i w:val="0"/>
          <w:strike w:val="0"/>
          <w:noProof w:val="0"/>
          <w:color w:val="000000"/>
          <w:position w:val="0"/>
          <w:sz w:val="24"/>
          <w:u w:val="none"/>
          <w:vertAlign w:val="baseline"/>
        </w:rPr>
        <w:t xml:space="preserve"> The Company failed to comply fully with its own disciplinary process. The dismissal was procedurally flawed.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[225]</w:t>
      </w:r>
      <w:r>
        <w:rPr>
          <w:rFonts w:ascii="arial" w:eastAsia="arial" w:hAnsi="arial" w:cs="arial"/>
          <w:b w:val="0"/>
          <w:i w:val="0"/>
          <w:strike w:val="0"/>
          <w:noProof w:val="0"/>
          <w:color w:val="000000"/>
          <w:position w:val="0"/>
          <w:sz w:val="24"/>
          <w:u w:val="none"/>
          <w:vertAlign w:val="baseline"/>
        </w:rPr>
        <w:t>  The supported Authorities with this issue has been discussed in the case of:-</w:t>
      </w:r>
      <w:r>
        <w:t>
</w:t>
      </w:r>
    </w:p>
    <w:p>
      <w:pPr>
        <w:keepNext w:val="0"/>
        <w:numPr>
          <w:numId w:val="140"/>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1 MLRA 415; ; [1981] 2 MLJ 129</w:t>
      </w:r>
      <w:r>
        <w:rPr>
          <w:rFonts w:ascii="arial" w:eastAsia="arial" w:hAnsi="arial" w:cs="arial"/>
          <w:b/>
          <w:i w:val="0"/>
          <w:strike w:val="0"/>
          <w:noProof w:val="0"/>
          <w:color w:val="000000"/>
          <w:position w:val="0"/>
          <w:sz w:val="24"/>
          <w:u w:val="none"/>
          <w:vertAlign w:val="baseline"/>
        </w:rPr>
        <w:t xml:space="preserve"> (FC)</w:t>
      </w:r>
      <w:r>
        <w:rPr>
          <w:rFonts w:ascii="arial" w:eastAsia="arial" w:hAnsi="arial" w:cs="arial"/>
          <w:b w:val="0"/>
          <w:i w:val="0"/>
          <w:strike w:val="0"/>
          <w:noProof w:val="0"/>
          <w:color w:val="000000"/>
          <w:position w:val="0"/>
          <w:sz w:val="24"/>
          <w:u w:val="none"/>
          <w:vertAlign w:val="baseline"/>
        </w:rPr>
        <w:t>: Burden lies on employer to prove misconduct known at the time of dismissal; and</w:t>
      </w:r>
    </w:p>
    <w:p>
      <w:pPr>
        <w:keepNext w:val="0"/>
        <w:numPr>
          <w:numId w:val="141"/>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FC Maritime (M) Sdn Bhd v Tan Ah Gek  </w:t>
      </w:r>
      <w:r>
        <w:rPr>
          <w:rFonts w:ascii="arial" w:eastAsia="arial" w:hAnsi="arial" w:cs="arial"/>
          <w:b w:val="0"/>
          <w:i w:val="0"/>
          <w:strike w:val="0"/>
          <w:noProof w:val="0"/>
          <w:color w:val="000000"/>
          <w:position w:val="0"/>
          <w:sz w:val="24"/>
          <w:u w:val="none"/>
          <w:vertAlign w:val="baseline"/>
        </w:rPr>
        <w:t>[2021] 5 MLJ 723; ; [2021] MLJU 2189</w:t>
      </w:r>
      <w:r>
        <w:rPr>
          <w:rFonts w:ascii="arial" w:eastAsia="arial" w:hAnsi="arial" w:cs="arial"/>
          <w:b/>
          <w:i w:val="0"/>
          <w:strike w:val="0"/>
          <w:noProof w:val="0"/>
          <w:color w:val="000000"/>
          <w:position w:val="0"/>
          <w:sz w:val="24"/>
          <w:u w:val="none"/>
          <w:vertAlign w:val="baseline"/>
        </w:rPr>
        <w:t xml:space="preserve"> (FC)</w:t>
      </w:r>
      <w:r>
        <w:rPr>
          <w:rFonts w:ascii="arial" w:eastAsia="arial" w:hAnsi="arial" w:cs="arial"/>
          <w:b w:val="0"/>
          <w:i w:val="0"/>
          <w:strike w:val="0"/>
          <w:noProof w:val="0"/>
          <w:color w:val="000000"/>
          <w:position w:val="0"/>
          <w:sz w:val="24"/>
          <w:u w:val="none"/>
          <w:vertAlign w:val="baseline"/>
        </w:rPr>
        <w:t>: Court only considers the employer’s reasons operating at the time of dismissal.</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Doctrine of Proportionality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[226]</w:t>
      </w:r>
      <w:r>
        <w:rPr>
          <w:rFonts w:ascii="arial" w:eastAsia="arial" w:hAnsi="arial" w:cs="arial"/>
          <w:b w:val="0"/>
          <w:i w:val="0"/>
          <w:strike w:val="0"/>
          <w:noProof w:val="0"/>
          <w:color w:val="000000"/>
          <w:position w:val="0"/>
          <w:sz w:val="24"/>
          <w:u w:val="none"/>
          <w:vertAlign w:val="baseline"/>
        </w:rPr>
        <w:t>  The doctrine of proportionality requires the punishment imposed to be commensurate with the misconduct proven.</w:t>
      </w:r>
      <w:r>
        <w:t>
</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13 years and 8 months of unblemished service;</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acts complained of, while inappropriate, did not involve fraud, dishonesty, or major financial loss; and</w:t>
      </w:r>
    </w:p>
    <w:p>
      <w:pPr>
        <w:keepNext w:val="0"/>
        <w:numPr>
          <w:numId w:val="1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no evidence of malicious intent or personal enrichment.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Finding:</w:t>
      </w:r>
      <w:r>
        <w:rPr>
          <w:rFonts w:ascii="arial" w:eastAsia="arial" w:hAnsi="arial" w:cs="arial"/>
          <w:b w:val="0"/>
          <w:i w:val="0"/>
          <w:strike w:val="0"/>
          <w:noProof w:val="0"/>
          <w:color w:val="000000"/>
          <w:position w:val="0"/>
          <w:sz w:val="24"/>
          <w:u w:val="none"/>
          <w:vertAlign w:val="baseline"/>
        </w:rPr>
        <w:t xml:space="preserve"> The dismissal was grossly disproportionate to the misconduct proven. A lesser punishment such as demotion or final warning would have sufficed.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Supported Authorities:</w:t>
      </w:r>
    </w:p>
    <w:p>
      <w:pPr>
        <w:keepNext w:val="0"/>
        <w:numPr>
          <w:numId w:val="145"/>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Norizan Bakar v Panazan Enterprise Sdn Bhd  </w:t>
      </w:r>
      <w:r>
        <w:rPr>
          <w:rFonts w:ascii="arial" w:eastAsia="arial" w:hAnsi="arial" w:cs="arial"/>
          <w:b w:val="0"/>
          <w:i w:val="0"/>
          <w:strike w:val="0"/>
          <w:noProof w:val="0"/>
          <w:color w:val="000000"/>
          <w:position w:val="0"/>
          <w:sz w:val="24"/>
          <w:u w:val="none"/>
          <w:vertAlign w:val="baseline"/>
        </w:rPr>
        <w:t>[2013] 6 MLJ 605</w:t>
      </w:r>
      <w:r>
        <w:rPr>
          <w:rFonts w:ascii="arial" w:eastAsia="arial" w:hAnsi="arial" w:cs="arial"/>
          <w:b/>
          <w:i w:val="0"/>
          <w:strike w:val="0"/>
          <w:noProof w:val="0"/>
          <w:color w:val="000000"/>
          <w:position w:val="0"/>
          <w:sz w:val="24"/>
          <w:u w:val="none"/>
          <w:vertAlign w:val="baseline"/>
        </w:rPr>
        <w:t xml:space="preserve"> (FC)</w:t>
      </w:r>
      <w:r>
        <w:rPr>
          <w:rFonts w:ascii="arial" w:eastAsia="arial" w:hAnsi="arial" w:cs="arial"/>
          <w:b w:val="0"/>
          <w:i w:val="0"/>
          <w:strike w:val="0"/>
          <w:noProof w:val="0"/>
          <w:color w:val="000000"/>
          <w:position w:val="0"/>
          <w:sz w:val="24"/>
          <w:u w:val="none"/>
          <w:vertAlign w:val="baseline"/>
        </w:rPr>
        <w:t>: Proportionality is inbuilt in the IRA 1967;</w:t>
      </w:r>
    </w:p>
    <w:p>
      <w:pPr>
        <w:keepNext w:val="0"/>
        <w:numPr>
          <w:numId w:val="1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Industrial Court may impose a lesser punishment; and</w:t>
      </w:r>
    </w:p>
    <w:p>
      <w:pPr>
        <w:keepNext w:val="0"/>
        <w:numPr>
          <w:numId w:val="147"/>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Sime Darby Plantation Sdn Bhd v Mas Rosezana Mohd Rosli  </w:t>
      </w:r>
      <w:r>
        <w:rPr>
          <w:rFonts w:ascii="arial" w:eastAsia="arial" w:hAnsi="arial" w:cs="arial"/>
          <w:b w:val="0"/>
          <w:i w:val="0"/>
          <w:strike w:val="0"/>
          <w:noProof w:val="0"/>
          <w:color w:val="000000"/>
          <w:position w:val="0"/>
          <w:sz w:val="24"/>
          <w:u w:val="none"/>
          <w:vertAlign w:val="baseline"/>
        </w:rPr>
        <w:t>[2023] 4 MLJ 1</w:t>
      </w:r>
      <w:r>
        <w:rPr>
          <w:rFonts w:ascii="arial" w:eastAsia="arial" w:hAnsi="arial" w:cs="arial"/>
          <w:b/>
          <w:i w:val="0"/>
          <w:strike w:val="0"/>
          <w:noProof w:val="0"/>
          <w:color w:val="000000"/>
          <w:position w:val="0"/>
          <w:sz w:val="24"/>
          <w:u w:val="none"/>
          <w:vertAlign w:val="baseline"/>
        </w:rPr>
        <w:t xml:space="preserve"> (FC)</w:t>
      </w:r>
      <w:r>
        <w:rPr>
          <w:rFonts w:ascii="arial" w:eastAsia="arial" w:hAnsi="arial" w:cs="arial"/>
          <w:b w:val="0"/>
          <w:i w:val="0"/>
          <w:strike w:val="0"/>
          <w:noProof w:val="0"/>
          <w:color w:val="000000"/>
          <w:position w:val="0"/>
          <w:sz w:val="24"/>
          <w:u w:val="none"/>
          <w:vertAlign w:val="baseline"/>
        </w:rPr>
        <w:t>: Dismissal must be proportionate even when misconduct is proven.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[227]</w:t>
      </w:r>
      <w:r>
        <w:rPr>
          <w:rFonts w:ascii="arial" w:eastAsia="arial" w:hAnsi="arial" w:cs="arial"/>
          <w:b w:val="0"/>
          <w:i w:val="0"/>
          <w:strike w:val="0"/>
          <w:noProof w:val="0"/>
          <w:color w:val="000000"/>
          <w:position w:val="0"/>
          <w:sz w:val="24"/>
          <w:u w:val="none"/>
          <w:vertAlign w:val="baseline"/>
        </w:rPr>
        <w:t>  The Claimant submitted in their written Submission that:</w:t>
      </w:r>
      <w:r>
        <w:t>
</w:t>
      </w:r>
    </w:p>
    <w:p>
      <w:pPr>
        <w:keepNext w:val="0"/>
        <w:numPr>
          <w:numId w:val="1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trip in question was related to Petrosains’ strategic initiatives;</w:t>
      </w:r>
    </w:p>
    <w:p>
      <w:pPr>
        <w:keepNext w:val="0"/>
        <w:numPr>
          <w:numId w:val="1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expenditures were within budget and consistent with past practice; and</w:t>
      </w:r>
    </w:p>
    <w:p>
      <w:pPr>
        <w:keepNext w:val="0"/>
        <w:numPr>
          <w:numId w:val="15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no evidence of personal enrichment or violation of procedure.</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Company’s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[228]</w:t>
      </w:r>
      <w:r>
        <w:rPr>
          <w:rFonts w:ascii="arial" w:eastAsia="arial" w:hAnsi="arial" w:cs="arial"/>
          <w:b w:val="0"/>
          <w:i w:val="0"/>
          <w:strike w:val="0"/>
          <w:noProof w:val="0"/>
          <w:color w:val="000000"/>
          <w:position w:val="0"/>
          <w:sz w:val="24"/>
          <w:u w:val="none"/>
          <w:vertAlign w:val="baseline"/>
        </w:rPr>
        <w:t>  The Company contended that:</w:t>
      </w:r>
      <w:r>
        <w:t>
</w:t>
      </w:r>
    </w:p>
    <w:p>
      <w:pPr>
        <w:keepNext w:val="0"/>
        <w:numPr>
          <w:numId w:val="15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While the LOA conferred certain discretions, it did not excuse the Claimant from accountability, especially where Company funds were used;</w:t>
      </w:r>
    </w:p>
    <w:p>
      <w:pPr>
        <w:keepNext w:val="0"/>
        <w:numPr>
          <w:numId w:val="15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business justification for the travel was not supported by documentation or reporting, raising questions about its legitimacy; and</w:t>
      </w:r>
    </w:p>
    <w:p>
      <w:pPr>
        <w:keepNext w:val="0"/>
        <w:numPr>
          <w:numId w:val="15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travel lacked transparency and proper oversight, which constituted a breach of financial governance.</w:t>
      </w:r>
    </w:p>
    <w:p>
      <w:pPr>
        <w:keepNext w:val="0"/>
        <w:spacing w:before="0" w:after="0" w:line="300" w:lineRule="atLeast"/>
        <w:ind w:left="0" w:right="0" w:firstLine="0"/>
        <w:jc w:val="both"/>
      </w:pPr>
      <w:r>
        <w:br/>
      </w:r>
      <w:r>
        <w:rPr>
          <w:rFonts w:ascii="arial" w:eastAsia="arial" w:hAnsi="arial" w:cs="arial"/>
          <w:b/>
          <w:i/>
          <w:strike w:val="0"/>
          <w:noProof w:val="0"/>
          <w:color w:val="000000"/>
          <w:position w:val="0"/>
          <w:sz w:val="24"/>
          <w:u w:val="none"/>
          <w:vertAlign w:val="baseline"/>
        </w:rPr>
        <w:t>Court’s Finding: The Court finds that the LOA explicitly authorized the Claimant to approve such travel without requiring further Board approval. The Company failed to show that the Claimant acted outside the LOA or that her travel was for personal rather than business purposes. The absence of a detailed post-trip report may be an administrative lapse but does not amount to misconduct or justify dismissal.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DOCTRINE OF PROPORTIONALITY OF PUNISHMENT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[229]</w:t>
      </w:r>
      <w:r>
        <w:rPr>
          <w:rFonts w:ascii="arial" w:eastAsia="arial" w:hAnsi="arial" w:cs="arial"/>
          <w:b w:val="0"/>
          <w:i w:val="0"/>
          <w:strike w:val="0"/>
          <w:noProof w:val="0"/>
          <w:color w:val="000000"/>
          <w:position w:val="0"/>
          <w:sz w:val="24"/>
          <w:u w:val="none"/>
          <w:vertAlign w:val="baseline"/>
        </w:rPr>
        <w:t xml:space="preserve">  It is settled law that where the misconducts were proven, the Industrial Court is duty bound to move on to consider whether the proven misconducts constitute just cause or excuse for the dismissal as stated in the Federal Court cases of </w:t>
      </w:r>
      <w:r>
        <w:rPr>
          <w:rFonts w:ascii="arial" w:eastAsia="arial" w:hAnsi="arial" w:cs="arial"/>
          <w:b/>
          <w:i w:val="0"/>
          <w:strike w:val="0"/>
          <w:noProof w:val="0"/>
          <w:color w:val="000000"/>
          <w:position w:val="0"/>
          <w:sz w:val="24"/>
          <w:u w:val="none"/>
          <w:vertAlign w:val="baseline"/>
        </w:rPr>
        <w:t>WONG YUEN HOCK (Supra) and MILAN AUTO (Supra).</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PUNISHMENT DISPROPORTIONATE TO THE MISCONDUCT.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[230]</w:t>
      </w:r>
      <w:r>
        <w:rPr>
          <w:rFonts w:ascii="arial" w:eastAsia="arial" w:hAnsi="arial" w:cs="arial"/>
          <w:b w:val="0"/>
          <w:i w:val="0"/>
          <w:strike w:val="0"/>
          <w:noProof w:val="0"/>
          <w:color w:val="000000"/>
          <w:position w:val="0"/>
          <w:sz w:val="24"/>
          <w:u w:val="none"/>
          <w:vertAlign w:val="baseline"/>
        </w:rPr>
        <w:t xml:space="preserve">  In support, we rely on the Federal Court authority of </w:t>
      </w:r>
      <w:r>
        <w:rPr>
          <w:rFonts w:ascii="arial" w:eastAsia="arial" w:hAnsi="arial" w:cs="arial"/>
          <w:b w:val="0"/>
          <w:i/>
          <w:strike w:val="0"/>
          <w:noProof w:val="0"/>
          <w:color w:val="000000"/>
          <w:position w:val="0"/>
          <w:sz w:val="24"/>
          <w:u w:val="none"/>
          <w:vertAlign w:val="baseline"/>
        </w:rPr>
        <w:t xml:space="preserve">NORIZAN BIN BAKAR v PANZANA ENTERPRISE SDN BHD  </w:t>
      </w:r>
      <w:r>
        <w:rPr>
          <w:rFonts w:ascii="arial" w:eastAsia="arial" w:hAnsi="arial" w:cs="arial"/>
          <w:b w:val="0"/>
          <w:i w:val="0"/>
          <w:strike w:val="0"/>
          <w:noProof w:val="0"/>
          <w:color w:val="000000"/>
          <w:position w:val="0"/>
          <w:sz w:val="24"/>
          <w:u w:val="none"/>
          <w:vertAlign w:val="baseline"/>
        </w:rPr>
        <w:t>[2013] 6 MLJ 605 (“PANZANA case”) which held as follows in the head notes at p.606 of the report.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‘‘(3) In deciding whether a proven misconduct constituted just cause or excuse for dismissal the Industrial Court had power to decide, using the doctrine of proportionality of punishment which was inbuilt into the IRA and acting in accordance with equity, good conscience and the substantial merits of the case as mandated by</w:t>
      </w:r>
      <w:r>
        <w:rPr>
          <w:rFonts w:ascii="arial" w:eastAsia="arial" w:hAnsi="arial" w:cs="arial"/>
          <w:b w:val="0"/>
          <w:i w:val="0"/>
          <w:strike w:val="0"/>
          <w:noProof w:val="0"/>
          <w:color w:val="000000"/>
          <w:position w:val="0"/>
          <w:sz w:val="18"/>
          <w:u w:val="none"/>
          <w:vertAlign w:val="baseline"/>
        </w:rPr>
        <w:t xml:space="preserve"> s 30(5)</w:t>
      </w:r>
      <w:r>
        <w:rPr>
          <w:rFonts w:ascii="arial" w:eastAsia="arial" w:hAnsi="arial" w:cs="arial"/>
          <w:b w:val="0"/>
          <w:i/>
          <w:strike w:val="0"/>
          <w:noProof w:val="0"/>
          <w:color w:val="000000"/>
          <w:position w:val="0"/>
          <w:sz w:val="18"/>
          <w:u w:val="none"/>
          <w:vertAlign w:val="baseline"/>
        </w:rPr>
        <w:t xml:space="preserve"> of the IRA, whether the punishment of dismissal was appropriate or too harsh in the circumstances (As at paras 35-36 &amp; 39)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(4) The Industrial Court could therefore substitute its own view, in place of the employer’s, as to what was the appropriate penalty for an employee’s misconduct and go on to decide the relief to be granted by taking into account the claimants’ contributory misconduct (As at para 39).’’</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[231]</w:t>
      </w:r>
      <w:r>
        <w:rPr>
          <w:rFonts w:ascii="arial" w:eastAsia="arial" w:hAnsi="arial" w:cs="arial"/>
          <w:b w:val="0"/>
          <w:i w:val="0"/>
          <w:strike w:val="0"/>
          <w:noProof w:val="0"/>
          <w:color w:val="000000"/>
          <w:position w:val="0"/>
          <w:sz w:val="24"/>
          <w:u w:val="none"/>
          <w:vertAlign w:val="baseline"/>
        </w:rPr>
        <w:t xml:space="preserve">  The Industrial Court in </w:t>
      </w:r>
      <w:r>
        <w:rPr>
          <w:rFonts w:ascii="arial" w:eastAsia="arial" w:hAnsi="arial" w:cs="arial"/>
          <w:b w:val="0"/>
          <w:i/>
          <w:strike w:val="0"/>
          <w:noProof w:val="0"/>
          <w:color w:val="000000"/>
          <w:position w:val="0"/>
          <w:sz w:val="24"/>
          <w:u w:val="none"/>
          <w:vertAlign w:val="baseline"/>
        </w:rPr>
        <w:t xml:space="preserve">KESATUAN KEBANGSAAN PEKERJA- PEKERJA BANK SEMENANJUNG MALAYSIA v MALAYAN BANKING BHD  </w:t>
      </w:r>
      <w:r>
        <w:rPr>
          <w:rFonts w:ascii="arial" w:eastAsia="arial" w:hAnsi="arial" w:cs="arial"/>
          <w:b w:val="0"/>
          <w:i w:val="0"/>
          <w:strike w:val="0"/>
          <w:noProof w:val="0"/>
          <w:color w:val="000000"/>
          <w:position w:val="0"/>
          <w:sz w:val="24"/>
          <w:u w:val="none"/>
          <w:vertAlign w:val="baseline"/>
        </w:rPr>
        <w:t xml:space="preserve">[2012] 1 MELR 469 at p.480 of the report had discussed on the </w:t>
      </w:r>
      <w:r>
        <w:rPr>
          <w:rFonts w:ascii="arial" w:eastAsia="arial" w:hAnsi="arial" w:cs="arial"/>
          <w:b w:val="0"/>
          <w:i w:val="0"/>
          <w:strike w:val="0"/>
          <w:noProof w:val="0"/>
          <w:color w:val="000000"/>
          <w:position w:val="0"/>
          <w:sz w:val="24"/>
          <w:u w:val="single"/>
          <w:vertAlign w:val="baseline"/>
        </w:rPr>
        <w:t>reasonableness of the employer’s action</w:t>
      </w:r>
      <w:r>
        <w:rPr>
          <w:rFonts w:ascii="arial" w:eastAsia="arial" w:hAnsi="arial" w:cs="arial"/>
          <w:b w:val="0"/>
          <w:i w:val="0"/>
          <w:strike w:val="0"/>
          <w:noProof w:val="0"/>
          <w:color w:val="000000"/>
          <w:position w:val="0"/>
          <w:sz w:val="24"/>
          <w:u w:val="none"/>
          <w:vertAlign w:val="baseline"/>
        </w:rPr>
        <w:t xml:space="preserve"> in dismissing an employee. Referring to the judgment in </w:t>
      </w:r>
      <w:r>
        <w:rPr>
          <w:rFonts w:ascii="arial" w:eastAsia="arial" w:hAnsi="arial" w:cs="arial"/>
          <w:b w:val="0"/>
          <w:i/>
          <w:strike w:val="0"/>
          <w:noProof w:val="0"/>
          <w:color w:val="000000"/>
          <w:position w:val="0"/>
          <w:sz w:val="24"/>
          <w:u w:val="none"/>
          <w:vertAlign w:val="baseline"/>
        </w:rPr>
        <w:t xml:space="preserve">Southern Bank Bhd v Kamarudin Othman And Anor  </w:t>
      </w:r>
      <w:r>
        <w:rPr>
          <w:rFonts w:ascii="arial" w:eastAsia="arial" w:hAnsi="arial" w:cs="arial"/>
          <w:b w:val="0"/>
          <w:i w:val="0"/>
          <w:strike w:val="0"/>
          <w:noProof w:val="0"/>
          <w:color w:val="000000"/>
          <w:position w:val="0"/>
          <w:sz w:val="24"/>
          <w:u w:val="none"/>
          <w:vertAlign w:val="baseline"/>
        </w:rPr>
        <w:t xml:space="preserve">[2005] 6 CLJ 379 which followed the Federal Court decision in </w:t>
      </w:r>
      <w:r>
        <w:rPr>
          <w:rFonts w:ascii="arial" w:eastAsia="arial" w:hAnsi="arial" w:cs="arial"/>
          <w:b w:val="0"/>
          <w:i/>
          <w:strike w:val="0"/>
          <w:noProof w:val="0"/>
          <w:color w:val="000000"/>
          <w:position w:val="0"/>
          <w:sz w:val="24"/>
          <w:u w:val="none"/>
          <w:vertAlign w:val="baseline"/>
        </w:rPr>
        <w:t xml:space="preserve">Ng Hock Cheng v Pengarah Am Penjara &amp; Ors  </w:t>
      </w:r>
      <w:r>
        <w:rPr>
          <w:rFonts w:ascii="arial" w:eastAsia="arial" w:hAnsi="arial" w:cs="arial"/>
          <w:b w:val="0"/>
          <w:i w:val="0"/>
          <w:strike w:val="0"/>
          <w:noProof w:val="0"/>
          <w:color w:val="000000"/>
          <w:position w:val="0"/>
          <w:sz w:val="24"/>
          <w:u w:val="none"/>
          <w:vertAlign w:val="baseline"/>
        </w:rPr>
        <w:t>[1998] 1 CLJ 405, the Industrial Court went on to state that the principle of proportionality of punishment must be reconciled with the test of reasonableness.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[232]</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FOLEY v POST OFFICE HSBC BANK PLC. (FORMERLY MIDLAND BANK PLC.) v MADDEN  </w:t>
      </w:r>
      <w:r>
        <w:rPr>
          <w:rFonts w:ascii="arial" w:eastAsia="arial" w:hAnsi="arial" w:cs="arial"/>
          <w:b w:val="0"/>
          <w:i w:val="0"/>
          <w:strike w:val="0"/>
          <w:noProof w:val="0"/>
          <w:color w:val="000000"/>
          <w:position w:val="0"/>
          <w:sz w:val="24"/>
          <w:u w:val="none"/>
          <w:vertAlign w:val="baseline"/>
        </w:rPr>
        <w:t>[2000] I.C.R 1283, the Court of Appeal stated as follows on the test for a reasonable employer at pp. 1292 - 1293.</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was also made clear in Iceland Frozen Food Ltd, at pp.24G-25B, that the members of the tribunal must not simply consider whether they personally think that the dismissal is fair and they must not substitute their decision as to what was the right course to adopt for that of the employer. Their proper function is to determine whether the decision to dismiss the employee fell within the band of reasonable responses “which a reasonable employer might have adopted.”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one sense it is true that, if the application of that approach leads the members of the tribunal to conclude that the dismissal was unfair, they are in effect substituting their judgment for that of the employer.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But that process must always be conducted by reference to the objective standards of the reasonable employer which are imported by the statutory reference to their own subjective views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of what they would in fact have done as an employer in the same circumstances</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(emphasis added)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[233]</w:t>
      </w:r>
      <w:r>
        <w:rPr>
          <w:rFonts w:ascii="arial" w:eastAsia="arial" w:hAnsi="arial" w:cs="arial"/>
          <w:b w:val="0"/>
          <w:i w:val="0"/>
          <w:strike w:val="0"/>
          <w:noProof w:val="0"/>
          <w:color w:val="000000"/>
          <w:position w:val="0"/>
          <w:sz w:val="24"/>
          <w:u w:val="none"/>
          <w:vertAlign w:val="baseline"/>
        </w:rPr>
        <w:t>  In the case of FOLEY v POST OFFICE</w:t>
      </w:r>
      <w:r>
        <w:rPr>
          <w:rFonts w:ascii="arial" w:eastAsia="arial" w:hAnsi="arial" w:cs="arial"/>
          <w:b/>
          <w:i w:val="0"/>
          <w:strike w:val="0"/>
          <w:noProof w:val="0"/>
          <w:color w:val="000000"/>
          <w:position w:val="0"/>
          <w:sz w:val="24"/>
          <w:u w:val="none"/>
          <w:vertAlign w:val="baseline"/>
        </w:rPr>
        <w:t xml:space="preserve"> (Supra</w:t>
      </w:r>
      <w:r>
        <w:rPr>
          <w:rFonts w:ascii="arial" w:eastAsia="arial" w:hAnsi="arial" w:cs="arial"/>
          <w:b w:val="0"/>
          <w:i w:val="0"/>
          <w:strike w:val="0"/>
          <w:noProof w:val="0"/>
          <w:color w:val="000000"/>
          <w:position w:val="0"/>
          <w:sz w:val="24"/>
          <w:u w:val="none"/>
          <w:vertAlign w:val="baseline"/>
        </w:rPr>
        <w:t>), the Court of Appeal had stated that the test of reasonableness or unreasonableness action of an employer must always be conducted by reference to the objective standard of the hypothetical reasonable employer and not by reference to their own subjective views of what they in fact would have done as an employer in the same circumstances.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[234]</w:t>
      </w:r>
      <w:r>
        <w:rPr>
          <w:rFonts w:ascii="arial" w:eastAsia="arial" w:hAnsi="arial" w:cs="arial"/>
          <w:b w:val="0"/>
          <w:i w:val="0"/>
          <w:strike w:val="0"/>
          <w:noProof w:val="0"/>
          <w:color w:val="000000"/>
          <w:position w:val="0"/>
          <w:sz w:val="24"/>
          <w:u w:val="none"/>
          <w:vertAlign w:val="baseline"/>
        </w:rPr>
        <w:t xml:space="preserve">  In an earlier Court of Appeal decision in </w:t>
      </w:r>
      <w:r>
        <w:rPr>
          <w:rFonts w:ascii="arial" w:eastAsia="arial" w:hAnsi="arial" w:cs="arial"/>
          <w:b w:val="0"/>
          <w:i/>
          <w:strike w:val="0"/>
          <w:noProof w:val="0"/>
          <w:color w:val="000000"/>
          <w:position w:val="0"/>
          <w:sz w:val="24"/>
          <w:u w:val="none"/>
          <w:vertAlign w:val="baseline"/>
        </w:rPr>
        <w:t xml:space="preserve">UNION OF CONSTRUCTION, ALLIED TRADES AND TECHNICIANS v BRAIN  </w:t>
      </w:r>
      <w:r>
        <w:rPr>
          <w:rFonts w:ascii="arial" w:eastAsia="arial" w:hAnsi="arial" w:cs="arial"/>
          <w:b w:val="0"/>
          <w:i w:val="0"/>
          <w:strike w:val="0"/>
          <w:noProof w:val="0"/>
          <w:color w:val="000000"/>
          <w:position w:val="0"/>
          <w:sz w:val="24"/>
          <w:u w:val="none"/>
          <w:vertAlign w:val="baseline"/>
        </w:rPr>
        <w:t>[1981] ILR 542, his Lordship Donaldson L. J. had this to say whether the employer had acted reasonably or otherwise at p.550 of the report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“Has the employer satisfied us that in the circumstances (having regard to equity and the substantial merits of the case) he acted reasonably in treating this conduct as a sufficient reason for dismissing the employee” As at subsection (3). Whether someone acted reasonably is always a pure question of fact, so long as the tribunal deciding the issue correctly directs itself on the matters which should and should not be taken into account.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But where Parliament has directed a tribunal to have regard to equity - and that, of course, means common fairness and not a particular branch of the law - and to the substantial merits of the case, the tribunal’s duty is really very plain. It has to look at the question in the round and without regard to a lawyer’s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[as at page 36 of 54]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technicalities</w:t>
      </w:r>
      <w:r>
        <w:rPr>
          <w:rFonts w:ascii="arial" w:eastAsia="arial" w:hAnsi="arial" w:cs="arial"/>
          <w:b w:val="0"/>
          <w:i/>
          <w:strike w:val="0"/>
          <w:noProof w:val="0"/>
          <w:color w:val="000000"/>
          <w:position w:val="0"/>
          <w:sz w:val="18"/>
          <w:u w:val="none"/>
          <w:vertAlign w:val="baseline"/>
        </w:rPr>
        <w:t>. It has to look at it in an employment and industrial relations context and not in the context of the Temple and Chancery Lane. It should, therefore, be very rare for any decision of an industrial tribunal under this section to give rise to any question of law. And this is quite plainly what Parliament intended. Of course, a tribunal can approach this simple question in a way which is other than that which Parliament intended. However, where Parliament has given to the tribunal so wide a discretion, in my judgment,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appellate courts should be very slow indeed to find that the tribunal has erred in law</w:t>
      </w:r>
      <w:r>
        <w:rPr>
          <w:rFonts w:ascii="arial" w:eastAsia="arial" w:hAnsi="arial" w:cs="arial"/>
          <w:b w:val="0"/>
          <w:i/>
          <w:strike w:val="0"/>
          <w:noProof w:val="0"/>
          <w:color w:val="000000"/>
          <w:position w:val="0"/>
          <w:sz w:val="18"/>
          <w:u w:val="none"/>
          <w:vertAlign w:val="baseline"/>
        </w:rPr>
        <w:t>. When I refer to appellate courts I do not mean only the Court of Appeal, because, although the Employment Appeal Tribunal calls itself a tribunal, it, like its predecessor, is declared by statute to be a superior court of record. It is now, after all, nearly 10 years since it was pointed out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Earl v Slater &amp; Wheeler (Airlyne) Ltd.  </w:t>
      </w:r>
      <w:r>
        <w:rPr>
          <w:rFonts w:ascii="arial" w:eastAsia="arial" w:hAnsi="arial" w:cs="arial"/>
          <w:b w:val="0"/>
          <w:i w:val="0"/>
          <w:strike w:val="0"/>
          <w:noProof w:val="0"/>
          <w:color w:val="000000"/>
          <w:position w:val="0"/>
          <w:sz w:val="18"/>
          <w:u w:val="none"/>
          <w:vertAlign w:val="baseline"/>
        </w:rPr>
        <w:t xml:space="preserve">[1972] I.C.R. 508 </w:t>
      </w:r>
      <w:r>
        <w:rPr>
          <w:rFonts w:ascii="arial" w:eastAsia="arial" w:hAnsi="arial" w:cs="arial"/>
          <w:b w:val="0"/>
          <w:i/>
          <w:strike w:val="0"/>
          <w:noProof w:val="0"/>
          <w:color w:val="000000"/>
          <w:position w:val="0"/>
          <w:sz w:val="18"/>
          <w:u w:val="none"/>
          <w:vertAlign w:val="baseline"/>
        </w:rPr>
        <w:t>that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 reasonableness or otherwise of an employer’s conduct must depend upon what he knew or ought to have known when he dismissed the employee</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PUNISHMENT TOO HARSH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[235]</w:t>
      </w:r>
      <w:r>
        <w:rPr>
          <w:rFonts w:ascii="arial" w:eastAsia="arial" w:hAnsi="arial" w:cs="arial"/>
          <w:b w:val="0"/>
          <w:i w:val="0"/>
          <w:strike w:val="0"/>
          <w:noProof w:val="0"/>
          <w:color w:val="000000"/>
          <w:position w:val="0"/>
          <w:sz w:val="24"/>
          <w:u w:val="none"/>
          <w:vertAlign w:val="baseline"/>
        </w:rPr>
        <w:t xml:space="preserve">  In considering the reasonableness or unreasonableness response of the employer, another Division of the Industrial Court in </w:t>
      </w:r>
      <w:r>
        <w:rPr>
          <w:rFonts w:ascii="arial" w:eastAsia="arial" w:hAnsi="arial" w:cs="arial"/>
          <w:b w:val="0"/>
          <w:i/>
          <w:strike w:val="0"/>
          <w:noProof w:val="0"/>
          <w:color w:val="000000"/>
          <w:position w:val="0"/>
          <w:sz w:val="24"/>
          <w:u w:val="none"/>
          <w:vertAlign w:val="baseline"/>
        </w:rPr>
        <w:t xml:space="preserve">RICWIL (MALAYSIA) SDN BHD v THAM CHAI WAN  </w:t>
      </w:r>
      <w:r>
        <w:rPr>
          <w:rFonts w:ascii="arial" w:eastAsia="arial" w:hAnsi="arial" w:cs="arial"/>
          <w:b w:val="0"/>
          <w:i w:val="0"/>
          <w:strike w:val="0"/>
          <w:noProof w:val="0"/>
          <w:color w:val="000000"/>
          <w:position w:val="0"/>
          <w:sz w:val="24"/>
          <w:u w:val="none"/>
          <w:vertAlign w:val="baseline"/>
        </w:rPr>
        <w:t>[2004] 3 ILR 293</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after </w:t>
      </w:r>
      <w:r>
        <w:rPr>
          <w:rFonts w:ascii="arial" w:eastAsia="arial" w:hAnsi="arial" w:cs="arial"/>
          <w:b/>
          <w:i w:val="0"/>
          <w:strike w:val="0"/>
          <w:noProof w:val="0"/>
          <w:color w:val="000000"/>
          <w:position w:val="0"/>
          <w:sz w:val="24"/>
          <w:u w:val="none"/>
          <w:vertAlign w:val="baseline"/>
        </w:rPr>
        <w:t>perusing</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UNION CONSTRUCTION, ALLIED TRADES &amp; TECHNICIAN (Supra) and FOLEY v POST OFFICE </w:t>
      </w:r>
      <w:r>
        <w:rPr>
          <w:rFonts w:ascii="arial" w:eastAsia="arial" w:hAnsi="arial" w:cs="arial"/>
          <w:b/>
          <w:i w:val="0"/>
          <w:strike w:val="0"/>
          <w:noProof w:val="0"/>
          <w:color w:val="000000"/>
          <w:position w:val="0"/>
          <w:sz w:val="24"/>
          <w:u w:val="none"/>
          <w:vertAlign w:val="baseline"/>
        </w:rPr>
        <w:t xml:space="preserve"> (Supra)</w:t>
      </w:r>
      <w:r>
        <w:rPr>
          <w:rFonts w:ascii="arial" w:eastAsia="arial" w:hAnsi="arial" w:cs="arial"/>
          <w:b w:val="0"/>
          <w:i w:val="0"/>
          <w:strike w:val="0"/>
          <w:noProof w:val="0"/>
          <w:color w:val="000000"/>
          <w:position w:val="0"/>
          <w:sz w:val="24"/>
          <w:u w:val="none"/>
          <w:vertAlign w:val="baseline"/>
        </w:rPr>
        <w:t xml:space="preserve"> decided that, taking into consideration the circumstances under which the Claimant committed the offence, punishment of dismissal was too harsh. The relevant passage is found at pp.302 303 of the report.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“I am only able to consider the question of fairness of the company’s response in the context of the reason found for the 37 of 54 dismissal, which in the instant case is the claimant’s retort to COW1 to “sack her”. A punishment of dismissal for an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of insubordination as in the instant case arising under the circumstances described will be totally out of proportion to the graver men of the offence. And in this connection I am aided by OP Malhotra’s The Law of Industrial Dispute, Vol 2, 6th Edn, at pp. 1294 and 1295 where the learned author writes: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order to avoid the charge of vindictiveness, justice, equity and fair play demand that the punishment must always be commensurate with the gravity of the offence charge. [As at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Rama Kant Misra v State of Uttar Pradesh  </w:t>
      </w:r>
      <w:r>
        <w:rPr>
          <w:rFonts w:ascii="arial" w:eastAsia="arial" w:hAnsi="arial" w:cs="arial"/>
          <w:b w:val="0"/>
          <w:i w:val="0"/>
          <w:strike w:val="0"/>
          <w:noProof w:val="0"/>
          <w:color w:val="000000"/>
          <w:position w:val="0"/>
          <w:sz w:val="18"/>
          <w:u w:val="none"/>
          <w:vertAlign w:val="baseline"/>
        </w:rPr>
        <w:t>1982 Lab IC 1790, 1792</w:t>
      </w:r>
      <w:r>
        <w:rPr>
          <w:rFonts w:ascii="arial" w:eastAsia="arial" w:hAnsi="arial" w:cs="arial"/>
          <w:b/>
          <w:i/>
          <w:strike w:val="0"/>
          <w:noProof w:val="0"/>
          <w:color w:val="000000"/>
          <w:position w:val="0"/>
          <w:sz w:val="18"/>
          <w:u w:val="none"/>
          <w:vertAlign w:val="baseline"/>
        </w:rPr>
        <w:t xml:space="preserve"> (SC)</w:t>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Based on the discussion thus far the reasonable and inescapable conclusion cannot be other that the company had no just cause or excuse for the dismissal of the claimant. That being so, I find the claimant’s dismissal by the company to be wrong.”</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[236]</w:t>
      </w:r>
      <w:r>
        <w:rPr>
          <w:rFonts w:ascii="arial" w:eastAsia="arial" w:hAnsi="arial" w:cs="arial"/>
          <w:b w:val="0"/>
          <w:i w:val="0"/>
          <w:strike w:val="0"/>
          <w:noProof w:val="0"/>
          <w:color w:val="000000"/>
          <w:position w:val="0"/>
          <w:sz w:val="24"/>
          <w:u w:val="none"/>
          <w:vertAlign w:val="baseline"/>
        </w:rPr>
        <w:t xml:space="preserve">  The High Court in </w:t>
      </w:r>
      <w:r>
        <w:rPr>
          <w:rFonts w:ascii="arial" w:eastAsia="arial" w:hAnsi="arial" w:cs="arial"/>
          <w:b w:val="0"/>
          <w:i/>
          <w:strike w:val="0"/>
          <w:noProof w:val="0"/>
          <w:color w:val="000000"/>
          <w:position w:val="0"/>
          <w:sz w:val="24"/>
          <w:u w:val="none"/>
          <w:vertAlign w:val="baseline"/>
        </w:rPr>
        <w:t xml:space="preserve">SUNMUGAM SUBRAMANIAM v JG CONTAINERS (M) SDN BHD &amp; ANOR  </w:t>
      </w:r>
      <w:r>
        <w:rPr>
          <w:rFonts w:ascii="arial" w:eastAsia="arial" w:hAnsi="arial" w:cs="arial"/>
          <w:b w:val="0"/>
          <w:i w:val="0"/>
          <w:strike w:val="0"/>
          <w:noProof w:val="0"/>
          <w:color w:val="000000"/>
          <w:position w:val="0"/>
          <w:sz w:val="24"/>
          <w:u w:val="none"/>
          <w:vertAlign w:val="baseline"/>
        </w:rPr>
        <w:t>[2000] 6 CLJ 521</w:t>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xml:space="preserve"> overturned the Industrial Court’s decision that upheld the employer’s decision to dismiss the Claimant for misconduct on account of severity of the punishment.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[237]</w:t>
      </w:r>
      <w:r>
        <w:rPr>
          <w:rFonts w:ascii="arial" w:eastAsia="arial" w:hAnsi="arial" w:cs="arial"/>
          <w:b w:val="0"/>
          <w:i w:val="0"/>
          <w:strike w:val="0"/>
          <w:noProof w:val="0"/>
          <w:color w:val="000000"/>
          <w:position w:val="0"/>
          <w:sz w:val="24"/>
          <w:u w:val="none"/>
          <w:vertAlign w:val="baseline"/>
        </w:rPr>
        <w:t xml:space="preserve">  His Lordship Faiza Thamby Chik J in </w:t>
      </w:r>
      <w:r>
        <w:rPr>
          <w:rFonts w:ascii="arial" w:eastAsia="arial" w:hAnsi="arial" w:cs="arial"/>
          <w:b/>
          <w:i w:val="0"/>
          <w:strike w:val="0"/>
          <w:noProof w:val="0"/>
          <w:color w:val="000000"/>
          <w:position w:val="0"/>
          <w:sz w:val="24"/>
          <w:u w:val="none"/>
          <w:vertAlign w:val="baseline"/>
        </w:rPr>
        <w:t>SUNMUGAM’S case</w:t>
      </w:r>
      <w:r>
        <w:rPr>
          <w:rFonts w:ascii="arial" w:eastAsia="arial" w:hAnsi="arial" w:cs="arial"/>
          <w:b w:val="0"/>
          <w:i w:val="0"/>
          <w:strike w:val="0"/>
          <w:noProof w:val="0"/>
          <w:color w:val="000000"/>
          <w:position w:val="0"/>
          <w:sz w:val="24"/>
          <w:u w:val="none"/>
          <w:vertAlign w:val="baseline"/>
        </w:rPr>
        <w:t xml:space="preserve"> (Supra) quoted with approval at p. 535 of the report the dicta of M.P. Thakkar </w:t>
      </w:r>
      <w:r>
        <w:rPr>
          <w:rFonts w:ascii="arial" w:eastAsia="arial" w:hAnsi="arial" w:cs="arial"/>
          <w:b/>
          <w:i w:val="0"/>
          <w:strike w:val="0"/>
          <w:noProof w:val="0"/>
          <w:color w:val="000000"/>
          <w:position w:val="0"/>
          <w:sz w:val="24"/>
          <w:u w:val="none"/>
          <w:vertAlign w:val="baseline"/>
        </w:rPr>
        <w:t>in the case of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RM Parmer v Gujarat Electricity Board  </w:t>
      </w:r>
      <w:r>
        <w:rPr>
          <w:rFonts w:ascii="arial" w:eastAsia="arial" w:hAnsi="arial" w:cs="arial"/>
          <w:b w:val="0"/>
          <w:i w:val="0"/>
          <w:strike w:val="0"/>
          <w:noProof w:val="0"/>
          <w:color w:val="000000"/>
          <w:position w:val="0"/>
          <w:sz w:val="24"/>
          <w:u w:val="none"/>
          <w:vertAlign w:val="baseline"/>
        </w:rPr>
        <w:t>[1983] 1 CLJ 261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different categories of the penalties can be imposed in respect of the alleged fault one of which is dismissal from service, the disciplinary authority perforce is required to consult himself for selecting the most appropriate penalty from out of the range of penalties available that can be imposed, having regard to the nature, content and gravity of the default. Unless the disciplinary authority reached the conclusion that having regard to the nature, content and magnitude of the fault committed by the employee concerned it Should be absolutely unsafe to retain him in service the maximum penalty of dismissal cannot be imposed. If a lesser penalty can be imposed without seriously jeopardising the interest of the employer the disciplinary authority cannot impose the maximum penalty of dismissal from service.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He is bound to ask his inner voice and rational faculty why a lesser penalty cannot be imposed”</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[238]</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ABU SAMAH OTHMAN v ORIENTAL ASSEMBLERS SDN BHD  </w:t>
      </w:r>
      <w:r>
        <w:rPr>
          <w:rFonts w:ascii="arial" w:eastAsia="arial" w:hAnsi="arial" w:cs="arial"/>
          <w:b w:val="0"/>
          <w:i w:val="0"/>
          <w:strike w:val="0"/>
          <w:noProof w:val="0"/>
          <w:color w:val="000000"/>
          <w:position w:val="0"/>
          <w:sz w:val="24"/>
          <w:u w:val="none"/>
          <w:vertAlign w:val="baseline"/>
        </w:rPr>
        <w:t>[2007] 3 ILR 1, the Johor Bahru High Court held that the punishment of dismissal was disproportionate to the offence that it merits the Court’s intervention herein. His Lordship Syed Ahmad Helmy J stated as follows at p.6 of the report: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“[16] Again on the principles of judicial review as laid down by the Court of Appeal decision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Menara Pan GlobaI Sdn Bhd v Arokianathan a/I Sivapiragasam  </w:t>
      </w:r>
      <w:r>
        <w:rPr>
          <w:rFonts w:ascii="arial" w:eastAsia="arial" w:hAnsi="arial" w:cs="arial"/>
          <w:b w:val="0"/>
          <w:i w:val="0"/>
          <w:strike w:val="0"/>
          <w:noProof w:val="0"/>
          <w:color w:val="000000"/>
          <w:position w:val="0"/>
          <w:sz w:val="18"/>
          <w:u w:val="none"/>
          <w:vertAlign w:val="baseline"/>
        </w:rPr>
        <w:t>[2006] 2 CLJ 501</w:t>
      </w:r>
      <w:r>
        <w:rPr>
          <w:rFonts w:ascii="arial" w:eastAsia="arial" w:hAnsi="arial" w:cs="arial"/>
          <w:b w:val="0"/>
          <w:i/>
          <w:strike w:val="0"/>
          <w:noProof w:val="0"/>
          <w:color w:val="000000"/>
          <w:position w:val="0"/>
          <w:sz w:val="18"/>
          <w:u w:val="none"/>
          <w:vertAlign w:val="baseline"/>
        </w:rPr>
        <w:t xml:space="preserve"> same is distinguishable in that it did not take into account the Federal Court decision on Ramachandran (supra) and also it did not touch on the issue or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proportionality of sentence”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[17] In any event to my mind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punishment meted out is disproportionate to alleged offence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and bearing in mind that the applicant had been working for the respondent for nine years and there was no complaint about his work performance the punishment of dismissal is rather harsh As at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Sunmugam Subramaniam v JG Container (M) Sdn Bhd &amp; Anor  </w:t>
      </w:r>
      <w:r>
        <w:rPr>
          <w:rFonts w:ascii="arial" w:eastAsia="arial" w:hAnsi="arial" w:cs="arial"/>
          <w:b w:val="0"/>
          <w:i w:val="0"/>
          <w:strike w:val="0"/>
          <w:noProof w:val="0"/>
          <w:color w:val="000000"/>
          <w:position w:val="0"/>
          <w:sz w:val="18"/>
          <w:u w:val="none"/>
          <w:vertAlign w:val="baseline"/>
        </w:rPr>
        <w:t>[2000] 6 CLJ 521</w:t>
      </w:r>
      <w:r>
        <w:rPr>
          <w:rFonts w:ascii="arial" w:eastAsia="arial" w:hAnsi="arial" w:cs="arial"/>
          <w:b/>
          <w:i/>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Ricwil (Malaysia) Sdn Bhd v Tham Chai Wan  </w:t>
      </w:r>
      <w:r>
        <w:rPr>
          <w:rFonts w:ascii="arial" w:eastAsia="arial" w:hAnsi="arial" w:cs="arial"/>
          <w:b w:val="0"/>
          <w:i w:val="0"/>
          <w:strike w:val="0"/>
          <w:noProof w:val="0"/>
          <w:color w:val="000000"/>
          <w:position w:val="0"/>
          <w:sz w:val="18"/>
          <w:u w:val="none"/>
          <w:vertAlign w:val="baseline"/>
        </w:rPr>
        <w:t>[2004] 3 293</w:t>
      </w:r>
      <w:r>
        <w:rPr>
          <w:rFonts w:ascii="arial" w:eastAsia="arial" w:hAnsi="arial" w:cs="arial"/>
          <w:b/>
          <w:i/>
          <w:strike w:val="0"/>
          <w:noProof w:val="0"/>
          <w:color w:val="000000"/>
          <w:position w:val="0"/>
          <w:sz w:val="18"/>
          <w:u w:val="none"/>
          <w:vertAlign w:val="baseline"/>
        </w:rPr>
        <w:t>.”</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BAND OF REASONABLENESS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[239]</w:t>
      </w:r>
      <w:r>
        <w:rPr>
          <w:rFonts w:ascii="arial" w:eastAsia="arial" w:hAnsi="arial" w:cs="arial"/>
          <w:b w:val="0"/>
          <w:i w:val="0"/>
          <w:strike w:val="0"/>
          <w:noProof w:val="0"/>
          <w:color w:val="000000"/>
          <w:position w:val="0"/>
          <w:sz w:val="24"/>
          <w:u w:val="none"/>
          <w:vertAlign w:val="baseline"/>
        </w:rPr>
        <w:t xml:space="preserve">  There is a band of reasonableness which a reasonable employer should consider before reaching a decision to impose the extreme penalty of dismissal. In deciding whether the Company had acted reasonably, we would rely in the dictum in </w:t>
      </w:r>
      <w:r>
        <w:rPr>
          <w:rFonts w:ascii="arial" w:eastAsia="arial" w:hAnsi="arial" w:cs="arial"/>
          <w:b w:val="0"/>
          <w:i/>
          <w:strike w:val="0"/>
          <w:noProof w:val="0"/>
          <w:color w:val="000000"/>
          <w:position w:val="0"/>
          <w:sz w:val="24"/>
          <w:u w:val="none"/>
          <w:vertAlign w:val="baseline"/>
        </w:rPr>
        <w:t xml:space="preserve">FOLEY v POST OFFICE </w:t>
      </w:r>
      <w:r>
        <w:rPr>
          <w:rFonts w:ascii="arial" w:eastAsia="arial" w:hAnsi="arial" w:cs="arial"/>
          <w:b w:val="0"/>
          <w:i w:val="0"/>
          <w:strike w:val="0"/>
          <w:noProof w:val="0"/>
          <w:color w:val="000000"/>
          <w:position w:val="0"/>
          <w:sz w:val="24"/>
          <w:u w:val="none"/>
          <w:vertAlign w:val="baseline"/>
        </w:rPr>
        <w:t xml:space="preserve"> (Supra) which stated that reasonableness or unreasonableness action of the employer must be conducted by reference to the </w:t>
      </w:r>
      <w:r>
        <w:rPr>
          <w:rFonts w:ascii="arial" w:eastAsia="arial" w:hAnsi="arial" w:cs="arial"/>
          <w:b w:val="0"/>
          <w:i w:val="0"/>
          <w:strike w:val="0"/>
          <w:noProof w:val="0"/>
          <w:color w:val="000000"/>
          <w:position w:val="0"/>
          <w:sz w:val="24"/>
          <w:u w:val="single"/>
          <w:vertAlign w:val="baseline"/>
        </w:rPr>
        <w:t>objective standard of the hypothetical reasonable employer and not by reference to their own subjective views of what they in fact would have done as an employer in the same circumstances</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[240]</w:t>
      </w:r>
      <w:r>
        <w:rPr>
          <w:rFonts w:ascii="arial" w:eastAsia="arial" w:hAnsi="arial" w:cs="arial"/>
          <w:b w:val="0"/>
          <w:i w:val="0"/>
          <w:strike w:val="0"/>
          <w:noProof w:val="0"/>
          <w:color w:val="000000"/>
          <w:position w:val="0"/>
          <w:sz w:val="24"/>
          <w:u w:val="none"/>
          <w:vertAlign w:val="baseline"/>
        </w:rPr>
        <w:t xml:space="preserve">  Rely on the dictum of M.P. Thakkar J in the case of </w:t>
      </w:r>
      <w:r>
        <w:rPr>
          <w:rFonts w:ascii="arial" w:eastAsia="arial" w:hAnsi="arial" w:cs="arial"/>
          <w:b w:val="0"/>
          <w:i/>
          <w:strike w:val="0"/>
          <w:noProof w:val="0"/>
          <w:color w:val="000000"/>
          <w:position w:val="0"/>
          <w:sz w:val="24"/>
          <w:u w:val="none"/>
          <w:vertAlign w:val="baseline"/>
        </w:rPr>
        <w:t xml:space="preserve">RM Parmer v Gujarat Electricity Board  </w:t>
      </w:r>
      <w:r>
        <w:rPr>
          <w:rFonts w:ascii="arial" w:eastAsia="arial" w:hAnsi="arial" w:cs="arial"/>
          <w:b w:val="0"/>
          <w:i w:val="0"/>
          <w:strike w:val="0"/>
          <w:noProof w:val="0"/>
          <w:color w:val="000000"/>
          <w:position w:val="0"/>
          <w:sz w:val="24"/>
          <w:u w:val="none"/>
          <w:vertAlign w:val="baseline"/>
        </w:rPr>
        <w:t xml:space="preserve">[1983] 1 ILJ 261 </w:t>
      </w:r>
      <w:r>
        <w:rPr>
          <w:rFonts w:ascii="arial" w:eastAsia="arial" w:hAnsi="arial" w:cs="arial"/>
          <w:b/>
          <w:i w:val="0"/>
          <w:strike w:val="0"/>
          <w:noProof w:val="0"/>
          <w:color w:val="000000"/>
          <w:position w:val="0"/>
          <w:sz w:val="24"/>
          <w:u w:val="none"/>
          <w:vertAlign w:val="baseline"/>
        </w:rPr>
        <w:t>cited in SUNMUGAM’S case (Supra) which stated as follows at p.535</w:t>
      </w:r>
      <w:r>
        <w:rPr>
          <w:rFonts w:ascii="arial" w:eastAsia="arial" w:hAnsi="arial" w:cs="arial"/>
          <w:b w:val="0"/>
          <w:i w:val="0"/>
          <w:strike w:val="0"/>
          <w:noProof w:val="0"/>
          <w:color w:val="000000"/>
          <w:position w:val="0"/>
          <w:sz w:val="24"/>
          <w:u w:val="none"/>
          <w:vertAlign w:val="baseline"/>
        </w:rPr>
        <w:t xml:space="preserve"> of the report.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“If a lesser penalty can be imposed without seriously jeopardising the interest of the employer, the disciplinary authority cannot impose the maximum penalty of dismissal from service. He is bound to ask his inner voice and rational fault why a lesser penalty cannot be imposed.’’</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(emphasis added)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[241]</w:t>
      </w:r>
      <w:r>
        <w:rPr>
          <w:rFonts w:ascii="arial" w:eastAsia="arial" w:hAnsi="arial" w:cs="arial"/>
          <w:b w:val="0"/>
          <w:i w:val="0"/>
          <w:strike w:val="0"/>
          <w:noProof w:val="0"/>
          <w:color w:val="000000"/>
          <w:position w:val="0"/>
          <w:sz w:val="24"/>
          <w:u w:val="none"/>
          <w:vertAlign w:val="baseline"/>
        </w:rPr>
        <w:t xml:space="preserve">  The Industrial Court in </w:t>
      </w:r>
      <w:r>
        <w:rPr>
          <w:rFonts w:ascii="arial" w:eastAsia="arial" w:hAnsi="arial" w:cs="arial"/>
          <w:b w:val="0"/>
          <w:i/>
          <w:strike w:val="0"/>
          <w:noProof w:val="0"/>
          <w:color w:val="000000"/>
          <w:position w:val="0"/>
          <w:sz w:val="24"/>
          <w:u w:val="none"/>
          <w:vertAlign w:val="baseline"/>
        </w:rPr>
        <w:t xml:space="preserve">ANG TIN HUAT v THE STORE (MALAYSIA) SDN BHD  </w:t>
      </w:r>
      <w:r>
        <w:rPr>
          <w:rFonts w:ascii="arial" w:eastAsia="arial" w:hAnsi="arial" w:cs="arial"/>
          <w:b w:val="0"/>
          <w:i w:val="0"/>
          <w:strike w:val="0"/>
          <w:noProof w:val="0"/>
          <w:color w:val="000000"/>
          <w:position w:val="0"/>
          <w:sz w:val="24"/>
          <w:u w:val="none"/>
          <w:vertAlign w:val="baseline"/>
        </w:rPr>
        <w:t>[2014] 1 ILR 85 (“The Store case”) found the claimant guilty as charged for the ‘unauthorised” Use of company money and stated that he could not be absolved himself of accountability for the use of financial assets or physical property of the company. Therefore, the claimant had been wrong from a perspective of the fiduciary relationship existing between the employer and employee.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[242]</w:t>
      </w:r>
      <w:r>
        <w:rPr>
          <w:rFonts w:ascii="arial" w:eastAsia="arial" w:hAnsi="arial" w:cs="arial"/>
          <w:b w:val="0"/>
          <w:i w:val="0"/>
          <w:strike w:val="0"/>
          <w:noProof w:val="0"/>
          <w:color w:val="000000"/>
          <w:position w:val="0"/>
          <w:sz w:val="24"/>
          <w:u w:val="none"/>
          <w:vertAlign w:val="baseline"/>
        </w:rPr>
        <w:t xml:space="preserve">  The learned Chairman in </w:t>
      </w:r>
      <w:r>
        <w:rPr>
          <w:rFonts w:ascii="arial" w:eastAsia="arial" w:hAnsi="arial" w:cs="arial"/>
          <w:b/>
          <w:i w:val="0"/>
          <w:strike w:val="0"/>
          <w:noProof w:val="0"/>
          <w:color w:val="000000"/>
          <w:position w:val="0"/>
          <w:sz w:val="24"/>
          <w:u w:val="none"/>
          <w:vertAlign w:val="baseline"/>
        </w:rPr>
        <w:t>Ang Tin Huat (supra)</w:t>
      </w:r>
      <w:r>
        <w:rPr>
          <w:rFonts w:ascii="arial" w:eastAsia="arial" w:hAnsi="arial" w:cs="arial"/>
          <w:b w:val="0"/>
          <w:i w:val="0"/>
          <w:strike w:val="0"/>
          <w:noProof w:val="0"/>
          <w:color w:val="000000"/>
          <w:position w:val="0"/>
          <w:sz w:val="24"/>
          <w:u w:val="none"/>
          <w:vertAlign w:val="baseline"/>
        </w:rPr>
        <w:t xml:space="preserve"> also went on to discuss the fiduciary nature of relationship by referring to decided cases and works of well known authors as follows at pp. 100-102 of the report. In </w:t>
      </w:r>
      <w:r>
        <w:rPr>
          <w:rFonts w:ascii="arial" w:eastAsia="arial" w:hAnsi="arial" w:cs="arial"/>
          <w:b w:val="0"/>
          <w:i/>
          <w:strike w:val="0"/>
          <w:noProof w:val="0"/>
          <w:color w:val="000000"/>
          <w:position w:val="0"/>
          <w:sz w:val="24"/>
          <w:u w:val="none"/>
          <w:vertAlign w:val="baseline"/>
        </w:rPr>
        <w:t xml:space="preserve">Azahari Shahrom &amp; Anor v Associated Pan Malaysia Cement Sdn Bhd  </w:t>
      </w:r>
      <w:r>
        <w:rPr>
          <w:rFonts w:ascii="arial" w:eastAsia="arial" w:hAnsi="arial" w:cs="arial"/>
          <w:b w:val="0"/>
          <w:i w:val="0"/>
          <w:strike w:val="0"/>
          <w:noProof w:val="0"/>
          <w:color w:val="000000"/>
          <w:position w:val="0"/>
          <w:sz w:val="24"/>
          <w:u w:val="none"/>
          <w:vertAlign w:val="baseline"/>
        </w:rPr>
        <w:t>[2010] 1 ILR 423</w:t>
      </w:r>
      <w:r>
        <w:rPr>
          <w:rFonts w:ascii="arial" w:eastAsia="arial" w:hAnsi="arial" w:cs="arial"/>
          <w:b/>
          <w:i w:val="0"/>
          <w:strike w:val="0"/>
          <w:noProof w:val="0"/>
          <w:color w:val="000000"/>
          <w:position w:val="0"/>
          <w:sz w:val="24"/>
          <w:u w:val="none"/>
          <w:vertAlign w:val="baseline"/>
        </w:rPr>
        <w:t xml:space="preserve"> (Award No. 101 of 2010) 436</w:t>
      </w:r>
      <w:r>
        <w:rPr>
          <w:rFonts w:ascii="arial" w:eastAsia="arial" w:hAnsi="arial" w:cs="arial"/>
          <w:b w:val="0"/>
          <w:i w:val="0"/>
          <w:strike w:val="0"/>
          <w:noProof w:val="0"/>
          <w:color w:val="000000"/>
          <w:position w:val="0"/>
          <w:sz w:val="24"/>
          <w:u w:val="none"/>
          <w:vertAlign w:val="baseline"/>
        </w:rPr>
        <w:t xml:space="preserve"> this court was of the view that: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“It is trite that the association between employer and employee out of necessity is fiduciary in nature. There has to be mutual trust and confidence that one would deal with the other in all fairness and rectitude over the rights and obligations flowing between the parties under the employment agreement. If one does an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or commits an omission which is inconsistent with that fiduciary relationship then that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or omission will be mala fide. This principle has equal application as against the employer and the employee in their respective position viz. the employment relationship between them.’’</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[243]</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Further, at paras 47, 48 and 49 at p. 105 of the report, the learned Chairman held that in equity and good conscience and the substantial merits of the case, the dismissal was excessively harsh, unjust and disproportionate. The relevant passage is reproduced below:</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[47] </w:t>
      </w:r>
      <w:r>
        <w:rPr>
          <w:rFonts w:ascii="arial" w:eastAsia="arial" w:hAnsi="arial" w:cs="arial"/>
          <w:b w:val="0"/>
          <w:i/>
          <w:strike w:val="0"/>
          <w:noProof w:val="0"/>
          <w:color w:val="000000"/>
          <w:position w:val="0"/>
          <w:sz w:val="18"/>
          <w:u w:val="none"/>
          <w:vertAlign w:val="baseline"/>
        </w:rPr>
        <w:t>‘‘Applying the test as prescribed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Taylor v Parsons Peebele Nei Bruce Peebles Ltd </w:t>
      </w:r>
      <w:r>
        <w:rPr>
          <w:rFonts w:ascii="arial" w:eastAsia="arial" w:hAnsi="arial" w:cs="arial"/>
          <w:b/>
          <w:i/>
          <w:strike w:val="0"/>
          <w:noProof w:val="0"/>
          <w:color w:val="000000"/>
          <w:position w:val="0"/>
          <w:sz w:val="18"/>
          <w:u w:val="none"/>
          <w:vertAlign w:val="baseline"/>
        </w:rPr>
        <w:t xml:space="preserve"> (supra)</w:t>
      </w:r>
      <w:r>
        <w:rPr>
          <w:rFonts w:ascii="arial" w:eastAsia="arial" w:hAnsi="arial" w:cs="arial"/>
          <w:b w:val="0"/>
          <w:i/>
          <w:strike w:val="0"/>
          <w:noProof w:val="0"/>
          <w:color w:val="000000"/>
          <w:position w:val="0"/>
          <w:sz w:val="18"/>
          <w:u w:val="none"/>
          <w:vertAlign w:val="baseline"/>
        </w:rPr>
        <w:t>, and if viewed in equity, good conscience and the substantial merits of this case; the termination in this instance appears excessively harsh, and disproportionate, taking into consideration the overall fidelity owed by the claimant to the company in the general scheme of things;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[48] </w:t>
      </w:r>
      <w:r>
        <w:rPr>
          <w:rFonts w:ascii="arial" w:eastAsia="arial" w:hAnsi="arial" w:cs="arial"/>
          <w:b w:val="0"/>
          <w:i/>
          <w:strike w:val="0"/>
          <w:noProof w:val="0"/>
          <w:color w:val="000000"/>
          <w:position w:val="0"/>
          <w:sz w:val="18"/>
          <w:u w:val="none"/>
          <w:vertAlign w:val="baseline"/>
        </w:rPr>
        <w:t>That there were other sanctions available in the “armoury of punishment” open to the company is trite. That they chose the ultimate one and applied it against the claimant in this instance was somewhat draconic, to say the least. Surely after 28 years of loyal service the claimant deserved a modicum of mercy; and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[49] </w:t>
      </w:r>
      <w:r>
        <w:rPr>
          <w:rFonts w:ascii="arial" w:eastAsia="arial" w:hAnsi="arial" w:cs="arial"/>
          <w:b w:val="0"/>
          <w:i/>
          <w:strike w:val="0"/>
          <w:noProof w:val="0"/>
          <w:color w:val="000000"/>
          <w:position w:val="0"/>
          <w:sz w:val="18"/>
          <w:u w:val="none"/>
          <w:vertAlign w:val="baseline"/>
        </w:rPr>
        <w:t>Hardly a reasonable reaction from a reasonable employer in the whole circumstances of the case.”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[244]</w:t>
      </w:r>
      <w:r>
        <w:rPr>
          <w:rFonts w:ascii="arial" w:eastAsia="arial" w:hAnsi="arial" w:cs="arial"/>
          <w:b w:val="0"/>
          <w:i w:val="0"/>
          <w:strike w:val="0"/>
          <w:noProof w:val="0"/>
          <w:color w:val="000000"/>
          <w:position w:val="0"/>
          <w:sz w:val="24"/>
          <w:u w:val="none"/>
          <w:vertAlign w:val="baseline"/>
        </w:rPr>
        <w:t xml:space="preserve">  In regard to the doctrine of proportionality, his Lordship Lee Swee Seng J, in THE STORE case referred to the Federal Court decision in </w:t>
      </w:r>
      <w:r>
        <w:rPr>
          <w:rFonts w:ascii="arial" w:eastAsia="arial" w:hAnsi="arial" w:cs="arial"/>
          <w:b/>
          <w:i w:val="0"/>
          <w:strike w:val="0"/>
          <w:noProof w:val="0"/>
          <w:color w:val="000000"/>
          <w:position w:val="0"/>
          <w:sz w:val="24"/>
          <w:u w:val="none"/>
          <w:vertAlign w:val="baseline"/>
        </w:rPr>
        <w:t>PANZANA</w:t>
      </w:r>
      <w:r>
        <w:rPr>
          <w:rFonts w:ascii="arial" w:eastAsia="arial" w:hAnsi="arial" w:cs="arial"/>
          <w:b w:val="0"/>
          <w:i w:val="0"/>
          <w:strike w:val="0"/>
          <w:noProof w:val="0"/>
          <w:color w:val="000000"/>
          <w:position w:val="0"/>
          <w:sz w:val="24"/>
          <w:u w:val="none"/>
          <w:vertAlign w:val="baseline"/>
        </w:rPr>
        <w:t xml:space="preserve"> case and stated as follows at p. 17 of the report: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“[42] Recently the Federal Court has clearly approved the application of the doctrine of proportionality in determining whether the dismissal of a workman can be upheld in a reference under</w:t>
      </w:r>
      <w:r>
        <w:rPr>
          <w:rFonts w:ascii="arial" w:eastAsia="arial" w:hAnsi="arial" w:cs="arial"/>
          <w:b w:val="0"/>
          <w:i w:val="0"/>
          <w:strike w:val="0"/>
          <w:noProof w:val="0"/>
          <w:color w:val="000000"/>
          <w:position w:val="0"/>
          <w:sz w:val="18"/>
          <w:u w:val="none"/>
          <w:vertAlign w:val="baseline"/>
        </w:rPr>
        <w:t xml:space="preserve"> s. 20(3) IRA</w:t>
      </w:r>
      <w:r>
        <w:rPr>
          <w:rFonts w:ascii="arial" w:eastAsia="arial" w:hAnsi="arial" w:cs="arial"/>
          <w:b w:val="0"/>
          <w:i/>
          <w:strike w:val="0"/>
          <w:noProof w:val="0"/>
          <w:color w:val="000000"/>
          <w:position w:val="0"/>
          <w:sz w:val="18"/>
          <w:u w:val="none"/>
          <w:vertAlign w:val="baseline"/>
        </w:rPr>
        <w:t>. In other words in determining whether the dismissal was for a just cause and excuse, the Industrial Court is entitled to ask itself if the dismissal, being the maximum punishment that could be meted out by an employer for the misconduct of its employee, is proportionate to the severity of the misconduct that the employee is guilty of. In the event that it is not, the Industrial Court would be perfectly justified in holding that the dismissal was without just cause and excuse in that it was disproportionate to the gravity of the misconduct and in assessing compensation, the Industrial Court may take into consideration the contributory conduct of the dismissed employee.’’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[245]</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The Federal Court has placed the doctrine of proportionality in such cases beyond a pale of doubt in the relevant dicta of His Lordship Raus Sharif PCA in</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Norizan Bakar v Panzana Enterprise Sdn Bhd  </w:t>
      </w:r>
      <w:r>
        <w:rPr>
          <w:rFonts w:ascii="arial" w:eastAsia="arial" w:hAnsi="arial" w:cs="arial"/>
          <w:b w:val="0"/>
          <w:i w:val="0"/>
          <w:strike w:val="0"/>
          <w:noProof w:val="0"/>
          <w:color w:val="000000"/>
          <w:position w:val="0"/>
          <w:sz w:val="24"/>
          <w:u w:val="none"/>
          <w:vertAlign w:val="baseline"/>
        </w:rPr>
        <w:t>[2013] 9 CLJ 409</w:t>
      </w:r>
      <w:r>
        <w:rPr>
          <w:rFonts w:ascii="arial" w:eastAsia="arial" w:hAnsi="arial" w:cs="arial"/>
          <w:b/>
          <w:i w:val="0"/>
          <w:strike w:val="0"/>
          <w:noProof w:val="0"/>
          <w:color w:val="000000"/>
          <w:position w:val="0"/>
          <w:sz w:val="24"/>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whole scheme and structure of managing industrial relations and disputes for the private sector under the IRA is that the doctrine of proportionality is applicable in any consideration as to whether dismissal is for just cause and excuse.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Thus an employer under a reference under</w:t>
      </w:r>
      <w:r>
        <w:rPr>
          <w:rFonts w:ascii="arial" w:eastAsia="arial" w:hAnsi="arial" w:cs="arial"/>
          <w:b w:val="0"/>
          <w:i w:val="0"/>
          <w:strike w:val="0"/>
          <w:noProof w:val="0"/>
          <w:color w:val="000000"/>
          <w:position w:val="0"/>
          <w:sz w:val="18"/>
          <w:u w:val="none"/>
          <w:vertAlign w:val="baseline"/>
        </w:rPr>
        <w:t xml:space="preserve"> s. 20(3) </w:t>
      </w:r>
      <w:r>
        <w:rPr>
          <w:rFonts w:ascii="arial" w:eastAsia="arial" w:hAnsi="arial" w:cs="arial"/>
          <w:b w:val="0"/>
          <w:i/>
          <w:strike w:val="0"/>
          <w:noProof w:val="0"/>
          <w:color w:val="000000"/>
          <w:position w:val="0"/>
          <w:sz w:val="18"/>
          <w:u w:val="none"/>
          <w:vertAlign w:val="baseline"/>
        </w:rPr>
        <w:t>I</w:t>
      </w:r>
      <w:r>
        <w:rPr>
          <w:rFonts w:ascii="arial" w:eastAsia="arial" w:hAnsi="arial" w:cs="arial"/>
          <w:b w:val="0"/>
          <w:i/>
          <w:strike w:val="0"/>
          <w:noProof w:val="0"/>
          <w:color w:val="000000"/>
          <w:position w:val="0"/>
          <w:sz w:val="18"/>
          <w:u w:val="single"/>
          <w:vertAlign w:val="baseline"/>
        </w:rPr>
        <w:t>RA has both the burden of Droving the misconduct and also justifying that the dismissal is proportionate in the circumstances of the case</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(emphasis added)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[246]</w:t>
      </w:r>
      <w:r>
        <w:rPr>
          <w:rFonts w:ascii="arial" w:eastAsia="arial" w:hAnsi="arial" w:cs="arial"/>
          <w:b w:val="0"/>
          <w:i w:val="0"/>
          <w:strike w:val="0"/>
          <w:noProof w:val="0"/>
          <w:color w:val="000000"/>
          <w:position w:val="0"/>
          <w:sz w:val="24"/>
          <w:u w:val="none"/>
          <w:vertAlign w:val="baseline"/>
        </w:rPr>
        <w:t xml:space="preserve">  The Industrial Court in </w:t>
      </w:r>
      <w:r>
        <w:rPr>
          <w:rFonts w:ascii="arial" w:eastAsia="arial" w:hAnsi="arial" w:cs="arial"/>
          <w:b w:val="0"/>
          <w:i/>
          <w:strike w:val="0"/>
          <w:noProof w:val="0"/>
          <w:color w:val="000000"/>
          <w:position w:val="0"/>
          <w:sz w:val="24"/>
          <w:u w:val="none"/>
          <w:vertAlign w:val="baseline"/>
        </w:rPr>
        <w:t xml:space="preserve">WARREN ZAWAWI HUSSEIN v WAGNER GLOBAL SERVICES (M) SDN BHD  </w:t>
      </w:r>
      <w:r>
        <w:rPr>
          <w:rFonts w:ascii="arial" w:eastAsia="arial" w:hAnsi="arial" w:cs="arial"/>
          <w:b w:val="0"/>
          <w:i w:val="0"/>
          <w:strike w:val="0"/>
          <w:noProof w:val="0"/>
          <w:color w:val="000000"/>
          <w:position w:val="0"/>
          <w:sz w:val="24"/>
          <w:u w:val="none"/>
          <w:vertAlign w:val="baseline"/>
        </w:rPr>
        <w:t>[2012] 3 ILR 34</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found that the employee had lied to the Company’s chairman when he denied sending carbon copies of his email to other officers in the company.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company stated that despite of giving the claimant 3 opportunities to speak the truth, the claimant was adamant and maintained his position.’’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claimant explained that it was his worst human error and was due to his mental and physical exhaustion.’’</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[247]</w:t>
      </w:r>
      <w:r>
        <w:rPr>
          <w:rFonts w:ascii="arial" w:eastAsia="arial" w:hAnsi="arial" w:cs="arial"/>
          <w:b w:val="0"/>
          <w:i w:val="0"/>
          <w:strike w:val="0"/>
          <w:noProof w:val="0"/>
          <w:color w:val="000000"/>
          <w:position w:val="0"/>
          <w:sz w:val="24"/>
          <w:u w:val="none"/>
          <w:vertAlign w:val="baseline"/>
        </w:rPr>
        <w:t>  The Industrial Court found for a fact that the claimant had indeed committed the misconduct. Then it went on to consider whether the dismissal was with just cause or excuse. The relevant passage at page 51 is reproduced below:</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“[39] In England, there is a need of the employer to have acted reasonably in dismissing an employee.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Sandhu v DES </w:t>
      </w:r>
      <w:r>
        <w:rPr>
          <w:rFonts w:ascii="arial" w:eastAsia="arial" w:hAnsi="arial" w:cs="arial"/>
          <w:b w:val="0"/>
          <w:i w:val="0"/>
          <w:strike w:val="0"/>
          <w:noProof w:val="0"/>
          <w:color w:val="000000"/>
          <w:position w:val="0"/>
          <w:sz w:val="18"/>
          <w:u w:val="none"/>
          <w:vertAlign w:val="baseline"/>
        </w:rPr>
        <w:t>[1978] 1 RLR 208</w:t>
      </w:r>
      <w:r>
        <w:rPr>
          <w:rFonts w:ascii="arial" w:eastAsia="arial" w:hAnsi="arial" w:cs="arial"/>
          <w:b w:val="0"/>
          <w:i/>
          <w:strike w:val="0"/>
          <w:noProof w:val="0"/>
          <w:color w:val="000000"/>
          <w:position w:val="0"/>
          <w:sz w:val="18"/>
          <w:u w:val="none"/>
          <w:vertAlign w:val="baseline"/>
        </w:rPr>
        <w:t xml:space="preserve"> it was held that the tribunal must still go on to consider whether the dismissal was reasonable. In the words of Sir John Donaldson, MR the Court has to consider whether the dismissal was fair on the facts before it.’’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[248]</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SUNDARARAJ M RAMASAMY &amp; ORS v NITTSU TRANSPORT SERVICES (M) SDN BHD  </w:t>
      </w:r>
      <w:r>
        <w:rPr>
          <w:rFonts w:ascii="arial" w:eastAsia="arial" w:hAnsi="arial" w:cs="arial"/>
          <w:b w:val="0"/>
          <w:i w:val="0"/>
          <w:strike w:val="0"/>
          <w:noProof w:val="0"/>
          <w:color w:val="000000"/>
          <w:position w:val="0"/>
          <w:sz w:val="24"/>
          <w:u w:val="none"/>
          <w:vertAlign w:val="baseline"/>
        </w:rPr>
        <w:t>(2014) 2 MELR 268, the Learned Chairman held that the Company has established the misconduct of illegal picket and that the said illegal picket was a serious misconduct. However, on the quantum of punishment, the Court held that it was too harsh and excessive and held the dismissal to be without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[249]</w:t>
      </w:r>
      <w:r>
        <w:rPr>
          <w:rFonts w:ascii="arial" w:eastAsia="arial" w:hAnsi="arial" w:cs="arial"/>
          <w:b w:val="0"/>
          <w:i w:val="0"/>
          <w:strike w:val="0"/>
          <w:noProof w:val="0"/>
          <w:color w:val="000000"/>
          <w:position w:val="0"/>
          <w:sz w:val="24"/>
          <w:u w:val="none"/>
          <w:vertAlign w:val="baseline"/>
        </w:rPr>
        <w:t>  Using the doctrine of proportionality of punishment the court next consider the issue as to whether the punishment of dismissal was too harsh in the circumstances.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[250]</w:t>
      </w:r>
      <w:r>
        <w:rPr>
          <w:rFonts w:ascii="arial" w:eastAsia="arial" w:hAnsi="arial" w:cs="arial"/>
          <w:b w:val="0"/>
          <w:i w:val="0"/>
          <w:strike w:val="0"/>
          <w:noProof w:val="0"/>
          <w:color w:val="000000"/>
          <w:position w:val="0"/>
          <w:sz w:val="24"/>
          <w:u w:val="none"/>
          <w:vertAlign w:val="baseline"/>
        </w:rPr>
        <w:t>  Following these principles the claims of the following claimants are allowed applying the test under the second limb of Milan Auto.</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 HAD 13 YEARS AND 8 MONTHS OF UNBLEMISHED SERVICE YEARS OF UNBLEMISSED SERVICE IS A RELEVANT FACTOR YEARS OF UNBLEMISSED SERVICE IS A RELEVANT FACTOR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[251]</w:t>
      </w:r>
      <w:r>
        <w:rPr>
          <w:rFonts w:ascii="arial" w:eastAsia="arial" w:hAnsi="arial" w:cs="arial"/>
          <w:b w:val="0"/>
          <w:i w:val="0"/>
          <w:strike w:val="0"/>
          <w:noProof w:val="0"/>
          <w:color w:val="000000"/>
          <w:position w:val="0"/>
          <w:sz w:val="24"/>
          <w:u w:val="none"/>
          <w:vertAlign w:val="baseline"/>
        </w:rPr>
        <w:t xml:space="preserve">  In reaching its decision that the dismissal was excessive and harsh though the Claimant had past record of misconduct, the learned chairman in </w:t>
      </w:r>
      <w:r>
        <w:rPr>
          <w:rFonts w:ascii="arial" w:eastAsia="arial" w:hAnsi="arial" w:cs="arial"/>
          <w:b w:val="0"/>
          <w:i/>
          <w:strike w:val="0"/>
          <w:noProof w:val="0"/>
          <w:color w:val="000000"/>
          <w:position w:val="0"/>
          <w:sz w:val="24"/>
          <w:u w:val="none"/>
          <w:vertAlign w:val="baseline"/>
        </w:rPr>
        <w:t xml:space="preserve">WAN AZMAN WAN HUSSEIN V PERUSAHAAN SADIJR TIMAH MALAYSIA (PERSTIMA) BERHAD  </w:t>
      </w:r>
      <w:r>
        <w:rPr>
          <w:rFonts w:ascii="arial" w:eastAsia="arial" w:hAnsi="arial" w:cs="arial"/>
          <w:b w:val="0"/>
          <w:i w:val="0"/>
          <w:strike w:val="0"/>
          <w:noProof w:val="0"/>
          <w:color w:val="000000"/>
          <w:position w:val="0"/>
          <w:sz w:val="24"/>
          <w:u w:val="none"/>
          <w:vertAlign w:val="baseline"/>
        </w:rPr>
        <w:t xml:space="preserve">[2013] 3 ILR 97 </w:t>
      </w:r>
      <w:r>
        <w:rPr>
          <w:rFonts w:ascii="arial" w:eastAsia="arial" w:hAnsi="arial" w:cs="arial"/>
          <w:b/>
          <w:i w:val="0"/>
          <w:strike w:val="0"/>
          <w:noProof w:val="0"/>
          <w:color w:val="000000"/>
          <w:position w:val="0"/>
          <w:sz w:val="24"/>
          <w:u w:val="none"/>
          <w:vertAlign w:val="baseline"/>
        </w:rPr>
        <w:t>held that</w:t>
      </w:r>
      <w:r>
        <w:rPr>
          <w:rFonts w:ascii="arial" w:eastAsia="arial" w:hAnsi="arial" w:cs="arial"/>
          <w:b w:val="0"/>
          <w:i w:val="0"/>
          <w:strike w:val="0"/>
          <w:noProof w:val="0"/>
          <w:color w:val="000000"/>
          <w:position w:val="0"/>
          <w:sz w:val="24"/>
          <w:u w:val="none"/>
          <w:vertAlign w:val="baseline"/>
        </w:rPr>
        <w:t xml:space="preserve"> it was without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[252]</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AHMAD KAMARUZAMAN AZIZAN v CONTINENTAL TYRE (M) SDN BHC)  </w:t>
      </w:r>
      <w:r>
        <w:rPr>
          <w:rFonts w:ascii="arial" w:eastAsia="arial" w:hAnsi="arial" w:cs="arial"/>
          <w:b w:val="0"/>
          <w:i w:val="0"/>
          <w:strike w:val="0"/>
          <w:noProof w:val="0"/>
          <w:color w:val="000000"/>
          <w:position w:val="0"/>
          <w:sz w:val="24"/>
          <w:u w:val="none"/>
          <w:vertAlign w:val="baseline"/>
        </w:rPr>
        <w:t>[2015] 4 ILR 489 the Court found that the Claimant’s misconduct of leaving the work place earlier without any approval form his superior was proven. However, the Learned Chairman held that the punishment of dismissal was harsh and without just cause or excuse. The relevant passage at pp 506-507 of the report is reproduced below:</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‘‘[54] </w:t>
      </w:r>
      <w:r>
        <w:rPr>
          <w:rFonts w:ascii="arial" w:eastAsia="arial" w:hAnsi="arial" w:cs="arial"/>
          <w:b w:val="0"/>
          <w:i/>
          <w:strike w:val="0"/>
          <w:noProof w:val="0"/>
          <w:color w:val="000000"/>
          <w:position w:val="0"/>
          <w:sz w:val="18"/>
          <w:u w:val="single"/>
          <w:vertAlign w:val="baseline"/>
        </w:rPr>
        <w:t>The next issue is whether this established misconduct entitles the company to dismiss the claimant on the basis of just cause or excuse</w:t>
      </w:r>
      <w:r>
        <w:rPr>
          <w:rFonts w:ascii="arial" w:eastAsia="arial" w:hAnsi="arial" w:cs="arial"/>
          <w:b w:val="0"/>
          <w:i/>
          <w:strike w:val="0"/>
          <w:noProof w:val="0"/>
          <w:color w:val="000000"/>
          <w:position w:val="0"/>
          <w:sz w:val="18"/>
          <w:u w:val="none"/>
          <w:vertAlign w:val="baseline"/>
        </w:rPr>
        <w:t>; ie, was the ultimate sanction in industrial jurisprudence appropriate in this case.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[55] It must be borne in mind that in deciding on the appropriate punishment for misconduct the company ought to be bound by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rules of fairness</w:t>
      </w:r>
      <w:r>
        <w:rPr>
          <w:rFonts w:ascii="arial" w:eastAsia="arial" w:hAnsi="arial" w:cs="arial"/>
          <w:b w:val="0"/>
          <w:i/>
          <w:strike w:val="0"/>
          <w:noProof w:val="0"/>
          <w:color w:val="000000"/>
          <w:position w:val="0"/>
          <w:sz w:val="18"/>
          <w:u w:val="none"/>
          <w:vertAlign w:val="baseline"/>
        </w:rPr>
        <w:t>. To do this the company must demonstrate that it had fully or at least substantially appraised the actual breaches or misconduct perpetrated by the claimant as against his antecedents with the company. Did he have a record of past employment infringements? What was the nature, the magnitude or seriousness of those infringements? Was he adequately warned, advised or counseled over his previous infringements. The failure of the company to adduce evidence on the prevailing state of affairs and particulars that were taken into account and/or evaluated, peculiar to the claimant, leading to the decision to terminate renders the company’s action subject to the intervention of this court.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Equity and good conscience in the whole circumstances of this case demand it; and all the more so given the long years of service rendered by the claimant to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company and duly acknowledged by them on the very day of the dismissal! In the premises, it is the ruling of this court that the punishment of dismissal in the instant case was harsh and for that reason it is hereby set aside as being without just cause or excuse”.</w:t>
      </w:r>
      <w:r>
        <w:t>
</w:t>
      </w:r>
    </w:p>
    <w:p/>
    <w:p>
      <w:pPr>
        <w:keepNext w:val="0"/>
        <w:spacing w:after="0" w:line="300" w:lineRule="atLeast"/>
        <w:ind w:left="0" w:right="0" w:firstLine="0"/>
        <w:jc w:val="both"/>
      </w:pPr>
      <w:r>
        <w:rPr>
          <w:rFonts w:ascii="arial" w:eastAsia="arial" w:hAnsi="arial" w:cs="arial"/>
          <w:b w:val="0"/>
          <w:i/>
          <w:strike w:val="0"/>
          <w:noProof w:val="0"/>
          <w:color w:val="000000"/>
          <w:position w:val="0"/>
          <w:sz w:val="24"/>
          <w:u w:val="none"/>
          <w:vertAlign w:val="baseline"/>
        </w:rPr>
        <w:t>[emphasis added]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NO FINANCIAL LOSS AND REPUTATION OF COMPANY NOT TARNISHED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[253]</w:t>
      </w:r>
      <w:r>
        <w:rPr>
          <w:rFonts w:ascii="arial" w:eastAsia="arial" w:hAnsi="arial" w:cs="arial"/>
          <w:b w:val="0"/>
          <w:i w:val="0"/>
          <w:strike w:val="0"/>
          <w:noProof w:val="0"/>
          <w:color w:val="000000"/>
          <w:position w:val="0"/>
          <w:sz w:val="24"/>
          <w:u w:val="none"/>
          <w:vertAlign w:val="baseline"/>
        </w:rPr>
        <w:t>  There was no evidence at all to show that the Company had suffered any financial loss or its reputation tarnished as a result of the Claimant’s alleged misconduct. Accordingly, we humbly urge the Court to hold that the dismissal was without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[254]</w:t>
      </w:r>
      <w:r>
        <w:rPr>
          <w:rFonts w:ascii="arial" w:eastAsia="arial" w:hAnsi="arial" w:cs="arial"/>
          <w:b w:val="0"/>
          <w:i w:val="0"/>
          <w:strike w:val="0"/>
          <w:noProof w:val="0"/>
          <w:color w:val="000000"/>
          <w:position w:val="0"/>
          <w:sz w:val="24"/>
          <w:u w:val="none"/>
          <w:vertAlign w:val="baseline"/>
        </w:rPr>
        <w:t xml:space="preserve">  The appropriate remedy for the Claimant is compensation in lieu of reinstatement, this Honourable Court to follow the decision of the following cases namely, </w:t>
      </w:r>
      <w:r>
        <w:rPr>
          <w:rFonts w:ascii="arial" w:eastAsia="arial" w:hAnsi="arial" w:cs="arial"/>
          <w:b w:val="0"/>
          <w:i/>
          <w:strike w:val="0"/>
          <w:noProof w:val="0"/>
          <w:color w:val="000000"/>
          <w:position w:val="0"/>
          <w:sz w:val="24"/>
          <w:u w:val="none"/>
          <w:vertAlign w:val="baseline"/>
        </w:rPr>
        <w:t xml:space="preserve">HOTEL JAYA PURI BHD v NATIONAL UNION OF HOTEL, BAR &amp; RESTAURANT WORKERS &amp; ANOR  </w:t>
      </w:r>
      <w:r>
        <w:rPr>
          <w:rFonts w:ascii="arial" w:eastAsia="arial" w:hAnsi="arial" w:cs="arial"/>
          <w:b w:val="0"/>
          <w:i w:val="0"/>
          <w:strike w:val="0"/>
          <w:noProof w:val="0"/>
          <w:color w:val="000000"/>
          <w:position w:val="0"/>
          <w:sz w:val="24"/>
          <w:u w:val="none"/>
          <w:vertAlign w:val="baseline"/>
        </w:rPr>
        <w:t>[1980] 1 MLJ 109</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KFC TECHNICAL SERVICES SDN BHD v THE INDUSTRIAL COURT OF MALAYSIA &amp; ANOR  </w:t>
      </w:r>
      <w:r>
        <w:rPr>
          <w:rFonts w:ascii="arial" w:eastAsia="arial" w:hAnsi="arial" w:cs="arial"/>
          <w:b w:val="0"/>
          <w:i w:val="0"/>
          <w:strike w:val="0"/>
          <w:noProof w:val="0"/>
          <w:color w:val="000000"/>
          <w:position w:val="0"/>
          <w:sz w:val="24"/>
          <w:u w:val="none"/>
          <w:vertAlign w:val="baseline"/>
        </w:rPr>
        <w:t>[1992] 1 ML J 564</w:t>
      </w:r>
      <w:r>
        <w:rPr>
          <w:rFonts w:ascii="arial" w:eastAsia="arial" w:hAnsi="arial" w:cs="arial"/>
          <w:b/>
          <w:i w:val="0"/>
          <w:strike w:val="0"/>
          <w:noProof w:val="0"/>
          <w:color w:val="000000"/>
          <w:position w:val="0"/>
          <w:sz w:val="24"/>
          <w:u w:val="none"/>
          <w:vertAlign w:val="baseline"/>
        </w:rPr>
        <w:t xml:space="preserve"> and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R RAMA CHANDRAN v THE INDUSTRIAL COURT OF MALAYSIA &amp; ANOR  </w:t>
      </w:r>
      <w:r>
        <w:rPr>
          <w:rFonts w:ascii="arial" w:eastAsia="arial" w:hAnsi="arial" w:cs="arial"/>
          <w:b w:val="0"/>
          <w:i w:val="0"/>
          <w:strike w:val="0"/>
          <w:noProof w:val="0"/>
          <w:color w:val="000000"/>
          <w:position w:val="0"/>
          <w:sz w:val="24"/>
          <w:u w:val="none"/>
          <w:vertAlign w:val="baseline"/>
        </w:rPr>
        <w:t>[1997] 1 ML J 145</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[255]</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Refers to the case of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ABDUL RAZAK MOHAMED v. SYARIKAT TAKAFUL MALAYSIA BERHAD  </w:t>
      </w:r>
      <w:r>
        <w:rPr>
          <w:rFonts w:ascii="arial" w:eastAsia="arial" w:hAnsi="arial" w:cs="arial"/>
          <w:b w:val="0"/>
          <w:i w:val="0"/>
          <w:strike w:val="0"/>
          <w:noProof w:val="0"/>
          <w:color w:val="000000"/>
          <w:position w:val="0"/>
          <w:sz w:val="24"/>
          <w:u w:val="none"/>
          <w:vertAlign w:val="baseline"/>
        </w:rPr>
        <w:t>[2023] ILRU 1201</w:t>
      </w:r>
      <w:r>
        <w:rPr>
          <w:rFonts w:ascii="arial" w:eastAsia="arial" w:hAnsi="arial" w:cs="arial"/>
          <w:b w:val="0"/>
          <w:i/>
          <w:strike w:val="0"/>
          <w:noProof w:val="0"/>
          <w:color w:val="000000"/>
          <w:position w:val="0"/>
          <w:sz w:val="24"/>
          <w:u w:val="none"/>
          <w:vertAlign w:val="baseline"/>
        </w:rPr>
        <w:t xml:space="preserve"> wherein the court held as follows:-</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 xml:space="preserve">‘‘[64] On this point, the court is of the view that the Company is justified to include prior offences when considering a suitable manner to deal with the Claimant’s subsequent offences. In </w:t>
      </w:r>
      <w:r>
        <w:rPr>
          <w:rFonts w:ascii="arial" w:eastAsia="arial" w:hAnsi="arial" w:cs="arial"/>
          <w:b w:val="0"/>
          <w:i/>
          <w:strike w:val="0"/>
          <w:noProof w:val="0"/>
          <w:color w:val="000000"/>
          <w:position w:val="0"/>
          <w:sz w:val="18"/>
          <w:u w:val="none"/>
          <w:vertAlign w:val="baseline"/>
        </w:rPr>
        <w:t xml:space="preserve">Zulkifli Abdul Latif v. Sistem Penerbangan Malaysia Berhad  </w:t>
      </w:r>
      <w:r>
        <w:rPr>
          <w:rFonts w:ascii="arial" w:eastAsia="arial" w:hAnsi="arial" w:cs="arial"/>
          <w:b w:val="0"/>
          <w:i w:val="0"/>
          <w:strike w:val="0"/>
          <w:noProof w:val="0"/>
          <w:color w:val="000000"/>
          <w:position w:val="0"/>
          <w:sz w:val="18"/>
          <w:u w:val="none"/>
          <w:vertAlign w:val="baseline"/>
        </w:rPr>
        <w:t>[2006] 3 ILR 1923; ; [2006] 2 MELR 506</w:t>
      </w:r>
      <w:r>
        <w:rPr>
          <w:rFonts w:ascii="arial" w:eastAsia="arial" w:hAnsi="arial" w:cs="arial"/>
          <w:b/>
          <w:i/>
          <w:strike w:val="0"/>
          <w:noProof w:val="0"/>
          <w:color w:val="000000"/>
          <w:position w:val="0"/>
          <w:sz w:val="18"/>
          <w:u w:val="none"/>
          <w:vertAlign w:val="baseline"/>
        </w:rPr>
        <w:t xml:space="preserve"> the Industrial Court held that past acts of misconduct are relevant when considering appropriate punishment.’’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[256]</w:t>
      </w:r>
      <w:r>
        <w:rPr>
          <w:rFonts w:ascii="arial" w:eastAsia="arial" w:hAnsi="arial" w:cs="arial"/>
          <w:b w:val="0"/>
          <w:i w:val="0"/>
          <w:strike w:val="0"/>
          <w:noProof w:val="0"/>
          <w:color w:val="000000"/>
          <w:position w:val="0"/>
          <w:sz w:val="24"/>
          <w:u w:val="none"/>
          <w:vertAlign w:val="baseline"/>
        </w:rPr>
        <w:t xml:space="preserve">  The claimant’s past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misconduct is also relevant in considering the punishment which was meted out by the Companies. In the case of Southern Bank Bhd v. Azmi Ali</w:t>
      </w:r>
      <w:r>
        <w:rPr>
          <w:rFonts w:ascii="arial" w:eastAsia="arial" w:hAnsi="arial" w:cs="arial"/>
          <w:b/>
          <w:i w:val="0"/>
          <w:strike w:val="0"/>
          <w:noProof w:val="0"/>
          <w:color w:val="000000"/>
          <w:position w:val="0"/>
          <w:sz w:val="24"/>
          <w:u w:val="none"/>
          <w:vertAlign w:val="baseline"/>
        </w:rPr>
        <w:t xml:space="preserve"> (supra) the court cited Suranjan Chakraveti in his Law of Dismissal (6th edn) at p. 617 stated, albeit on the question of condonation: that the Court in Madura etc</w:t>
      </w:r>
      <w:r>
        <w:rPr>
          <w:rFonts w:ascii="arial" w:eastAsia="arial" w:hAnsi="arial" w:cs="arial"/>
          <w:b w:val="0"/>
          <w:i w:val="0"/>
          <w:strike w:val="0"/>
          <w:noProof w:val="0"/>
          <w:color w:val="000000"/>
          <w:position w:val="0"/>
          <w:sz w:val="24"/>
          <w:u w:val="none"/>
          <w:vertAlign w:val="baseline"/>
        </w:rPr>
        <w:t xml:space="preserve"> Devasthanam v Sundaram Annavi and others</w:t>
      </w:r>
      <w:r>
        <w:rPr>
          <w:rFonts w:ascii="arial" w:eastAsia="arial" w:hAnsi="arial" w:cs="arial"/>
          <w:b/>
          <w:i w:val="0"/>
          <w:strike w:val="0"/>
          <w:noProof w:val="0"/>
          <w:color w:val="000000"/>
          <w:position w:val="0"/>
          <w:sz w:val="24"/>
          <w:u w:val="none"/>
          <w:vertAlign w:val="baseline"/>
        </w:rPr>
        <w:t>, expressed:</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‘‘No doubt when an offence has been condoned or dealt with and the offender retained in service, it is not open to the employer to subsequently dismiss him for the same offence, but if the servant offends again, it is perfectly justifiable for the employer to consider prior offences in determining in what manner he should be dealt with for the subsequent offence.</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[77]... In my judgment, the past misconduct is a relevant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factor to be taken into consideration.’’</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[257]</w:t>
      </w:r>
      <w:r>
        <w:rPr>
          <w:rFonts w:ascii="arial" w:eastAsia="arial" w:hAnsi="arial" w:cs="arial"/>
          <w:b w:val="0"/>
          <w:i w:val="0"/>
          <w:strike w:val="0"/>
          <w:noProof w:val="0"/>
          <w:color w:val="000000"/>
          <w:position w:val="0"/>
          <w:sz w:val="24"/>
          <w:u w:val="none"/>
          <w:vertAlign w:val="baseline"/>
        </w:rPr>
        <w:t>  In this present action, the Claimant did not have any past history of misconduct which were proven by the Company, therefore the Company’s decision to terminate the Claimant’s employment was procedurally unfair and done is an unjust manner.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[258]</w:t>
      </w:r>
      <w:r>
        <w:rPr>
          <w:rFonts w:ascii="arial" w:eastAsia="arial" w:hAnsi="arial" w:cs="arial"/>
          <w:b w:val="0"/>
          <w:i w:val="0"/>
          <w:strike w:val="0"/>
          <w:noProof w:val="0"/>
          <w:color w:val="000000"/>
          <w:position w:val="0"/>
          <w:sz w:val="24"/>
          <w:u w:val="none"/>
          <w:vertAlign w:val="baseline"/>
        </w:rPr>
        <w:t>  This Court is of the view that the following facts should also be taken into consideration in making an appropriate order:</w:t>
      </w:r>
      <w:r>
        <w:t>
</w:t>
      </w:r>
    </w:p>
    <w:p>
      <w:pPr>
        <w:keepNext w:val="0"/>
        <w:numPr>
          <w:numId w:val="15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has served the Company for over </w:t>
      </w:r>
      <w:r>
        <w:rPr>
          <w:rFonts w:ascii="arial" w:eastAsia="arial" w:hAnsi="arial" w:cs="arial"/>
          <w:b/>
          <w:i w:val="0"/>
          <w:strike w:val="0"/>
          <w:noProof w:val="0"/>
          <w:color w:val="000000"/>
          <w:position w:val="0"/>
          <w:sz w:val="24"/>
          <w:u w:val="none"/>
          <w:vertAlign w:val="baseline"/>
        </w:rPr>
        <w:t>thirteen (13) years nine (9) months</w:t>
      </w:r>
      <w:r>
        <w:rPr>
          <w:rFonts w:ascii="arial" w:eastAsia="arial" w:hAnsi="arial" w:cs="arial"/>
          <w:b w:val="0"/>
          <w:i w:val="0"/>
          <w:strike w:val="0"/>
          <w:noProof w:val="0"/>
          <w:color w:val="000000"/>
          <w:position w:val="0"/>
          <w:sz w:val="24"/>
          <w:u w:val="none"/>
          <w:vertAlign w:val="baseline"/>
        </w:rPr>
        <w:t xml:space="preserve"> clean disciplinary record. During the Claimant’s tenure of service, the Claimant had no disciplinary issues with the Company; and</w:t>
      </w:r>
    </w:p>
    <w:p>
      <w:pPr>
        <w:keepNext w:val="0"/>
        <w:numPr>
          <w:numId w:val="15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present case, as mentioned earlier, this Court is satisfied on a balance of probabilities that the Company had failed to made out the case of misconduct against the Claimant. As such the termination of the Claimant is now rendered as null and void.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[259]</w:t>
      </w:r>
      <w:r>
        <w:rPr>
          <w:rFonts w:ascii="arial" w:eastAsia="arial" w:hAnsi="arial" w:cs="arial"/>
          <w:b w:val="0"/>
          <w:i w:val="0"/>
          <w:strike w:val="0"/>
          <w:noProof w:val="0"/>
          <w:color w:val="000000"/>
          <w:position w:val="0"/>
          <w:sz w:val="24"/>
          <w:u w:val="none"/>
          <w:vertAlign w:val="baseline"/>
        </w:rPr>
        <w:t xml:space="preserve">  In addition, when carrying out any disciplinary actions, the employer must ensure that the existing law, rules and procedures are adhered to. In this regard, it has been the practice of the Industrial Court to look at the </w:t>
      </w:r>
      <w:r>
        <w:rPr>
          <w:rFonts w:ascii="arial" w:eastAsia="arial" w:hAnsi="arial" w:cs="arial"/>
          <w:b/>
          <w:i w:val="0"/>
          <w:strike w:val="0"/>
          <w:noProof w:val="0"/>
          <w:color w:val="000000"/>
          <w:position w:val="0"/>
          <w:sz w:val="24"/>
          <w:u w:val="none"/>
          <w:vertAlign w:val="baseline"/>
        </w:rPr>
        <w:t>Code of Conduct for Industrial Harmony 1975</w:t>
      </w:r>
      <w:r>
        <w:rPr>
          <w:rFonts w:ascii="arial" w:eastAsia="arial" w:hAnsi="arial" w:cs="arial"/>
          <w:b w:val="0"/>
          <w:i w:val="0"/>
          <w:strike w:val="0"/>
          <w:noProof w:val="0"/>
          <w:color w:val="000000"/>
          <w:position w:val="0"/>
          <w:sz w:val="24"/>
          <w:u w:val="none"/>
          <w:vertAlign w:val="baseline"/>
        </w:rPr>
        <w:t xml:space="preserve"> (“the Code”) in determining the issue of fairness. Though the Code has no legal force and its acceptance is voluntary, it is still relevant for the purpose of considering the overall reasonableness of the employer’s action.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[260]</w:t>
      </w:r>
      <w:r>
        <w:rPr>
          <w:rFonts w:ascii="arial" w:eastAsia="arial" w:hAnsi="arial" w:cs="arial"/>
          <w:b w:val="0"/>
          <w:i w:val="0"/>
          <w:strike w:val="0"/>
          <w:noProof w:val="0"/>
          <w:color w:val="000000"/>
          <w:position w:val="0"/>
          <w:sz w:val="24"/>
          <w:u w:val="none"/>
          <w:vertAlign w:val="baseline"/>
        </w:rPr>
        <w:t>  Clause 41 and 42 of the Code is a provision on Procedure for Disciplinary Action as follows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41</w:t>
      </w:r>
      <w:r>
        <w:rPr>
          <w:rFonts w:ascii="arial" w:eastAsia="arial" w:hAnsi="arial" w:cs="arial"/>
          <w:b w:val="0"/>
          <w:i/>
          <w:strike w:val="0"/>
          <w:noProof w:val="0"/>
          <w:color w:val="000000"/>
          <w:position w:val="0"/>
          <w:sz w:val="18"/>
          <w:u w:val="none"/>
          <w:vertAlign w:val="baseline"/>
        </w:rPr>
        <w:t>. An employer should ensure that a fair, effective and expeditious procedure exists for dealing with disciplinary matters. Such procedure may be established in consultation with the employees representatives or trade as appropriate. The employer should define and make known to each employee the rules of work and the disciplinary action which may follow if they are broken.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Penalties should be graduated according to the seriousness of the offence. An employee </w:t>
      </w:r>
      <w:r>
        <w:rPr>
          <w:rFonts w:ascii="arial" w:eastAsia="arial" w:hAnsi="arial" w:cs="arial"/>
          <w:b/>
          <w:i/>
          <w:strike w:val="0"/>
          <w:noProof w:val="0"/>
          <w:color w:val="000000"/>
          <w:position w:val="0"/>
          <w:sz w:val="18"/>
          <w:u w:val="single"/>
          <w:vertAlign w:val="baseline"/>
        </w:rPr>
        <w:t>should not</w:t>
      </w:r>
      <w:r>
        <w:rPr>
          <w:rFonts w:ascii="arial" w:eastAsia="arial" w:hAnsi="arial" w:cs="arial"/>
          <w:b w:val="0"/>
          <w:i/>
          <w:strike w:val="0"/>
          <w:noProof w:val="0"/>
          <w:color w:val="000000"/>
          <w:position w:val="0"/>
          <w:sz w:val="18"/>
          <w:u w:val="single"/>
          <w:vertAlign w:val="baseline"/>
        </w:rPr>
        <w:t xml:space="preserve">, be dismissed except in cases of gross misconduct, be dismissed for a </w:t>
      </w:r>
      <w:r>
        <w:rPr>
          <w:rFonts w:ascii="arial" w:eastAsia="arial" w:hAnsi="arial" w:cs="arial"/>
          <w:b/>
          <w:i/>
          <w:strike w:val="0"/>
          <w:noProof w:val="0"/>
          <w:color w:val="000000"/>
          <w:position w:val="0"/>
          <w:sz w:val="18"/>
          <w:u w:val="single"/>
          <w:vertAlign w:val="baseline"/>
        </w:rPr>
        <w:t>first offence</w:t>
      </w:r>
      <w:r>
        <w:rPr>
          <w:rFonts w:ascii="arial" w:eastAsia="arial" w:hAnsi="arial" w:cs="arial"/>
          <w:b w:val="0"/>
          <w:i/>
          <w:strike w:val="0"/>
          <w:noProof w:val="0"/>
          <w:color w:val="000000"/>
          <w:position w:val="0"/>
          <w:sz w:val="18"/>
          <w:u w:val="single"/>
          <w:vertAlign w:val="baseline"/>
        </w:rPr>
        <w: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42.</w:t>
      </w:r>
      <w:r>
        <w:rPr>
          <w:rFonts w:ascii="arial" w:eastAsia="arial" w:hAnsi="arial" w:cs="arial"/>
          <w:b w:val="0"/>
          <w:i/>
          <w:strike w:val="0"/>
          <w:noProof w:val="0"/>
          <w:color w:val="000000"/>
          <w:position w:val="0"/>
          <w:sz w:val="18"/>
          <w:u w:val="none"/>
          <w:vertAlign w:val="baseline"/>
        </w:rPr>
        <w:t xml:space="preserve"> The disciplinary procedure should be in writing and be made known to each employee. The proceedings should be conducted in accordance with</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rules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of natural justice.</w:t>
      </w:r>
      <w:r>
        <w:rPr>
          <w:rFonts w:ascii="arial" w:eastAsia="arial" w:hAnsi="arial" w:cs="arial"/>
          <w:b w:val="0"/>
          <w:i/>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[261]</w:t>
      </w:r>
      <w:r>
        <w:rPr>
          <w:rFonts w:ascii="arial" w:eastAsia="arial" w:hAnsi="arial" w:cs="arial"/>
          <w:b w:val="0"/>
          <w:i w:val="0"/>
          <w:strike w:val="0"/>
          <w:noProof w:val="0"/>
          <w:color w:val="000000"/>
          <w:position w:val="0"/>
          <w:sz w:val="24"/>
          <w:u w:val="none"/>
          <w:vertAlign w:val="baseline"/>
        </w:rPr>
        <w:t xml:space="preserve">  The High Court in </w:t>
      </w:r>
      <w:r>
        <w:rPr>
          <w:rFonts w:ascii="arial" w:eastAsia="arial" w:hAnsi="arial" w:cs="arial"/>
          <w:b w:val="0"/>
          <w:i/>
          <w:strike w:val="0"/>
          <w:noProof w:val="0"/>
          <w:color w:val="000000"/>
          <w:position w:val="0"/>
          <w:sz w:val="24"/>
          <w:u w:val="none"/>
          <w:vertAlign w:val="baseline"/>
        </w:rPr>
        <w:t xml:space="preserve">CREDIT CORPORATION (M) BHD V CHOO KAM SING &amp; ANOR  </w:t>
      </w:r>
      <w:r>
        <w:rPr>
          <w:rFonts w:ascii="arial" w:eastAsia="arial" w:hAnsi="arial" w:cs="arial"/>
          <w:b w:val="0"/>
          <w:i w:val="0"/>
          <w:strike w:val="0"/>
          <w:noProof w:val="0"/>
          <w:color w:val="000000"/>
          <w:position w:val="0"/>
          <w:sz w:val="24"/>
          <w:u w:val="none"/>
          <w:vertAlign w:val="baseline"/>
        </w:rPr>
        <w:t xml:space="preserve">[1998] 2 MELR 256 noted that although the Code has no legal force, it is nevertheless relevant factor to be looked at for the purpose of considering the overall reasonableness of the employer’s action in dismissal cases. In fact, section 30(5A)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empowers the Industrial Court in making an award to take into consideration the requirements of the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[262]</w:t>
      </w:r>
      <w:r>
        <w:rPr>
          <w:rFonts w:ascii="arial" w:eastAsia="arial" w:hAnsi="arial" w:cs="arial"/>
          <w:b w:val="0"/>
          <w:i w:val="0"/>
          <w:strike w:val="0"/>
          <w:noProof w:val="0"/>
          <w:color w:val="000000"/>
          <w:position w:val="0"/>
          <w:sz w:val="24"/>
          <w:u w:val="none"/>
          <w:vertAlign w:val="baseline"/>
        </w:rPr>
        <w:t>  In view of all the above and after taking into consideration the evidence adduced during the Trial , this Court is satisfied on a balance of probabilities that the Company had failed to prove that the termination of the Claimant was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[263]</w:t>
      </w:r>
      <w:r>
        <w:rPr>
          <w:rFonts w:ascii="arial" w:eastAsia="arial" w:hAnsi="arial" w:cs="arial"/>
          <w:b w:val="0"/>
          <w:i w:val="0"/>
          <w:strike w:val="0"/>
          <w:noProof w:val="0"/>
          <w:color w:val="000000"/>
          <w:position w:val="0"/>
          <w:sz w:val="24"/>
          <w:u w:val="none"/>
          <w:vertAlign w:val="baseline"/>
        </w:rPr>
        <w:t xml:space="preserve">  Furthermore, in the case of </w:t>
      </w:r>
      <w:r>
        <w:rPr>
          <w:rFonts w:ascii="arial" w:eastAsia="arial" w:hAnsi="arial" w:cs="arial"/>
          <w:b w:val="0"/>
          <w:i/>
          <w:strike w:val="0"/>
          <w:noProof w:val="0"/>
          <w:color w:val="000000"/>
          <w:position w:val="0"/>
          <w:sz w:val="24"/>
          <w:u w:val="none"/>
          <w:vertAlign w:val="baseline"/>
        </w:rPr>
        <w:t xml:space="preserve">JESSICA BARTHY DAS SIVADAS v. AMERICAN EXPRESS (M) SDN BHD  </w:t>
      </w:r>
      <w:r>
        <w:rPr>
          <w:rFonts w:ascii="arial" w:eastAsia="arial" w:hAnsi="arial" w:cs="arial"/>
          <w:b w:val="0"/>
          <w:i w:val="0"/>
          <w:strike w:val="0"/>
          <w:noProof w:val="0"/>
          <w:color w:val="000000"/>
          <w:position w:val="0"/>
          <w:sz w:val="24"/>
          <w:u w:val="none"/>
          <w:vertAlign w:val="baseline"/>
        </w:rPr>
        <w:t>[2023] 4 ILR 374, it was held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‘‘[14] The burden of proof in an unfair dismissal claim lies on the employer to prove on a balance of probabilities that the employee is guilty of the allegation or the reason for the dismissal. This court will now refer to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Ireka Construction Berhad v. Chantiravathan Subramaniam James  </w:t>
      </w:r>
      <w:r>
        <w:rPr>
          <w:rFonts w:ascii="arial" w:eastAsia="arial" w:hAnsi="arial" w:cs="arial"/>
          <w:b w:val="0"/>
          <w:i w:val="0"/>
          <w:strike w:val="0"/>
          <w:noProof w:val="0"/>
          <w:color w:val="000000"/>
          <w:position w:val="0"/>
          <w:sz w:val="18"/>
          <w:u w:val="none"/>
          <w:vertAlign w:val="baseline"/>
        </w:rPr>
        <w:t>[1995] 2 ILR 11</w:t>
      </w:r>
      <w:r>
        <w:rPr>
          <w:rFonts w:ascii="arial" w:eastAsia="arial" w:hAnsi="arial" w:cs="arial"/>
          <w:b w:val="0"/>
          <w:i/>
          <w:strike w:val="0"/>
          <w:noProof w:val="0"/>
          <w:color w:val="000000"/>
          <w:position w:val="0"/>
          <w:sz w:val="18"/>
          <w:u w:val="none"/>
          <w:vertAlign w:val="baseline"/>
        </w:rPr>
        <w:t xml:space="preserve"> (Award No. 245 of 1995), in which case it was stated that: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went further to state that: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only issue for this court to determine now is whether the Companies, on a balance of probabilities has established the poor performance of the claimant. As far as unsatisfactory performance is concerned the Industrial Court has laid down that in order to justify the dismissal of the claimant on this ground, the Company has to establish:</w:t>
      </w:r>
      <w:r>
        <w:t>
</w:t>
      </w:r>
    </w:p>
    <w:p>
      <w:pPr>
        <w:keepNext w:val="0"/>
        <w:numPr>
          <w:numId w:val="156"/>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that the claimant was warned about his poor performance;</w:t>
      </w:r>
    </w:p>
    <w:p>
      <w:pPr>
        <w:keepNext w:val="0"/>
        <w:numPr>
          <w:numId w:val="157"/>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that the claimant was accorded sufficient opportunity to improve; and</w:t>
      </w:r>
    </w:p>
    <w:p>
      <w:pPr>
        <w:keepNext w:val="0"/>
        <w:numPr>
          <w:numId w:val="158"/>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that notwithstanding the above, the claimant failed to sufficiently improve his performance.</w:t>
      </w:r>
      <w:r>
        <w:rPr>
          <w:rFonts w:ascii="arial" w:eastAsia="arial" w:hAnsi="arial" w:cs="arial"/>
          <w:b/>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However, the Company had failed to establish the above mentioned requirements, as it is undisputed that the Company had failed to adduce any positive evidence to show that the Claimant was warned pertaining to any of the alleged acts. Subsequently, the Claimant was suspended immediately after the allegations were raised by the Company.’’</w:t>
      </w:r>
      <w:r>
        <w:t>
</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WHETHER THE CLAIMANT’S DISMISSAL BY THE COMPANY WAS PROPORTIONATE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[264]</w:t>
      </w:r>
      <w:r>
        <w:rPr>
          <w:rFonts w:ascii="arial" w:eastAsia="arial" w:hAnsi="arial" w:cs="arial"/>
          <w:b w:val="0"/>
          <w:i w:val="0"/>
          <w:strike w:val="0"/>
          <w:noProof w:val="0"/>
          <w:color w:val="000000"/>
          <w:position w:val="0"/>
          <w:sz w:val="24"/>
          <w:u w:val="none"/>
          <w:vertAlign w:val="baseline"/>
        </w:rPr>
        <w:t>  This Honourable Court found that the Claimant’s dismissal from the Company was not proportionate as it was done in a haste and sudden manner.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[265]</w:t>
      </w:r>
      <w:r>
        <w:rPr>
          <w:rFonts w:ascii="arial" w:eastAsia="arial" w:hAnsi="arial" w:cs="arial"/>
          <w:b w:val="0"/>
          <w:i w:val="0"/>
          <w:strike w:val="0"/>
          <w:noProof w:val="0"/>
          <w:color w:val="000000"/>
          <w:position w:val="0"/>
          <w:sz w:val="24"/>
          <w:u w:val="none"/>
          <w:vertAlign w:val="baseline"/>
        </w:rPr>
        <w:t xml:space="preserve">  Refer to the above mentioned case of </w:t>
      </w:r>
      <w:r>
        <w:rPr>
          <w:rFonts w:ascii="arial" w:eastAsia="arial" w:hAnsi="arial" w:cs="arial"/>
          <w:b/>
          <w:i w:val="0"/>
          <w:strike w:val="0"/>
          <w:noProof w:val="0"/>
          <w:color w:val="000000"/>
          <w:position w:val="0"/>
          <w:sz w:val="24"/>
          <w:u w:val="none"/>
          <w:vertAlign w:val="baseline"/>
        </w:rPr>
        <w:t>GARTNER RESEARCH &amp; ADVISORY (MALAYSIA) SDN BHD,</w:t>
      </w:r>
      <w:r>
        <w:rPr>
          <w:rFonts w:ascii="arial" w:eastAsia="arial" w:hAnsi="arial" w:cs="arial"/>
          <w:b w:val="0"/>
          <w:i w:val="0"/>
          <w:strike w:val="0"/>
          <w:noProof w:val="0"/>
          <w:color w:val="000000"/>
          <w:position w:val="0"/>
          <w:sz w:val="24"/>
          <w:u w:val="none"/>
          <w:vertAlign w:val="baseline"/>
        </w:rPr>
        <w:t xml:space="preserve"> wherein in holding that the Company needs to strike a balance between severity of an employee’s conduct and the sanction imposed, the court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[32]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Further, in the Court of Appeal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Ngiam Geok Mooi v. Pacific World Destination East Sdn Bhd </w:t>
      </w:r>
      <w:r>
        <w:rPr>
          <w:rFonts w:ascii="arial" w:eastAsia="arial" w:hAnsi="arial" w:cs="arial"/>
          <w:b w:val="0"/>
          <w:i w:val="0"/>
          <w:strike w:val="0"/>
          <w:noProof w:val="0"/>
          <w:color w:val="000000"/>
          <w:position w:val="0"/>
          <w:sz w:val="18"/>
          <w:u w:val="none"/>
          <w:vertAlign w:val="baseline"/>
        </w:rPr>
        <w:t>[2001] 3 ILR 229</w:t>
      </w:r>
      <w:r>
        <w:rPr>
          <w:rFonts w:ascii="arial" w:eastAsia="arial" w:hAnsi="arial" w:cs="arial"/>
          <w:b w:val="0"/>
          <w:i/>
          <w:strike w:val="0"/>
          <w:noProof w:val="0"/>
          <w:color w:val="000000"/>
          <w:position w:val="0"/>
          <w:sz w:val="18"/>
          <w:u w:val="none"/>
          <w:vertAlign w:val="baseline"/>
        </w:rPr>
        <w:t>, the Court explained the need to strike a balance between severity of an employee’s conduct and the sanction imposed.</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[33]</w:t>
      </w:r>
      <w:r>
        <w:rPr>
          <w:rFonts w:ascii="arial" w:eastAsia="arial" w:hAnsi="arial" w:cs="arial"/>
          <w:b/>
          <w:i/>
          <w:strike w:val="0"/>
          <w:noProof w:val="0"/>
          <w:color w:val="000000"/>
          <w:position w:val="0"/>
          <w:sz w:val="18"/>
          <w:u w:val="none"/>
          <w:vertAlign w:val="baseline"/>
        </w:rPr>
        <w:t xml:space="preserve"> In Ngiam’s case the appellant was dismissed</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from her employment for insubordination of her superior’s orders which are as follows:</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 refused to follow her superior’s instructions to make payment for a</w:t>
      </w:r>
      <w:r>
        <w:rPr>
          <w:rFonts w:ascii="arial" w:eastAsia="arial" w:hAnsi="arial" w:cs="arial"/>
          <w:b w:val="0"/>
          <w:i w:val="0"/>
          <w:strike w:val="0"/>
          <w:noProof w:val="0"/>
          <w:color w:val="000000"/>
          <w:position w:val="0"/>
          <w:sz w:val="18"/>
          <w:u w:val="none"/>
          <w:vertAlign w:val="baseline"/>
        </w:rPr>
        <w:t xml:space="preserve"> Companies-related expense and to make adjustments to the Budget 2009/2010; and (ii) wrote an e-mail saying that she won’t report to the said superior.”</w:t>
      </w:r>
      <w:r>
        <w:t>
</w:t>
      </w:r>
    </w:p>
    <w:p/>
    <w:p>
      <w:pPr>
        <w:keepNext w:val="0"/>
        <w:spacing w:after="0" w:line="240" w:lineRule="atLeast"/>
        <w:ind w:left="400" w:right="0" w:firstLine="0"/>
        <w:jc w:val="both"/>
      </w:pPr>
      <w:r>
        <w:rPr>
          <w:rFonts w:ascii="arial" w:eastAsia="arial" w:hAnsi="arial" w:cs="arial"/>
          <w:b/>
          <w:i/>
          <w:strike w:val="0"/>
          <w:noProof w:val="0"/>
          <w:color w:val="000000"/>
          <w:position w:val="0"/>
          <w:sz w:val="18"/>
          <w:u w:val="single"/>
          <w:vertAlign w:val="baseline"/>
        </w:rPr>
        <w:t>[34] In the said case, the Court of Appeal found that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the employer’s decision to dismiss the employee was</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harsh and grossly disproportionate to the misconduct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committed having taken into consideration the</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following factors:</w:t>
      </w:r>
      <w:r>
        <w:t>
</w:t>
      </w:r>
    </w:p>
    <w:p>
      <w:pPr>
        <w:keepNext w:val="0"/>
        <w:numPr>
          <w:numId w:val="159"/>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the appellant had worked for the respondent for 20 years;</w:t>
      </w:r>
    </w:p>
    <w:p>
      <w:pPr>
        <w:keepNext w:val="0"/>
        <w:numPr>
          <w:numId w:val="160"/>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the appellant had an unblemished</w:t>
      </w:r>
    </w:p>
    <w:p>
      <w:pPr>
        <w:keepNext w:val="0"/>
        <w:numPr>
          <w:numId w:val="161"/>
        </w:numPr>
        <w:spacing w:before="120" w:after="0" w:line="240" w:lineRule="atLeast"/>
        <w:ind w:left="1160" w:right="0"/>
        <w:jc w:val="both"/>
      </w:pPr>
      <w:r>
        <w:rPr>
          <w:rFonts w:ascii="arial" w:eastAsia="arial" w:hAnsi="arial" w:cs="arial"/>
          <w:b/>
          <w:i/>
          <w:strike w:val="0"/>
          <w:noProof w:val="0"/>
          <w:color w:val="000000"/>
          <w:position w:val="0"/>
          <w:sz w:val="18"/>
          <w:u w:val="single"/>
          <w:vertAlign w:val="baseline"/>
        </w:rPr>
        <w:t>employment record;</w:t>
      </w:r>
    </w:p>
    <w:p>
      <w:pPr>
        <w:keepNext w:val="0"/>
        <w:numPr>
          <w:numId w:val="162"/>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the appellant was instrumental in setting up the respondent’s headquarters in Penang and the branch office in Kuala Lumpur;</w:t>
      </w:r>
    </w:p>
    <w:p>
      <w:pPr>
        <w:keepNext w:val="0"/>
        <w:numPr>
          <w:numId w:val="163"/>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the appellant’s tireless and faithful service to the respondent is evidenced by the profits earned by the respondent;</w:t>
      </w:r>
    </w:p>
    <w:p>
      <w:pPr>
        <w:keepNext w:val="0"/>
        <w:numPr>
          <w:numId w:val="164"/>
        </w:numPr>
        <w:spacing w:before="120" w:after="0" w:line="240" w:lineRule="atLeast"/>
        <w:ind w:left="1160" w:right="0"/>
        <w:jc w:val="both"/>
      </w:pPr>
      <w:r>
        <w:rPr>
          <w:rFonts w:ascii="arial" w:eastAsia="arial" w:hAnsi="arial" w:cs="arial"/>
          <w:b/>
          <w:i/>
          <w:strike w:val="0"/>
          <w:noProof w:val="0"/>
          <w:color w:val="000000"/>
          <w:position w:val="0"/>
          <w:sz w:val="18"/>
          <w:u w:val="single"/>
          <w:vertAlign w:val="baseline"/>
        </w:rPr>
        <w:t xml:space="preserve">the appellant had committed a single </w:t>
      </w:r>
      <w:r>
        <w:rPr>
          <w:rFonts w:ascii="arial" w:eastAsia="arial" w:hAnsi="arial" w:cs="arial"/>
          <w:b/>
          <w:i/>
          <w:strike w:val="0"/>
          <w:noProof w:val="0"/>
          <w:color w:val="000000"/>
          <w:position w:val="0"/>
          <w:sz w:val="18"/>
          <w:u w:val="single"/>
          <w:vertAlign w:val="baseline"/>
        </w:rPr>
        <w:t>act</w:t>
      </w:r>
      <w:r>
        <w:rPr>
          <w:rFonts w:ascii="arial" w:eastAsia="arial" w:hAnsi="arial" w:cs="arial"/>
          <w:b/>
          <w:i/>
          <w:strike w:val="0"/>
          <w:noProof w:val="0"/>
          <w:color w:val="000000"/>
          <w:position w:val="0"/>
          <w:sz w:val="18"/>
          <w:u w:val="single"/>
          <w:vertAlign w:val="baseline"/>
        </w:rPr>
        <w:t xml:space="preserve"> of</w:t>
      </w:r>
    </w:p>
    <w:p>
      <w:pPr>
        <w:keepNext w:val="0"/>
        <w:numPr>
          <w:numId w:val="165"/>
        </w:numPr>
        <w:spacing w:before="120" w:after="0" w:line="240" w:lineRule="atLeast"/>
        <w:ind w:left="1160" w:right="0"/>
        <w:jc w:val="both"/>
      </w:pPr>
      <w:r>
        <w:rPr>
          <w:rFonts w:ascii="arial" w:eastAsia="arial" w:hAnsi="arial" w:cs="arial"/>
          <w:b/>
          <w:i/>
          <w:strike w:val="0"/>
          <w:noProof w:val="0"/>
          <w:color w:val="000000"/>
          <w:position w:val="0"/>
          <w:sz w:val="18"/>
          <w:u w:val="single"/>
          <w:vertAlign w:val="baseline"/>
        </w:rPr>
        <w:t>insubordination;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and</w:t>
      </w:r>
    </w:p>
    <w:p>
      <w:pPr>
        <w:keepNext w:val="0"/>
        <w:numPr>
          <w:numId w:val="166"/>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the said insubordination was the appellant’s first misconduct in her long years of service.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 xml:space="preserve">There was no history of past misconduct, even no warning was given to her at any point of time.’’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[266]</w:t>
      </w:r>
      <w:r>
        <w:rPr>
          <w:rFonts w:ascii="arial" w:eastAsia="arial" w:hAnsi="arial" w:cs="arial"/>
          <w:b w:val="0"/>
          <w:i w:val="0"/>
          <w:strike w:val="0"/>
          <w:noProof w:val="0"/>
          <w:color w:val="000000"/>
          <w:position w:val="0"/>
          <w:sz w:val="24"/>
          <w:u w:val="none"/>
          <w:vertAlign w:val="baseline"/>
        </w:rPr>
        <w:t xml:space="preserve">  The Claimant refers to the case of </w:t>
      </w:r>
      <w:r>
        <w:rPr>
          <w:rFonts w:ascii="arial" w:eastAsia="arial" w:hAnsi="arial" w:cs="arial"/>
          <w:b w:val="0"/>
          <w:i/>
          <w:strike w:val="0"/>
          <w:noProof w:val="0"/>
          <w:color w:val="000000"/>
          <w:position w:val="0"/>
          <w:sz w:val="24"/>
          <w:u w:val="none"/>
          <w:vertAlign w:val="baseline"/>
        </w:rPr>
        <w:t xml:space="preserve">BENJAMIN LIM SIAW MING v. SYARIKAT SESCO BERHAD  </w:t>
      </w:r>
      <w:r>
        <w:rPr>
          <w:rFonts w:ascii="arial" w:eastAsia="arial" w:hAnsi="arial" w:cs="arial"/>
          <w:b w:val="0"/>
          <w:i w:val="0"/>
          <w:strike w:val="0"/>
          <w:noProof w:val="0"/>
          <w:color w:val="000000"/>
          <w:position w:val="0"/>
          <w:sz w:val="24"/>
          <w:u w:val="none"/>
          <w:vertAlign w:val="baseline"/>
        </w:rPr>
        <w:t>[2023] 2 ILR 591</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in holding that the employee’s dismissal was not proportionate when other means were less severe sanctions were available, the court held as follows:-</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Proportionality of Punishment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[87]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The claimant raised the issue of proportionality of punishment and submits that the punishment of dismissal was too harsh and disproportionate to the seriousness of the charges of misconduct.</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[88]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The Companies, on the other hand submits that the dismissal of the claimant was with just cause and excuse.</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[89]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The Federal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Norizan Bakar v. Panzana Enterprise Sdn Bhd  </w:t>
      </w:r>
      <w:r>
        <w:rPr>
          <w:rFonts w:ascii="arial" w:eastAsia="arial" w:hAnsi="arial" w:cs="arial"/>
          <w:b w:val="0"/>
          <w:i w:val="0"/>
          <w:strike w:val="0"/>
          <w:noProof w:val="0"/>
          <w:color w:val="000000"/>
          <w:position w:val="0"/>
          <w:sz w:val="18"/>
          <w:u w:val="none"/>
          <w:vertAlign w:val="baseline"/>
        </w:rPr>
        <w:t>[2013] 9 CLJ 409; ; [2013] 6 MLJ 605</w:t>
      </w:r>
      <w:r>
        <w:rPr>
          <w:rFonts w:ascii="arial" w:eastAsia="arial" w:hAnsi="arial" w:cs="arial"/>
          <w:b w:val="0"/>
          <w:i/>
          <w:strike w:val="0"/>
          <w:noProof w:val="0"/>
          <w:color w:val="000000"/>
          <w:position w:val="0"/>
          <w:sz w:val="18"/>
          <w:u w:val="none"/>
          <w:vertAlign w:val="baseline"/>
        </w:rPr>
        <w:t xml:space="preserve"> held that the Industrial Court is duty bound to consider proportionality of punishment when exercising its powers under</w:t>
      </w:r>
      <w:r>
        <w:rPr>
          <w:rFonts w:ascii="arial" w:eastAsia="arial" w:hAnsi="arial" w:cs="arial"/>
          <w:b w:val="0"/>
          <w:i w:val="0"/>
          <w:strike w:val="0"/>
          <w:noProof w:val="0"/>
          <w:color w:val="000000"/>
          <w:position w:val="0"/>
          <w:sz w:val="18"/>
          <w:u w:val="none"/>
          <w:vertAlign w:val="baseline"/>
        </w:rPr>
        <w:t xml:space="preserve"> s. 30(5)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w:t>
      </w:r>
      <w:r>
        <w:rPr>
          <w:rFonts w:ascii="arial" w:eastAsia="arial" w:hAnsi="arial" w:cs="arial"/>
          <w:b w:val="0"/>
          <w:i/>
          <w:strike w:val="0"/>
          <w:noProof w:val="0"/>
          <w:color w:val="000000"/>
          <w:position w:val="0"/>
          <w:sz w:val="18"/>
          <w:u w:val="none"/>
          <w:vertAlign w:val="baseline"/>
        </w:rPr>
        <w:t xml:space="preserve"> to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according to equity, good conscience and substantial merits of the case.</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[90]</w:t>
      </w:r>
      <w:r>
        <w:rPr>
          <w:rFonts w:ascii="arial" w:eastAsia="arial" w:hAnsi="arial" w:cs="arial"/>
          <w:b/>
          <w:i/>
          <w:strike w:val="0"/>
          <w:noProof w:val="0"/>
          <w:color w:val="000000"/>
          <w:position w:val="0"/>
          <w:sz w:val="18"/>
          <w:u w:val="none"/>
          <w:vertAlign w:val="baseline"/>
        </w:rPr>
        <w:t xml:space="preserve"> The proportionality principle requires the court to strike a balance between the severity of an employee’s conduct and the sanction imposed. In the present case, whether such alleged misconducts constitutes just cause or excuse for the dismissal of the claimant from the Companies?</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[91]</w:t>
      </w:r>
      <w:r>
        <w:rPr>
          <w:rFonts w:ascii="arial" w:eastAsia="arial" w:hAnsi="arial" w:cs="arial"/>
          <w:b/>
          <w:i/>
          <w:strike w:val="0"/>
          <w:noProof w:val="0"/>
          <w:color w:val="000000"/>
          <w:position w:val="0"/>
          <w:sz w:val="18"/>
          <w:u w:val="none"/>
          <w:vertAlign w:val="baseline"/>
        </w:rPr>
        <w:t xml:space="preserve"> In the present case, this court is of the view that the following facts should also be taken into consideration in making an appropriate order:</w:t>
      </w:r>
      <w:r>
        <w:t>
</w:t>
      </w:r>
    </w:p>
    <w:p>
      <w:pPr>
        <w:keepNext w:val="0"/>
        <w:numPr>
          <w:numId w:val="167"/>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the claimant has served the Company for 13 years with clean disciplinary record. During the claimant’s tenure of service, the claimant had no disciplinary issues with the Companies;</w:t>
      </w:r>
    </w:p>
    <w:p>
      <w:pPr>
        <w:keepNext w:val="0"/>
        <w:numPr>
          <w:numId w:val="168"/>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the claimant was also the victim of the scam whereby he did a Master’s Program in Human Resource for three years which cost him a sum of RM25,000;</w:t>
      </w:r>
    </w:p>
    <w:p>
      <w:pPr>
        <w:keepNext w:val="0"/>
        <w:numPr>
          <w:numId w:val="169"/>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despite the involvement of the other employees, only the claimant and one Lucilla Mary Joseph were terminated from the Companies;</w:t>
      </w:r>
    </w:p>
    <w:p>
      <w:pPr>
        <w:keepNext w:val="0"/>
        <w:numPr>
          <w:numId w:val="170"/>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COW3 who was also involved in the conduct of the career development programs was never issued with any warning letter or subjected to any disciplinary action by the Companies;</w:t>
      </w:r>
    </w:p>
    <w:p>
      <w:pPr>
        <w:keepNext w:val="0"/>
        <w:numPr>
          <w:numId w:val="171"/>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despite the Companies’s finding of negligence against COW4 who was the Companies’s engineer, COW4 was only issued with a warning letter;</w:t>
      </w:r>
    </w:p>
    <w:p>
      <w:pPr>
        <w:keepNext w:val="0"/>
        <w:numPr>
          <w:numId w:val="172"/>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COW5 and COW8 who were responsible in executing the contract agreements to appoint PSSB as the course provider were only issued with a warning letter, and were promoted in their respective positions in the Companies; and</w:t>
      </w:r>
    </w:p>
    <w:p>
      <w:pPr>
        <w:keepNext w:val="0"/>
        <w:numPr>
          <w:numId w:val="173"/>
        </w:numPr>
        <w:spacing w:before="120" w:after="0" w:line="240" w:lineRule="atLeast"/>
        <w:ind w:left="1160" w:right="0"/>
        <w:jc w:val="both"/>
      </w:pPr>
      <w:r>
        <w:rPr>
          <w:rFonts w:ascii="arial" w:eastAsia="arial" w:hAnsi="arial" w:cs="arial"/>
          <w:b/>
          <w:i/>
          <w:strike w:val="0"/>
          <w:noProof w:val="0"/>
          <w:color w:val="000000"/>
          <w:position w:val="0"/>
          <w:sz w:val="18"/>
          <w:u w:val="none"/>
          <w:vertAlign w:val="baseline"/>
        </w:rPr>
        <w:t>although the Company found that COW7 was negligent, COW7 who was the Companies’s Manager of Legal Affairs, was only issued with a warning letter and was promoted by the Companies.</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[92]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In passing a just and appropriate order, the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Industrial Court is obliged to do a balancing exercise. It was held by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Tan Poh Thiam v. Industrial Court of Malaysia &amp; Anor  </w:t>
      </w:r>
      <w:r>
        <w:rPr>
          <w:rFonts w:ascii="arial" w:eastAsia="arial" w:hAnsi="arial" w:cs="arial"/>
          <w:b w:val="0"/>
          <w:i w:val="0"/>
          <w:strike w:val="0"/>
          <w:noProof w:val="0"/>
          <w:color w:val="000000"/>
          <w:position w:val="0"/>
          <w:sz w:val="18"/>
          <w:u w:val="none"/>
          <w:vertAlign w:val="baseline"/>
        </w:rPr>
        <w:t xml:space="preserve">[2015] 1 LNS 1534 </w:t>
      </w:r>
      <w:r>
        <w:rPr>
          <w:rFonts w:ascii="arial" w:eastAsia="arial" w:hAnsi="arial" w:cs="arial"/>
          <w:b/>
          <w:i/>
          <w:strike w:val="0"/>
          <w:noProof w:val="0"/>
          <w:color w:val="000000"/>
          <w:position w:val="0"/>
          <w:sz w:val="18"/>
          <w:u w:val="none"/>
          <w:vertAlign w:val="baseline"/>
        </w:rPr>
        <w:t>(Civil Appeal J-01-414-12-2013) that: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[4] Industrial law jurisprudence does not permit any form of oppressive</w:t>
      </w:r>
      <w:r>
        <w:rPr>
          <w:rFonts w:ascii="arial" w:eastAsia="arial" w:hAnsi="arial" w:cs="arial"/>
          <w:b w:val="0"/>
          <w:i w:val="0"/>
          <w:strike w:val="0"/>
          <w:noProof w:val="0"/>
          <w:color w:val="000000"/>
          <w:position w:val="0"/>
          <w:sz w:val="18"/>
          <w:u w:val="none"/>
          <w:vertAlign w:val="baseline"/>
        </w:rPr>
        <w:t xml:space="preserve"> conduct on the part of an employer having the objective of dismissing the employee on “just cause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excuse</w:t>
      </w:r>
      <w:r>
        <w:rPr>
          <w:rFonts w:ascii="arial" w:eastAsia="arial" w:hAnsi="arial" w:cs="arial"/>
          <w:b w:val="0"/>
          <w:i/>
          <w:strike w:val="0"/>
          <w:noProof w:val="0"/>
          <w:color w:val="000000"/>
          <w:position w:val="0"/>
          <w:sz w:val="18"/>
          <w:u w:val="none"/>
          <w:vertAlign w:val="baseline"/>
        </w:rPr>
        <w:t>” based on trivial allegations; based</w:t>
      </w:r>
      <w:r>
        <w:rPr>
          <w:rFonts w:ascii="arial" w:eastAsia="arial" w:hAnsi="arial" w:cs="arial"/>
          <w:b w:val="0"/>
          <w:i w:val="0"/>
          <w:strike w:val="0"/>
          <w:noProof w:val="0"/>
          <w:color w:val="000000"/>
          <w:position w:val="0"/>
          <w:sz w:val="18"/>
          <w:u w:val="none"/>
          <w:vertAlign w:val="baseline"/>
        </w:rPr>
        <w:t xml:space="preserve"> on matters that could have been dealt with appropriately with proper operating system or management system instead of taking drastic steps to dismiss the employee.</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single"/>
          <w:vertAlign w:val="baseline"/>
        </w:rPr>
        <w:t xml:space="preserve"> ‘‘The Industrial Court in the Malaysian context is obliged to do a balancing</w:t>
      </w:r>
      <w:r>
        <w:rPr>
          <w:rFonts w:ascii="arial" w:eastAsia="arial" w:hAnsi="arial" w:cs="arial"/>
          <w:b w:val="0"/>
          <w:i w:val="0"/>
          <w:strike w:val="0"/>
          <w:noProof w:val="0"/>
          <w:color w:val="000000"/>
          <w:position w:val="0"/>
          <w:sz w:val="18"/>
          <w:u w:val="single"/>
          <w:vertAlign w:val="baseline"/>
        </w:rPr>
        <w:t xml:space="preserve"> exercise taking into account such factors as the nature of complaint the conduct of the employer, the operating and management system that is in place, the reason advanced by the employee as well as his conduct, and the gravity of the allegation; in order to ascertain whether the employee’s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or omission qualifies as a misconduct to attract</w:t>
      </w:r>
      <w:r>
        <w:rPr>
          <w:rFonts w:ascii="arial" w:eastAsia="arial" w:hAnsi="arial" w:cs="arial"/>
          <w:b w:val="0"/>
          <w:i w:val="0"/>
          <w:strike w:val="0"/>
          <w:noProof w:val="0"/>
          <w:color w:val="000000"/>
          <w:position w:val="0"/>
          <w:sz w:val="18"/>
          <w:u w:val="none"/>
          <w:vertAlign w:val="baseline"/>
        </w:rPr>
        <w:t xml:space="preserve"> s. 20 on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(IRA 1967)</w:t>
      </w:r>
      <w:r>
        <w:rPr>
          <w:rFonts w:ascii="arial" w:eastAsia="arial" w:hAnsi="arial" w:cs="arial"/>
          <w:b w:val="0"/>
          <w:i w:val="0"/>
          <w:strike w:val="0"/>
          <w:noProof w:val="0"/>
          <w:color w:val="000000"/>
          <w:position w:val="0"/>
          <w:sz w:val="18"/>
          <w:u w:val="single"/>
          <w:vertAlign w:val="baseline"/>
        </w:rPr>
        <w:t>. The proposition is fortified by</w:t>
      </w:r>
      <w:r>
        <w:rPr>
          <w:rFonts w:ascii="arial" w:eastAsia="arial" w:hAnsi="arial" w:cs="arial"/>
          <w:b w:val="0"/>
          <w:i w:val="0"/>
          <w:strike w:val="0"/>
          <w:noProof w:val="0"/>
          <w:color w:val="000000"/>
          <w:position w:val="0"/>
          <w:sz w:val="18"/>
          <w:u w:val="none"/>
          <w:vertAlign w:val="baseline"/>
        </w:rPr>
        <w:t xml:space="preserve"> s. 30 of IRA 1967</w:t>
      </w:r>
      <w:r>
        <w:rPr>
          <w:rFonts w:ascii="arial" w:eastAsia="arial" w:hAnsi="arial" w:cs="arial"/>
          <w:b w:val="0"/>
          <w:i w:val="0"/>
          <w:strike w:val="0"/>
          <w:noProof w:val="0"/>
          <w:color w:val="000000"/>
          <w:position w:val="0"/>
          <w:sz w:val="18"/>
          <w:u w:val="single"/>
          <w:vertAlign w:val="baseline"/>
        </w:rPr>
        <w:t>.’’</w:t>
      </w:r>
      <w:r>
        <w:t>
</w:t>
      </w:r>
    </w:p>
    <w:p/>
    <w:p>
      <w:pPr>
        <w:keepNext w:val="0"/>
        <w:spacing w:after="0" w:line="240" w:lineRule="atLeast"/>
        <w:ind w:left="400" w:right="0" w:firstLine="0"/>
        <w:jc w:val="both"/>
      </w:pPr>
      <w:r>
        <w:rPr>
          <w:rFonts w:ascii="arial" w:eastAsia="arial" w:hAnsi="arial" w:cs="arial"/>
          <w:b/>
          <w:i/>
          <w:strike w:val="0"/>
          <w:noProof w:val="0"/>
          <w:color w:val="000000"/>
          <w:position w:val="0"/>
          <w:sz w:val="18"/>
          <w:u w:val="single"/>
          <w:vertAlign w:val="baseline"/>
        </w:rPr>
        <w:t>[93]</w:t>
      </w:r>
      <w:r>
        <w:rPr>
          <w:rFonts w:ascii="arial" w:eastAsia="arial" w:hAnsi="arial" w:cs="arial"/>
          <w:b/>
          <w:i/>
          <w:strike w:val="0"/>
          <w:noProof w:val="0"/>
          <w:color w:val="000000"/>
          <w:position w:val="0"/>
          <w:sz w:val="18"/>
          <w:u w:val="none"/>
          <w:vertAlign w:val="baseline"/>
        </w:rPr>
        <w:t xml:space="preserve"> In the present case, the dismissal of the claimant was without just cause or excuse on the ground that the charges were defective ab initio and therefore there is no further need to look into the merits of the Companies’s case. This court holds that the dismissal of the claimant constitutes unlawful termination and was in breach of the principles of natural justice.</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[94]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In any event, this court is convinced that the claimant could have been dealt with appropriately with proper management system. The Company could have opted for other lesser forms of punishment instead of taking drastic steps by terminating his service. Hence, it is now safe to conclude that the dismissal of the claimant was disproportionate to the alleged misconducts.</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single"/>
          <w:vertAlign w:val="baseline"/>
        </w:rPr>
        <w:t>[95]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In Goodyear Malaysia Bhd and National Company of Employees in Company Manufacturing Rubber Products (Award No. 88 of 1986) it was held that;</w:t>
      </w:r>
      <w:r>
        <w:rPr>
          <w:rFonts w:ascii="arial" w:eastAsia="arial" w:hAnsi="arial" w:cs="arial"/>
          <w:b w:val="0"/>
          <w:i/>
          <w:strike w:val="0"/>
          <w:noProof w:val="0"/>
          <w:color w:val="000000"/>
          <w:position w:val="0"/>
          <w:sz w:val="18"/>
          <w:u w:val="none"/>
          <w:vertAlign w:val="baseline"/>
        </w:rPr>
        <w:t xml:space="preserve"> ‘‘It must be noted that not all misconduct deserves dismissal, which has</w:t>
      </w:r>
      <w:r>
        <w:rPr>
          <w:rFonts w:ascii="arial" w:eastAsia="arial" w:hAnsi="arial" w:cs="arial"/>
          <w:b w:val="0"/>
          <w:i w:val="0"/>
          <w:strike w:val="0"/>
          <w:noProof w:val="0"/>
          <w:color w:val="000000"/>
          <w:position w:val="0"/>
          <w:sz w:val="18"/>
          <w:u w:val="none"/>
          <w:vertAlign w:val="baseline"/>
        </w:rPr>
        <w:t xml:space="preserve"> been described as the capital punishment in industrial relations. Important circumstances, which mitigate the offence of the workman, should be taken into account by the employer before he can be said to have made a fair and reasonable decision to dismiss. For example, a workman’s past record of good service, or the management’s own actions or omission which contributed to the misconduct, are mitigating factors which any reasonable employer would take into account before </w:t>
      </w:r>
      <w:r>
        <w:rPr>
          <w:rFonts w:ascii="arial" w:eastAsia="arial" w:hAnsi="arial" w:cs="arial"/>
          <w:b w:val="0"/>
          <w:i/>
          <w:strike w:val="0"/>
          <w:noProof w:val="0"/>
          <w:color w:val="000000"/>
          <w:position w:val="0"/>
          <w:sz w:val="18"/>
          <w:u w:val="none"/>
          <w:vertAlign w:val="baseline"/>
        </w:rPr>
        <w:t>dismissing length and quality of service, good untainted record, and past service awards and recognition must also be taken as extenuating</w:t>
      </w:r>
      <w:r>
        <w:rPr>
          <w:rFonts w:ascii="arial" w:eastAsia="arial" w:hAnsi="arial" w:cs="arial"/>
          <w:b w:val="0"/>
          <w:i w:val="0"/>
          <w:strike w:val="0"/>
          <w:noProof w:val="0"/>
          <w:color w:val="000000"/>
          <w:position w:val="0"/>
          <w:sz w:val="18"/>
          <w:u w:val="none"/>
          <w:vertAlign w:val="baseline"/>
        </w:rPr>
        <w:t xml:space="preserve"> circumstances when an employer decides the appropriate punishment for the misconduct.’’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[267]</w:t>
      </w:r>
      <w:r>
        <w:rPr>
          <w:rFonts w:ascii="arial" w:eastAsia="arial" w:hAnsi="arial" w:cs="arial"/>
          <w:b w:val="0"/>
          <w:i w:val="0"/>
          <w:strike w:val="0"/>
          <w:noProof w:val="0"/>
          <w:color w:val="000000"/>
          <w:position w:val="0"/>
          <w:sz w:val="24"/>
          <w:u w:val="none"/>
          <w:vertAlign w:val="baseline"/>
        </w:rPr>
        <w:t>  In this present instance, the Company had dismissed the Claimant from his employment in a haste and arbitrary manner, in which the allegations were raised in a sudden manner and were done in bad faith by the Company. The Company could had dealt with the allegations (if proven) in a less severe fashion such as providing a proper management and/or understanding the issues surrounding its employees, particularly the Claimant in this instance.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[268]</w:t>
      </w:r>
      <w:r>
        <w:rPr>
          <w:rFonts w:ascii="arial" w:eastAsia="arial" w:hAnsi="arial" w:cs="arial"/>
          <w:b w:val="0"/>
          <w:i w:val="0"/>
          <w:strike w:val="0"/>
          <w:noProof w:val="0"/>
          <w:color w:val="000000"/>
          <w:position w:val="0"/>
          <w:sz w:val="24"/>
          <w:u w:val="none"/>
          <w:vertAlign w:val="baseline"/>
        </w:rPr>
        <w:t>  It is trite the onus remains on the Company to prove that the Claimant was dismissed with just cause and excuse, wherein the Claimant submits that the Company had failed to prove its allegations.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[269]</w:t>
      </w:r>
      <w:r>
        <w:rPr>
          <w:rFonts w:ascii="arial" w:eastAsia="arial" w:hAnsi="arial" w:cs="arial"/>
          <w:b w:val="0"/>
          <w:i w:val="0"/>
          <w:strike w:val="0"/>
          <w:noProof w:val="0"/>
          <w:color w:val="000000"/>
          <w:position w:val="0"/>
          <w:sz w:val="24"/>
          <w:u w:val="none"/>
          <w:vertAlign w:val="baseline"/>
        </w:rPr>
        <w:t xml:space="preserve">  Pursuant to section 30(5) of the IRA 1967 and after having considered the totality of the evidence adduced, this Court is of the view that the Company </w:t>
      </w:r>
      <w:r>
        <w:rPr>
          <w:rFonts w:ascii="arial" w:eastAsia="arial" w:hAnsi="arial" w:cs="arial"/>
          <w:b/>
          <w:i w:val="0"/>
          <w:strike w:val="0"/>
          <w:noProof w:val="0"/>
          <w:color w:val="000000"/>
          <w:position w:val="0"/>
          <w:sz w:val="24"/>
          <w:u w:val="none"/>
          <w:vertAlign w:val="baseline"/>
        </w:rPr>
        <w:t>had failed to establish on the balance of probabilities</w:t>
      </w:r>
      <w:r>
        <w:rPr>
          <w:rFonts w:ascii="arial" w:eastAsia="arial" w:hAnsi="arial" w:cs="arial"/>
          <w:b w:val="0"/>
          <w:i w:val="0"/>
          <w:strike w:val="0"/>
          <w:noProof w:val="0"/>
          <w:color w:val="000000"/>
          <w:position w:val="0"/>
          <w:sz w:val="24"/>
          <w:u w:val="none"/>
          <w:vertAlign w:val="baseline"/>
        </w:rPr>
        <w:t xml:space="preserve"> that the dismissal of the Claimant from his employment with the company was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[270]</w:t>
      </w:r>
      <w:r>
        <w:rPr>
          <w:rFonts w:ascii="arial" w:eastAsia="arial" w:hAnsi="arial" w:cs="arial"/>
          <w:b w:val="0"/>
          <w:i w:val="0"/>
          <w:strike w:val="0"/>
          <w:noProof w:val="0"/>
          <w:color w:val="000000"/>
          <w:position w:val="0"/>
          <w:sz w:val="24"/>
          <w:u w:val="none"/>
          <w:vertAlign w:val="baseline"/>
        </w:rPr>
        <w:t>  This Court having ruled that the Claimant was dismissed without just cause or excuse, will now consider the appropriate remedy for the Claimant.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[271]</w:t>
      </w:r>
      <w:r>
        <w:rPr>
          <w:rFonts w:ascii="arial" w:eastAsia="arial" w:hAnsi="arial" w:cs="arial"/>
          <w:b w:val="0"/>
          <w:i w:val="0"/>
          <w:strike w:val="0"/>
          <w:noProof w:val="0"/>
          <w:color w:val="000000"/>
          <w:position w:val="0"/>
          <w:sz w:val="24"/>
          <w:u w:val="none"/>
          <w:vertAlign w:val="baseline"/>
        </w:rPr>
        <w:t>  Based on the Court’s assessment of the industrial climate between the parties, it is certainly not conducive to reinstate the Claimant as the relationship between the Company and the Claimant has been badly strained. In the circumstances, it is inappropriate to order for reinstatement. Instead, the Claimant will be awarded with an appropriate remedy accordingly.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[272]</w:t>
      </w:r>
      <w:r>
        <w:rPr>
          <w:rFonts w:ascii="arial" w:eastAsia="arial" w:hAnsi="arial" w:cs="arial"/>
          <w:b w:val="0"/>
          <w:i w:val="0"/>
          <w:strike w:val="0"/>
          <w:noProof w:val="0"/>
          <w:color w:val="000000"/>
          <w:position w:val="0"/>
          <w:sz w:val="24"/>
          <w:u w:val="none"/>
          <w:vertAlign w:val="baseline"/>
        </w:rPr>
        <w:t xml:space="preserve">  In respect of the quantum the Court is mindful of the view taken by Tun Salleh Abas FJ in the case of </w:t>
      </w:r>
      <w:r>
        <w:rPr>
          <w:rFonts w:ascii="arial" w:eastAsia="arial" w:hAnsi="arial" w:cs="arial"/>
          <w:b w:val="0"/>
          <w:i/>
          <w:strike w:val="0"/>
          <w:noProof w:val="0"/>
          <w:color w:val="000000"/>
          <w:position w:val="0"/>
          <w:sz w:val="24"/>
          <w:u w:val="none"/>
          <w:vertAlign w:val="baseline"/>
        </w:rPr>
        <w:t xml:space="preserve">HOTEL JAYA PURI BHD. V NATIONAL COMPANY OF HOTEL, BAR &amp; RESTAURANT WORKERS &amp; ANOR  </w:t>
      </w:r>
      <w:r>
        <w:rPr>
          <w:rFonts w:ascii="arial" w:eastAsia="arial" w:hAnsi="arial" w:cs="arial"/>
          <w:b w:val="0"/>
          <w:i w:val="0"/>
          <w:strike w:val="0"/>
          <w:noProof w:val="0"/>
          <w:color w:val="000000"/>
          <w:position w:val="0"/>
          <w:sz w:val="24"/>
          <w:u w:val="none"/>
          <w:vertAlign w:val="baseline"/>
        </w:rPr>
        <w:t>[1990] 1 MLJ 109</w:t>
      </w:r>
      <w:r>
        <w:rPr>
          <w:rFonts w:ascii="arial" w:eastAsia="arial" w:hAnsi="arial" w:cs="arial"/>
          <w:b/>
          <w:i w:val="0"/>
          <w:strike w:val="0"/>
          <w:noProof w:val="0"/>
          <w:color w:val="000000"/>
          <w:position w:val="0"/>
          <w:sz w:val="24"/>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if there is a legal basis for paying the compensation, the amount of course is very much a matter of the discretion which the Industrial Court is fully empowered under</w:t>
      </w:r>
      <w:r>
        <w:rPr>
          <w:rFonts w:ascii="arial" w:eastAsia="arial" w:hAnsi="arial" w:cs="arial"/>
          <w:b w:val="0"/>
          <w:i w:val="0"/>
          <w:strike w:val="0"/>
          <w:noProof w:val="0"/>
          <w:color w:val="000000"/>
          <w:position w:val="0"/>
          <w:sz w:val="18"/>
          <w:u w:val="none"/>
          <w:vertAlign w:val="baseline"/>
        </w:rPr>
        <w:t xml:space="preserve"> s.30 of the IRA 1967</w:t>
      </w:r>
      <w:r>
        <w:rPr>
          <w:rFonts w:ascii="arial" w:eastAsia="arial" w:hAnsi="arial" w:cs="arial"/>
          <w:b w:val="0"/>
          <w:i/>
          <w:strike w:val="0"/>
          <w:noProof w:val="0"/>
          <w:color w:val="000000"/>
          <w:position w:val="0"/>
          <w:sz w:val="18"/>
          <w:u w:val="none"/>
          <w:vertAlign w:val="baseline"/>
        </w:rPr>
        <w:t xml:space="preserve"> to fix.”</w:t>
      </w:r>
      <w:r>
        <w:t>
</w:t>
      </w:r>
    </w:p>
    <w:p/>
    <w:p>
      <w:pPr>
        <w:keepNext w:val="0"/>
        <w:spacing w:after="0" w:line="300" w:lineRule="atLeast"/>
        <w:ind w:left="0" w:right="0" w:firstLine="0"/>
        <w:jc w:val="left"/>
      </w:pPr>
      <w:r>
        <w:rPr>
          <w:rFonts w:ascii="arial" w:eastAsia="arial" w:hAnsi="arial" w:cs="arial"/>
          <w:b/>
          <w:i/>
          <w:strike w:val="0"/>
          <w:noProof w:val="0"/>
          <w:color w:val="000000"/>
          <w:position w:val="0"/>
          <w:sz w:val="24"/>
          <w:u w:val="single"/>
          <w:vertAlign w:val="baseline"/>
        </w:rPr>
        <w:t>BACK WAGES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[273]</w:t>
      </w:r>
      <w:r>
        <w:rPr>
          <w:rFonts w:ascii="arial" w:eastAsia="arial" w:hAnsi="arial" w:cs="arial"/>
          <w:b w:val="0"/>
          <w:i w:val="0"/>
          <w:strike w:val="0"/>
          <w:noProof w:val="0"/>
          <w:color w:val="000000"/>
          <w:position w:val="0"/>
          <w:sz w:val="24"/>
          <w:u w:val="none"/>
          <w:vertAlign w:val="baseline"/>
        </w:rPr>
        <w:t>  Back wages are calculated based on the Claimant’s last drawn salary but limited to 24 months. From the back wages, the court is required to make a deduction for any contributory conduct, post dismissal earnings and delay in the hearing of the case but such a deduction need not involve a mathematical calculation.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[274]</w:t>
      </w:r>
      <w:r>
        <w:rPr>
          <w:rFonts w:ascii="arial" w:eastAsia="arial" w:hAnsi="arial" w:cs="arial"/>
          <w:b w:val="0"/>
          <w:i w:val="0"/>
          <w:strike w:val="0"/>
          <w:noProof w:val="0"/>
          <w:color w:val="000000"/>
          <w:position w:val="0"/>
          <w:sz w:val="24"/>
          <w:u w:val="none"/>
          <w:vertAlign w:val="baseline"/>
        </w:rPr>
        <w:t xml:space="preserve">  This Court is bound by the principle laid down in the case of </w:t>
      </w:r>
      <w:r>
        <w:rPr>
          <w:rFonts w:ascii="arial" w:eastAsia="arial" w:hAnsi="arial" w:cs="arial"/>
          <w:b w:val="0"/>
          <w:i/>
          <w:strike w:val="0"/>
          <w:noProof w:val="0"/>
          <w:color w:val="000000"/>
          <w:position w:val="0"/>
          <w:sz w:val="24"/>
          <w:u w:val="none"/>
          <w:vertAlign w:val="baseline"/>
        </w:rPr>
        <w:t xml:space="preserve">DR. JAMES ALFRED (SABAH) V. KOPERASI SERBAGUNA SANYA BHD (SABAH) &amp; ANOR  </w:t>
      </w:r>
      <w:r>
        <w:rPr>
          <w:rFonts w:ascii="arial" w:eastAsia="arial" w:hAnsi="arial" w:cs="arial"/>
          <w:b w:val="0"/>
          <w:i w:val="0"/>
          <w:strike w:val="0"/>
          <w:noProof w:val="0"/>
          <w:color w:val="000000"/>
          <w:position w:val="0"/>
          <w:sz w:val="24"/>
          <w:u w:val="none"/>
          <w:vertAlign w:val="baseline"/>
        </w:rPr>
        <w:t>[2001] 3 CLJ 541</w:t>
      </w:r>
      <w:r>
        <w:rPr>
          <w:rFonts w:ascii="arial" w:eastAsia="arial" w:hAnsi="arial" w:cs="arial"/>
          <w:b/>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His Lordship Justice Tan Sri Steve Shim CJ (Sabah &amp; Sarawak) in delivering the judgement of the Federal Court held that: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our view, it is in line with equity and good conscience that the Industrial Court, in assessing quantum of back wages, should take into account the fact, if established by evidence or admitted, that the workman has been gainfully employed elsewhere after his dismissal. Failure to do so constitutes a jurisdictional error of law. Certiorari will therefore lie to rectify it. Of course, taking into account such employment after dismissal does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not necessarily mean that the Industrial Court has to conduct a mathematical exercise in deduction</w:t>
      </w:r>
      <w:r>
        <w:rPr>
          <w:rFonts w:ascii="arial" w:eastAsia="arial" w:hAnsi="arial" w:cs="arial"/>
          <w:b w:val="0"/>
          <w:i/>
          <w:strike w:val="0"/>
          <w:noProof w:val="0"/>
          <w:color w:val="000000"/>
          <w:position w:val="0"/>
          <w:sz w:val="18"/>
          <w:u w:val="none"/>
          <w:vertAlign w:val="baseline"/>
        </w:rPr>
        <w:t>. What is important is that the Industrial Court, in the exercise of its discretion in assessing the quantum of back wages, should take into account all relevant matters including the fact, where it exists, that the workman has been gainfully employed elsewhere after his dismissal. This discretion is in the nature of a decision-making process.’’</w:t>
      </w:r>
      <w:r>
        <w:t>
</w:t>
      </w:r>
    </w:p>
    <w:p/>
    <w:p>
      <w:pPr>
        <w:keepNext w:val="0"/>
        <w:spacing w:after="0" w:line="300" w:lineRule="atLeast"/>
        <w:ind w:left="0" w:right="0" w:firstLine="0"/>
        <w:jc w:val="left"/>
      </w:pPr>
      <w:r>
        <w:rPr>
          <w:rFonts w:ascii="arial" w:eastAsia="arial" w:hAnsi="arial" w:cs="arial"/>
          <w:b/>
          <w:i/>
          <w:strike w:val="0"/>
          <w:noProof w:val="0"/>
          <w:color w:val="000000"/>
          <w:position w:val="0"/>
          <w:sz w:val="24"/>
          <w:u w:val="single"/>
          <w:vertAlign w:val="baseline"/>
        </w:rPr>
        <w:t>CONTRIBUTORY FACTOR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[275]</w:t>
      </w:r>
      <w:r>
        <w:rPr>
          <w:rFonts w:ascii="arial" w:eastAsia="arial" w:hAnsi="arial" w:cs="arial"/>
          <w:b w:val="0"/>
          <w:i w:val="0"/>
          <w:strike w:val="0"/>
          <w:noProof w:val="0"/>
          <w:color w:val="000000"/>
          <w:position w:val="0"/>
          <w:sz w:val="24"/>
          <w:u w:val="none"/>
          <w:vertAlign w:val="baseline"/>
        </w:rPr>
        <w:t>  This Court have carefully examined the facts and evidence in this case and of the view that there was contributory factor on the part of the Claimant. Hence, under this item, there is deduction shall be made to this contributory factor.</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DELAY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[276]</w:t>
      </w:r>
      <w:r>
        <w:rPr>
          <w:rFonts w:ascii="arial" w:eastAsia="arial" w:hAnsi="arial" w:cs="arial"/>
          <w:b w:val="0"/>
          <w:i w:val="0"/>
          <w:strike w:val="0"/>
          <w:noProof w:val="0"/>
          <w:color w:val="000000"/>
          <w:position w:val="0"/>
          <w:sz w:val="24"/>
          <w:u w:val="none"/>
          <w:vertAlign w:val="baseline"/>
        </w:rPr>
        <w:t>  From an examination of the notes of proceedings, this Court is satisfied that the Claimant did not occasion any delay in connection with the hearing of this ministerial reference. Hence, there is no deduction under this head.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[277]</w:t>
      </w:r>
      <w:r>
        <w:rPr>
          <w:rFonts w:ascii="arial" w:eastAsia="arial" w:hAnsi="arial" w:cs="arial"/>
          <w:b w:val="0"/>
          <w:i w:val="0"/>
          <w:strike w:val="0"/>
          <w:noProof w:val="0"/>
          <w:color w:val="000000"/>
          <w:position w:val="0"/>
          <w:sz w:val="24"/>
          <w:u w:val="none"/>
          <w:vertAlign w:val="baseline"/>
        </w:rPr>
        <w:t xml:space="preserve">  At the time of dismissal, the Claimant last drawn basic salary was </w:t>
      </w:r>
      <w:r>
        <w:rPr>
          <w:rFonts w:ascii="arial" w:eastAsia="arial" w:hAnsi="arial" w:cs="arial"/>
          <w:b/>
          <w:i w:val="0"/>
          <w:strike w:val="0"/>
          <w:noProof w:val="0"/>
          <w:color w:val="000000"/>
          <w:position w:val="0"/>
          <w:sz w:val="24"/>
          <w:u w:val="none"/>
          <w:vertAlign w:val="baseline"/>
        </w:rPr>
        <w:t>RM 29,915.00 [as at CLB-6 page 1259].</w:t>
      </w:r>
      <w:r>
        <w:rPr>
          <w:rFonts w:ascii="arial" w:eastAsia="arial" w:hAnsi="arial" w:cs="arial"/>
          <w:b w:val="0"/>
          <w:i w:val="0"/>
          <w:strike w:val="0"/>
          <w:noProof w:val="0"/>
          <w:color w:val="000000"/>
          <w:position w:val="0"/>
          <w:sz w:val="24"/>
          <w:u w:val="none"/>
          <w:vertAlign w:val="baseline"/>
        </w:rPr>
        <w:t xml:space="preserve"> On the facts of this case, </w:t>
      </w:r>
      <w:r>
        <w:rPr>
          <w:rFonts w:ascii="arial" w:eastAsia="arial" w:hAnsi="arial" w:cs="arial"/>
          <w:b/>
          <w:i w:val="0"/>
          <w:strike w:val="0"/>
          <w:noProof w:val="0"/>
          <w:color w:val="000000"/>
          <w:position w:val="0"/>
          <w:sz w:val="24"/>
          <w:u w:val="none"/>
          <w:vertAlign w:val="baseline"/>
        </w:rPr>
        <w:t>there evidence of post- dismissal income after the Claimant was dismissed by the Company</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Hence, there shall be deduction under this item</w:t>
      </w:r>
      <w:r>
        <w:rPr>
          <w:rFonts w:ascii="arial" w:eastAsia="arial" w:hAnsi="arial" w:cs="arial"/>
          <w:b w:val="0"/>
          <w:i w:val="0"/>
          <w:strike w:val="0"/>
          <w:noProof w:val="0"/>
          <w:color w:val="000000"/>
          <w:position w:val="0"/>
          <w:sz w:val="24"/>
          <w:u w:val="none"/>
          <w:vertAlign w:val="baseline"/>
        </w:rPr>
        <w:t xml:space="preserve">. The Claimant has served the Company for </w:t>
      </w:r>
      <w:r>
        <w:rPr>
          <w:rFonts w:ascii="arial" w:eastAsia="arial" w:hAnsi="arial" w:cs="arial"/>
          <w:b/>
          <w:i w:val="0"/>
          <w:strike w:val="0"/>
          <w:noProof w:val="0"/>
          <w:color w:val="000000"/>
          <w:position w:val="0"/>
          <w:sz w:val="24"/>
          <w:u w:val="none"/>
          <w:vertAlign w:val="baseline"/>
        </w:rPr>
        <w:t>over thirteen (13) years eight (8) months which was from 03.04.2007 until 31.12.2020.</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MONETARY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[278]</w:t>
      </w:r>
      <w:r>
        <w:rPr>
          <w:rFonts w:ascii="arial" w:eastAsia="arial" w:hAnsi="arial" w:cs="arial"/>
          <w:b w:val="0"/>
          <w:i w:val="0"/>
          <w:strike w:val="0"/>
          <w:noProof w:val="0"/>
          <w:color w:val="000000"/>
          <w:position w:val="0"/>
          <w:sz w:val="24"/>
          <w:u w:val="none"/>
          <w:vertAlign w:val="baseline"/>
        </w:rPr>
        <w:t>  After having considered the evidence adduced before this Court as well as the submission by both parties, the remedies are as follows:</w:t>
      </w:r>
      <w:r>
        <w:t>
</w:t>
      </w:r>
    </w:p>
    <w:p>
      <w:pPr>
        <w:keepNext w:val="0"/>
        <w:numPr>
          <w:numId w:val="17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Back wages for twenty (20) months based on the Claimant’s last drawn salary: </w:t>
      </w:r>
    </w:p>
    <w:p>
      <w:pPr>
        <w:keepNext w:val="0"/>
        <w:spacing w:before="120" w:after="0" w:line="240" w:lineRule="atLeast"/>
        <w:ind w:left="1520" w:right="0"/>
        <w:jc w:val="both"/>
      </w:pPr>
      <w:r>
        <w:br/>
      </w:r>
      <w:r>
        <w:rPr>
          <w:rFonts w:ascii="arial" w:eastAsia="arial" w:hAnsi="arial" w:cs="arial"/>
          <w:b/>
          <w:i w:val="0"/>
          <w:strike w:val="0"/>
          <w:noProof w:val="0"/>
          <w:color w:val="000000"/>
          <w:position w:val="0"/>
          <w:sz w:val="18"/>
          <w:u w:val="none"/>
          <w:vertAlign w:val="baseline"/>
        </w:rPr>
        <w:t>RM 29,915.00 X 20 months = RM 598,300.00</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Less 30% (Proportionality of Punishment 30%:)</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 (RM 179,490.00)</w:t>
      </w:r>
    </w:p>
    <w:p>
      <w:pPr>
        <w:keepNext w:val="0"/>
        <w:spacing w:before="120" w:after="0" w:line="240" w:lineRule="atLeast"/>
        <w:ind w:left="1520" w:right="0"/>
        <w:jc w:val="both"/>
      </w:pPr>
      <w:r>
        <w:br/>
      </w:r>
      <w:r>
        <w:rPr>
          <w:rFonts w:ascii="arial" w:eastAsia="arial" w:hAnsi="arial" w:cs="arial"/>
          <w:b/>
          <w:i w:val="0"/>
          <w:strike w:val="0"/>
          <w:noProof w:val="0"/>
          <w:color w:val="000000"/>
          <w:position w:val="0"/>
          <w:sz w:val="18"/>
          <w:u w:val="none"/>
          <w:vertAlign w:val="baseline"/>
        </w:rPr>
        <w:t>= RM 418,810.00</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Less 10% (Post-Dismissal -The Claimant was employed at another Company)</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 (RM 41,881.00)</w:t>
      </w:r>
    </w:p>
    <w:p>
      <w:pPr>
        <w:keepNext w:val="0"/>
        <w:spacing w:before="120" w:after="0" w:line="240" w:lineRule="atLeast"/>
        <w:ind w:left="1520" w:right="0"/>
        <w:jc w:val="both"/>
      </w:pPr>
      <w:r>
        <w:br/>
      </w:r>
      <w:r>
        <w:rPr>
          <w:rFonts w:ascii="arial" w:eastAsia="arial" w:hAnsi="arial" w:cs="arial"/>
          <w:b/>
          <w:i w:val="0"/>
          <w:strike w:val="0"/>
          <w:noProof w:val="0"/>
          <w:color w:val="000000"/>
          <w:position w:val="0"/>
          <w:sz w:val="18"/>
          <w:u w:val="none"/>
          <w:vertAlign w:val="baseline"/>
        </w:rPr>
        <w:t>= RM 376,929.00</w:t>
      </w:r>
      <w:r>
        <w:t>
</w:t>
      </w:r>
    </w:p>
    <w:p>
      <w:pPr>
        <w:keepNext w:val="0"/>
        <w:numPr>
          <w:numId w:val="175"/>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Add</w:t>
      </w:r>
    </w:p>
    <w:p>
      <w:pPr>
        <w:keepNext w:val="0"/>
        <w:numPr>
          <w:numId w:val="17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Compensation in lieu of reinstatement, based on the formula of one month’s salary for every completed year of service . The Claimant has completed thirteen (13) full years of service calculated from until the date of employment which was on </w:t>
      </w:r>
      <w:r>
        <w:rPr>
          <w:rFonts w:ascii="arial" w:eastAsia="arial" w:hAnsi="arial" w:cs="arial"/>
          <w:b/>
          <w:i w:val="0"/>
          <w:strike w:val="0"/>
          <w:noProof w:val="0"/>
          <w:color w:val="000000"/>
          <w:position w:val="0"/>
          <w:sz w:val="24"/>
          <w:u w:val="none"/>
          <w:vertAlign w:val="baseline"/>
        </w:rPr>
        <w:t>03.04.2007 until the date of dismissal on 31.12.2020.</w:t>
      </w:r>
    </w:p>
    <w:p>
      <w:pPr>
        <w:keepNext w:val="0"/>
        <w:spacing w:before="120" w:after="0" w:line="240" w:lineRule="atLeast"/>
        <w:ind w:left="1520" w:right="0"/>
        <w:jc w:val="both"/>
      </w:pPr>
      <w:r>
        <w:br/>
      </w:r>
      <w:r>
        <w:rPr>
          <w:rFonts w:ascii="arial" w:eastAsia="arial" w:hAnsi="arial" w:cs="arial"/>
          <w:b/>
          <w:i w:val="0"/>
          <w:strike w:val="0"/>
          <w:noProof w:val="0"/>
          <w:color w:val="000000"/>
          <w:position w:val="0"/>
          <w:sz w:val="18"/>
          <w:u w:val="none"/>
          <w:vertAlign w:val="baseline"/>
        </w:rPr>
        <w:t>RM 29,915.00 X 13 months = RM 388,895.00</w:t>
      </w:r>
    </w:p>
    <w:p>
      <w:pPr>
        <w:keepNext w:val="0"/>
        <w:spacing w:before="120" w:after="0" w:line="240" w:lineRule="atLeast"/>
        <w:ind w:left="1520" w:right="0"/>
        <w:jc w:val="both"/>
      </w:pPr>
      <w:r>
        <w:br/>
      </w:r>
      <w:r>
        <w:rPr>
          <w:rFonts w:ascii="arial" w:eastAsia="arial" w:hAnsi="arial" w:cs="arial"/>
          <w:b/>
          <w:i w:val="0"/>
          <w:strike w:val="0"/>
          <w:noProof w:val="0"/>
          <w:color w:val="000000"/>
          <w:position w:val="0"/>
          <w:sz w:val="18"/>
          <w:u w:val="none"/>
          <w:vertAlign w:val="baseline"/>
        </w:rPr>
        <w:t>TOTAL = RM 765,824.00</w:t>
      </w:r>
      <w:r>
        <w:t>
</w:t>
      </w:r>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[279]</w:t>
      </w:r>
      <w:r>
        <w:rPr>
          <w:rFonts w:ascii="arial" w:eastAsia="arial" w:hAnsi="arial" w:cs="arial"/>
          <w:b w:val="0"/>
          <w:i w:val="0"/>
          <w:strike w:val="0"/>
          <w:noProof w:val="0"/>
          <w:color w:val="000000"/>
          <w:position w:val="0"/>
          <w:sz w:val="24"/>
          <w:u w:val="none"/>
          <w:vertAlign w:val="baseline"/>
        </w:rPr>
        <w:t>  In this case the Claimant also involve in the proportionality of Punishment the facts of the case and the backwages here to be deducted on 30% basis.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[280]</w:t>
      </w:r>
      <w:r>
        <w:rPr>
          <w:rFonts w:ascii="arial" w:eastAsia="arial" w:hAnsi="arial" w:cs="arial"/>
          <w:b w:val="0"/>
          <w:i w:val="0"/>
          <w:strike w:val="0"/>
          <w:noProof w:val="0"/>
          <w:color w:val="000000"/>
          <w:position w:val="0"/>
          <w:sz w:val="24"/>
          <w:u w:val="none"/>
          <w:vertAlign w:val="baseline"/>
        </w:rPr>
        <w:t xml:space="preserve">  The monetary award in a total sum of </w:t>
      </w:r>
      <w:r>
        <w:rPr>
          <w:rFonts w:ascii="arial" w:eastAsia="arial" w:hAnsi="arial" w:cs="arial"/>
          <w:b/>
          <w:i w:val="0"/>
          <w:strike w:val="0"/>
          <w:noProof w:val="0"/>
          <w:color w:val="000000"/>
          <w:position w:val="0"/>
          <w:sz w:val="24"/>
          <w:u w:val="none"/>
          <w:vertAlign w:val="baseline"/>
        </w:rPr>
        <w:t>RM 765,824.00</w:t>
      </w:r>
      <w:r>
        <w:rPr>
          <w:rFonts w:ascii="arial" w:eastAsia="arial" w:hAnsi="arial" w:cs="arial"/>
          <w:b w:val="0"/>
          <w:i w:val="0"/>
          <w:strike w:val="0"/>
          <w:noProof w:val="0"/>
          <w:color w:val="000000"/>
          <w:position w:val="0"/>
          <w:sz w:val="24"/>
          <w:u w:val="none"/>
          <w:vertAlign w:val="baseline"/>
        </w:rPr>
        <w:t xml:space="preserve"> less statutory deductions, if any, shall be paid by the Company to the Claimant via his representative </w:t>
      </w:r>
      <w:r>
        <w:rPr>
          <w:rFonts w:ascii="arial" w:eastAsia="arial" w:hAnsi="arial" w:cs="arial"/>
          <w:b/>
          <w:i w:val="0"/>
          <w:strike w:val="0"/>
          <w:noProof w:val="0"/>
          <w:color w:val="000000"/>
          <w:position w:val="0"/>
          <w:sz w:val="24"/>
          <w:u w:val="none"/>
          <w:vertAlign w:val="baseline"/>
        </w:rPr>
        <w:t>Messrs. Simrenjeet, Tay &amp; Co.</w:t>
      </w:r>
      <w:r>
        <w:rPr>
          <w:rFonts w:ascii="arial" w:eastAsia="arial" w:hAnsi="arial" w:cs="arial"/>
          <w:b w:val="0"/>
          <w:i w:val="0"/>
          <w:strike w:val="0"/>
          <w:noProof w:val="0"/>
          <w:color w:val="000000"/>
          <w:position w:val="0"/>
          <w:sz w:val="24"/>
          <w:u w:val="none"/>
          <w:vertAlign w:val="baseline"/>
        </w:rPr>
        <w:t xml:space="preserve"> within 30 days of the award with interest of 8% per annum to be calculated from 30 days of the award until full and final settlement.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[281]</w:t>
      </w:r>
      <w:r>
        <w:rPr>
          <w:rFonts w:ascii="arial" w:eastAsia="arial" w:hAnsi="arial" w:cs="arial"/>
          <w:b w:val="0"/>
          <w:i w:val="0"/>
          <w:strike w:val="0"/>
          <w:noProof w:val="0"/>
          <w:color w:val="000000"/>
          <w:position w:val="0"/>
          <w:sz w:val="24"/>
          <w:u w:val="none"/>
          <w:vertAlign w:val="baseline"/>
        </w:rPr>
        <w:t>  This Court verily believe that this Award is just and appropriate in the light of the particular facts of the present case and guided by the principles of equity, good conscience and substantial merits of this case without regard to technicalities and legal forms.</w:t>
      </w:r>
      <w:r>
        <w:t>
</w:t>
      </w:r>
    </w:p>
    <w:p/>
    <w:p>
      <w:pPr>
        <w:ind w:left="200"/>
      </w:pPr>
      <w:r>
        <w:br/>
      </w:r>
      <w:r>
        <w:pict>
          <v:line id="_x0000_s104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Fatimah Fedora bt Zulkifli v Petroliam Nasioanal Bhd  [2025] ILJU 260</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Roman"/>
      <w:lvlText w:val=" %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Roman"/>
      <w:lvlText w:val=" %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v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v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e)"/>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f)"/>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g)"/>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e)"/>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f)"/>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g)"/>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h)"/>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Roman"/>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lowerLetter"/>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lowerRoman"/>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lowerRoman"/>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i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v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v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decimal"/>
      <w:lvlText w:val="(v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lowerRoman"/>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i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decimal"/>
      <w:lvlText w:val="(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decimal"/>
      <w:lvlText w:val="(v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v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lowerRoman"/>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image" Target="media/image5.jpeg" /><Relationship Id="rId12" Type="http://schemas.openxmlformats.org/officeDocument/2006/relationships/image" Target="media/image6.jpeg" /><Relationship Id="rId13" Type="http://schemas.openxmlformats.org/officeDocument/2006/relationships/image" Target="media/image7.jpeg" /><Relationship Id="rId14" Type="http://schemas.openxmlformats.org/officeDocument/2006/relationships/image" Target="media/image8.jpeg" /><Relationship Id="rId15" Type="http://schemas.openxmlformats.org/officeDocument/2006/relationships/image" Target="media/image9.jpeg" /><Relationship Id="rId16" Type="http://schemas.openxmlformats.org/officeDocument/2006/relationships/image" Target="media/image10.jpeg" /><Relationship Id="rId17" Type="http://schemas.openxmlformats.org/officeDocument/2006/relationships/image" Target="media/image11.jpeg" /><Relationship Id="rId18" Type="http://schemas.openxmlformats.org/officeDocument/2006/relationships/image" Target="media/image12.jpeg" /><Relationship Id="rId19" Type="http://schemas.openxmlformats.org/officeDocument/2006/relationships/image" Target="media/image13.jpeg" /><Relationship Id="rId2" Type="http://schemas.openxmlformats.org/officeDocument/2006/relationships/webSettings" Target="webSettings.xml" /><Relationship Id="rId20" Type="http://schemas.openxmlformats.org/officeDocument/2006/relationships/image" Target="media/image14.jpeg" /><Relationship Id="rId21" Type="http://schemas.openxmlformats.org/officeDocument/2006/relationships/image" Target="media/image15.jpeg" /><Relationship Id="rId22" Type="http://schemas.openxmlformats.org/officeDocument/2006/relationships/image" Target="media/image16.jpeg" /><Relationship Id="rId23" Type="http://schemas.openxmlformats.org/officeDocument/2006/relationships/image" Target="media/image17.jpeg" /><Relationship Id="rId24" Type="http://schemas.openxmlformats.org/officeDocument/2006/relationships/image" Target="media/image18.jpeg" /><Relationship Id="rId25" Type="http://schemas.openxmlformats.org/officeDocument/2006/relationships/image" Target="media/image19.jpeg" /><Relationship Id="rId26" Type="http://schemas.openxmlformats.org/officeDocument/2006/relationships/image" Target="media/image20.jpeg"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Fatimah Fedora bt Zulkifli v Petroliam Nasioanal Bhd  [2025] ILJU 260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CN-1Y03-MB15-S2GR-00000-00">
    <vt:lpwstr>Doc::/shared/document|contextualFeaturePermID::1522468</vt:lpwstr>
  </property>
  <property fmtid="{D5CDD505-2E9C-101B-9397-08002B2CF9AE}" pid="4" name="LNDeliveryID">
    <vt:lpwstr>283274895</vt:lpwstr>
  </property>
  <property fmtid="{D5CDD505-2E9C-101B-9397-08002B2CF9AE}" pid="5" name="UserPermID">
    <vt:lpwstr>urn:user:PA196491919</vt:lpwstr>
  </property>
</Properties>
</file>