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Gary Joseph Needham Millward v Tarpon Energy Services Asia Pacific Sdn Bhd [2024] 3 ILJ 176</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SELVA RANI THIYAGARAJAN,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146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18 January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Labour Law — Employment — Redundancy — Retrenchment — Whether gave assurance to employees of company that jobs and positions of employees would be unaffected by new management — Whether there was genuine need for reorganization of company — Whether cost-cutting measures conducted by company mala fide — Whether Covid-19 pandemic a valid excuse for claimant’s retrenchment — Whether claimant’s retrenchment without just cause and excuse</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The claimant commenced his employment with the company in 2014. In 2019, the company underwent a management buy-out a management team consisting of Shane Donnachie, John O' Keeffe and Matt Seale. At the time of take-over, the Management team gave assurance to all employees of the company, inter alia, that: (a) it would be business as usual for everyone; and (b) that ‘there will be no redundancies’. After the management takeover, the claimant was given the new role of Business Development Manager of APAC from May 2019 until January 2020. The claimant was also reassigned to another role of Interim Country Manager of Indonesia. Subsequently, a letter of retrenchment was received by the claimant in April 2020. The claimant contended that the company was in the most profitable stage and had no genuine reason for the termination of the Contract of Service of the claimant on account of redundancy. The company, on the other hand, alleged that due to the Movement Control Order (‘MCO’) imposed by the government during the Covid-19 pandemic and a forecast prepared by COW1, the company embarked on cost-cutting measures, resulting in a retrenchment exercise involving the claimant and other employees of the company.</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allowing the claimant’s claim: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had pleaded Covid-19 pandemic as a factor for the retrenchment. However, it was barely 19 days since the MCO was declared that the claimant was retrenched by the company. There was no evidence to show that during those 19 days, the company suffered a substantial loss to enable the retrenchment of the claimant. Therefore, retrenching the claimant after just 19 days of MCO being declared was a hasty decision (see paras 34-36). </w:t>
      </w:r>
      <w:r>
        <w:rPr>
          <w:rFonts w:ascii="arial" w:eastAsia="arial" w:hAnsi="arial" w:cs="arial"/>
          <w:b w:val="0"/>
          <w:i w:val="0"/>
          <w:strike w:val="0"/>
          <w:noProof w:val="0"/>
          <w:color w:val="000000"/>
          <w:position w:val="0"/>
          <w:sz w:val="24"/>
          <w:u w:val="none"/>
          <w:vertAlign w:val="baseline"/>
        </w:rPr>
        <w:t xml:space="preserve"> </w:t>
        <w:tab/>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new owners were aware of the loss that the company had suffered prior to the takeover. The new owners had given assurance to the employees of the company that the jobs and positions of the employees would not be affected by the new management. The company then, raised the issue of the financial status of the company as an issue when a retrenchment exercise was conducted seemed ill conceived (see para 39).</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Based on the SSM search for the year 2019, the company did possess current assets amounting to RM 26,680,413; company assets were the company's short-term assets that could be liquidated quickly and used for a company's immediate needs. The company had this option to exercise when facing a retrenchment exercise of its employees. The company also failed to proof via documentation of cost-cutting measures conducted by the company prior to the said retrenchment exercise (see para 41).</w:t>
      </w:r>
      <w:r>
        <w:rPr>
          <w:rFonts w:ascii="arial" w:eastAsia="arial" w:hAnsi="arial" w:cs="arial"/>
          <w:b w:val="0"/>
          <w:i w:val="0"/>
          <w:strike w:val="0"/>
          <w:noProof w:val="0"/>
          <w:color w:val="000000"/>
          <w:position w:val="0"/>
          <w:sz w:val="24"/>
          <w:u w:val="none"/>
          <w:vertAlign w:val="baseline"/>
        </w:rPr>
        <w:t xml:space="preserve"> </w:t>
        <w:tab/>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was appointed as the Project Manager in 2018 and was retrenched because the company would not require two project managers. The company had given reasons that the claimant 's position was redundant as the company did not have projects at the material time. Instead, the company had preferred one Michael Barber who had a procurement background as compared to the claimant who had electrical background. In fact, the testimonial of Michael Barber would have thrown more light on the work that the company was doing after the retrenchment exercise. By not securing the testimonial of Michael Barber  who was a material witness, adverse inference of s 114 (g) of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was invoked against the company. Hence, the claimant's employment was not redundant for him to be retrenched by the company. In the circumstances, the company had failed to prove that the retrenchment was for a fair reason and accordingly, the claimant's claim was allowed (see paras 42–43, 45 &amp; 50).</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did not manage to complete his fixed-term contract of two years and was retrenched. If the claimant was not retrenched, he would have completed the remaining 10 months of his contract.  Accordingly, the award for the claimant would be computed to be confined to the remainder unexpired period of the fixed term of ten months. Also, a sum of two month's salary for each of the remaining 10 months of the unexpired duration of his contract will be awarded to the claimant  as a punitive compensation as the company had acted in bad faith while terminating the claimant. Further, since the claimant had also testified that he had found employment elsewhere after his retrenchment with the company, a post-dismissal deduction from the back wages awarded to the claimant would also be made (see paras 53–54, 56 &amp; 58–59).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Pihak yang menuntut (‘PYM’) telah  mula bekerja dengan syarikat pada 2014. Pada 2019, syarikat telah menjalani ‘a management buy-out a management team’ yang terdiri daripada Shane Donnachie, John O' Keeffe dan Matt Seale. Pada masa pengambilalihan, pihak pengurusan telah memberi jaminan kepada semua pekerja syarikat, antara lain, bahawa: (a) perniagaan akan dijalankan seperti biasa untuk semua pekerja; dan (b) bahawa ‘tidak akan ada pekerja lebihan’. Selepas pengambilalihan pengurusan, PYM telah diberi jawatan baru sebagai Pengurus Pembangunan Perniagaan APAC dari Mei 2019 hingga Januari 2020. PYM juga telah ditugaskan semula ke satu lagi jawatan iaitu Pengurus Negara Interim Indonesia. Selepas itu, satu surat pemberhentian kerja telah diterima oleh PYM pada April 2020. PYM menghujahkan bahawa syarikat berada pada peringkat paling menguntungkan dan tidak mempunyai sebab tulen untuk penamatan kontrak perkhidmatan PYM atas sebab lebihan kerja. Syarikat, di sebaliknya, menegaskan bahawa disebabkan Perintah Kawalan Pergerakan ('PKP') yang diistiharkan oleh kerajaan semasa pandemik Covid-19 dan ramalan yang disediakan oleh COW1, syarikat telah melaksanakan langkah penjimatan kos, mengakibatkan pemberhentian kerja melibatkan pihak menuntut dan pekerja- pekerja yang lain.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 pihak yang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Syarikat telah memplidkan wabak Covid-19 sebagai faktor pemberhentian pekerja. Bagaimanapun, PYM telah diberhentikan kerja oleh syarikat hampir 19 hari sejak PKP diisytiharkan. Tiada keterangan yang menunjukkan bahawa dalam tempoh 19 hari tersebut, syarikat telah mengalami kerugian yang nyata untuk melakukan pemberhentian kerja PYM. Oleh itu, pemberhentian kerja PYM selepas hanya 19 hari PKP diisytiharkan adalah keputusan yang tergesa-gesa (lihat perenggan 34–36).</w:t>
      </w:r>
    </w:p>
    <w:p>
      <w:pPr>
        <w:keepNext w:val="0"/>
        <w:numPr>
          <w:numId w:val="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Pemilik baru syarikat menyedari kerugian yang dialami oleh syarikat sebelum pengambilalihan. Pemilik baru syarikat juga telah memberi jaminan kepada pekerja syarikat bahawa pekerjaan dan jawatan pekerja tidak akan terjejas oleh pengurusan baru. Tindakan syarikat yang kemudiannya, membangkitkan isu status kewangan syarikat sebagai isu apabila melaksanakan pemberhentian pekerja jelas adalah dengan niat buruk (lihat perenggan 39).</w:t>
      </w:r>
      <w:r>
        <w:rPr>
          <w:rFonts w:ascii="arial" w:eastAsia="arial" w:hAnsi="arial" w:cs="arial"/>
          <w:b w:val="0"/>
          <w:i w:val="0"/>
          <w:strike w:val="0"/>
          <w:noProof w:val="0"/>
          <w:color w:val="000000"/>
          <w:position w:val="0"/>
          <w:sz w:val="24"/>
          <w:u w:val="none"/>
          <w:vertAlign w:val="baseline"/>
        </w:rPr>
        <w:t xml:space="preserve"> </w:t>
        <w:tab/>
      </w:r>
    </w:p>
    <w:p>
      <w:pPr>
        <w:keepNext w:val="0"/>
        <w:numPr>
          <w:numId w:val="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Berdasarkan carian SSM bagi tahun 2019, syarikat sememangnya memiliki aset semasa berjumlah RM 26,680,413; aset syarikat ialah aset jangka pendek syarikat yang boleh dibubarkan dengan cepat dan digunakan untuk keperluan segera syarikat. Syarikat mempunyai pilihan ini untuk digunapakai apabila menghadapi pemberhentian pekerjanya. Syarikat juga gagal untuk membuktikan melalui dokumentasi langkah-langkah pengurangan kos yang dijalankan oleh syarikat sebelum pelaksanaan pemberhentian tersebut (lihat perenggan 41).</w:t>
      </w:r>
      <w:r>
        <w:rPr>
          <w:rFonts w:ascii="arial" w:eastAsia="arial" w:hAnsi="arial" w:cs="arial"/>
          <w:b w:val="0"/>
          <w:i w:val="0"/>
          <w:strike w:val="0"/>
          <w:noProof w:val="0"/>
          <w:color w:val="000000"/>
          <w:position w:val="0"/>
          <w:sz w:val="24"/>
          <w:u w:val="none"/>
          <w:vertAlign w:val="baseline"/>
        </w:rPr>
        <w:t xml:space="preserve"> </w:t>
        <w:tab/>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PYM telah dilantik sebagai Pengurus Projek pada tahun 2018 dan telah diberhentikan kerja kerana syarikat tidak memerlukan dua pengurus projek. Syarikat telah memberi alasan bahawa jawatan PYM adalah berlebihan kerana syarikat tidak mempunyai projek pada masa itu. Sebaliknya, syarikat memilih seorang bernama Michael Barber yang mempunyai latar belakang perolehan berbanding PYM yang mempunyai latar belakang elektrik. Malah, testimoni Michael Barber akan memberi penjelasan tentang kerja yang dilakukan oleh syarikat setelah menlaksanakan pemberhentian kerja. Atas kegagalan mendapatkan testimoni Michael Barber yang merupakan seorang saksi material, inferens bertentangan menurut s 114 (g) Akta Keterangan 1950 digunapakai terhadap syarikat. Oleh itu, jawatan penuntut bukan berlebihan untuk diberhentikan oleh syarikat. Berikutan itu, syarikat gagal membuktikan bahawa pemberhentian kerja dilakukan atas sebab yang adil dan sewajarnya, dan oleh itu tuntutan PYM dibenarkan (lihat perenggan 42–43 &amp; 50).</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PYM tidak dapat menamatkan kontrak tetapnya selama dua tahun dan telah diberhentikan. Jika PYM tidak diberhentikan, PYM boleh meneruskan pekerjaannya selama 10 bulan yang tinggal berdasarkan kontraknya. Sehubungan itu, award PYM akan dihadkan kepada baki tempoh yang belum ditamatkan iaitu sepuluh bulan. Selain itu, sejumlah dua bulan gaji bagi setiap baki 10 bulan dalam tempoh kontraknya yang belum ditamatkan diberikan kepada PYM sebagai pampasan punitif kerana syarikat  telah bertindak dengan niat jahat semasa menamatkan kerja PYM. Selanjutnya, oleh kerana PYM juga telah memberi keterangan bahawa dia telah mendapat pekerjaan di tempat lain selepas pemberhentian kerjanya oleh syarikat, potongan pendapatan selepas pemecatan daripada gaji kebelakang yang diawadkan kepada PYM juga akan dibuat (lihat perenggan 53–54, 56 &amp; 58–59 ).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MLJ 361;  [1999] 4 CLJ 155,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Chapman and others v Goonvean &amp; Rostowrack China Clay Co Ltd </w:t>
      </w:r>
      <w:r>
        <w:rPr>
          <w:rFonts w:ascii="arial" w:eastAsia="arial" w:hAnsi="arial" w:cs="arial"/>
          <w:b w:val="0"/>
          <w:i w:val="0"/>
          <w:strike w:val="0"/>
          <w:noProof w:val="0"/>
          <w:color w:val="000000"/>
          <w:position w:val="0"/>
          <w:sz w:val="24"/>
          <w:u w:val="none"/>
          <w:vertAlign w:val="baseline"/>
        </w:rPr>
        <w:t>[1973] 2 All ER 1063,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Mohamad Sahrul bin Kahulan &amp; Others v Lourdes Medical Services Sdn Bhd </w:t>
      </w:r>
      <w:r>
        <w:rPr>
          <w:rFonts w:ascii="arial" w:eastAsia="arial" w:hAnsi="arial" w:cs="arial"/>
          <w:b w:val="0"/>
          <w:i w:val="0"/>
          <w:strike w:val="0"/>
          <w:noProof w:val="0"/>
          <w:color w:val="000000"/>
          <w:position w:val="0"/>
          <w:sz w:val="24"/>
          <w:u w:val="none"/>
          <w:vertAlign w:val="baseline"/>
        </w:rPr>
        <w:t>[2021] 2 LNS 1295; [2022] 1 MELR 662,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Sarimah Lee v Freescale Semiconductor (Malaysia) Sdn Bhd  </w:t>
      </w:r>
      <w:r>
        <w:rPr>
          <w:rFonts w:ascii="arial" w:eastAsia="arial" w:hAnsi="arial" w:cs="arial"/>
          <w:b w:val="0"/>
          <w:i w:val="0"/>
          <w:strike w:val="0"/>
          <w:noProof w:val="0"/>
          <w:color w:val="000000"/>
          <w:position w:val="0"/>
          <w:sz w:val="24"/>
          <w:u w:val="none"/>
          <w:vertAlign w:val="baseline"/>
        </w:rPr>
        <w:t>2010 1 ILR 103,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KFC Technical Services Sdn Bhd v Industrial Court of Malaysia &amp; Anor   </w:t>
      </w:r>
      <w:r>
        <w:rPr>
          <w:rFonts w:ascii="arial" w:eastAsia="arial" w:hAnsi="arial" w:cs="arial"/>
          <w:b w:val="0"/>
          <w:i w:val="0"/>
          <w:strike w:val="0"/>
          <w:noProof w:val="0"/>
          <w:color w:val="000000"/>
          <w:position w:val="0"/>
          <w:sz w:val="24"/>
          <w:u w:val="none"/>
          <w:vertAlign w:val="baseline"/>
        </w:rPr>
        <w:t>[1992] 1 MLJ 564; [1992] 2 CLJ 634,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Thangasamy Brown a/l DN Gnanayutham v Pelabuhan Tanjung Pelepas Sdn Bhd &amp; Anor  </w:t>
      </w:r>
      <w:r>
        <w:rPr>
          <w:rFonts w:ascii="arial" w:eastAsia="arial" w:hAnsi="arial" w:cs="arial"/>
          <w:b w:val="0"/>
          <w:i w:val="0"/>
          <w:strike w:val="0"/>
          <w:noProof w:val="0"/>
          <w:color w:val="000000"/>
          <w:position w:val="0"/>
          <w:sz w:val="24"/>
          <w:u w:val="none"/>
          <w:vertAlign w:val="baseline"/>
        </w:rPr>
        <w:t>[2011] 6 MLJ 555;  [2009] 6 CLJ 144,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William Jack &amp; Co Sdn Bhd v S Balasingham </w:t>
      </w:r>
      <w:r>
        <w:rPr>
          <w:rFonts w:ascii="arial" w:eastAsia="arial" w:hAnsi="arial" w:cs="arial"/>
          <w:b w:val="0"/>
          <w:i w:val="0"/>
          <w:strike w:val="0"/>
          <w:noProof w:val="0"/>
          <w:color w:val="000000"/>
          <w:position w:val="0"/>
          <w:sz w:val="24"/>
          <w:u w:val="none"/>
          <w:vertAlign w:val="baseline"/>
        </w:rPr>
        <w:t xml:space="preserve"> [2000] 7 MLJ 1; [1997] 3 CLJ 235,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Woo Vain Chan v Malayawata Steel Bhd (currently known as Ann Joo Steel Bhd) </w:t>
      </w:r>
      <w:r>
        <w:rPr>
          <w:rFonts w:ascii="arial" w:eastAsia="arial" w:hAnsi="arial" w:cs="arial"/>
          <w:b w:val="0"/>
          <w:i w:val="0"/>
          <w:strike w:val="0"/>
          <w:noProof w:val="0"/>
          <w:color w:val="000000"/>
          <w:position w:val="0"/>
          <w:sz w:val="24"/>
          <w:u w:val="none"/>
          <w:vertAlign w:val="baseline"/>
        </w:rPr>
        <w:t xml:space="preserve"> [2016] 2 MLJ 848;  [2016] 10 CLJ,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Yap Chin Wah v MMSB Consult Sdn Bhd  </w:t>
      </w:r>
      <w:r>
        <w:rPr>
          <w:rFonts w:ascii="arial" w:eastAsia="arial" w:hAnsi="arial" w:cs="arial"/>
          <w:b w:val="0"/>
          <w:i w:val="0"/>
          <w:strike w:val="0"/>
          <w:noProof w:val="0"/>
          <w:color w:val="000000"/>
          <w:position w:val="0"/>
          <w:sz w:val="24"/>
          <w:u w:val="none"/>
          <w:vertAlign w:val="baseline"/>
        </w:rPr>
        <w:t>[2021] 2 ILR 345, IC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1950s 114(g)</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ss 20(3), 30(5)</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Gary Joseph Needham Millward, Ramesh &amp; Narendran (Goik, Ramesh &amp; Loo) the counsels for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Vinu Kamalanathan &amp; Sarah Tiong-Vinu (Vinu &amp; Lopez) the Counsels for Company.</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Matthew Lucien Seale The Company Representative.</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21"/>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Selva Rani Thiyagarajan C"/>
            <w:bookmarkEnd w:id="5"/>
            <w:r>
              <w:rPr>
                <w:rFonts w:ascii="arial" w:eastAsia="arial" w:hAnsi="arial" w:cs="arial"/>
                <w:b/>
                <w:i w:val="0"/>
                <w:strike w:val="0"/>
                <w:noProof w:val="0"/>
                <w:color w:val="000000"/>
                <w:position w:val="0"/>
                <w:sz w:val="30"/>
                <w:u w:val="none"/>
                <w:vertAlign w:val="baseline"/>
              </w:rPr>
              <w:t>Selva Rani Thiyagarajan C:</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arising out of the dismissal of Gary Joseph Needham Millward (hereinafter referred to as “the Claimant”) by Tarpon Energy Services Asia Pacific Sdn Bhd (hereinafter referred to as the Company”) on 08 December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Reference, in this case, required the Court to hear and determine the Claimant’s complaint of dismissal by the Company on 07 April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 PROCEDURAL HISTORY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matter was fixed for mention on 11 January 2021, 16 March 2021, 19 July 2021, 30 August 2021, 11 February 2022, 17 October 2022, and 14 November 2022.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case was first heard before the then-learned judge Chairman of Court 2 Dato Muhammad Bukhari Bin Abd Hamid on 13 September 2021, 14 September 2021, 04 October 2021, 01 November 2021, 02 November 2021, and 09 June 2022.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Trial proceeded to be heard before the then-learned judge Chairman of Court no.13, Dato Muhammad Bukhari Bin Abd. Hamid on 21 July 2022. The written submission was filed thereafter.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Due to the retirement of the learned Chairman Dato Muhammad Buhkari Bin Abd Hamid, effective from 25 November 2022, the then-learned President of the Industrial Court instructed me (i.e., the current Chairman of Court 13, Kuala Lumpur) to hand down an award for this case.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matter was called for clarification and oral submission on 10 February 2023 7 July 2023. Both parties have no objection to me handing down this award.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 CAUSE PAPERS, BUNDLE OF DOCUMENTS, WITNESS STATEMENTS, AND SUBMISSION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This Court takes cognizance of the notes of proceedings and the following pleadings, evidence, documents, and submission while handing down this Award: -</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02 February 2020</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15 March 2020</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14 April 2021</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Documents (“CLB”)</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(“COB-1”)</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Additional Bundle of Documents (“COB-2”)</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Witness Statement of Gary Joseph Needham Millward (‘CLWS-1”)</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Witness Statement of Claimant (Matthew Lucien Seale) (“COWS-1”)</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Supplementary Witness Statement of Tan Ching Wee (‘CLWS-2(b)”)</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Notes of Proceedings</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III) THE FACTS OF THE CASE AS PRESENTED BY THE PARTIES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 THE CLAIMANT’S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Claimant in their Statement of Case and Rejoinder pleaded the following: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commenced his employment with the Company on the 7</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of July 2014.</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Claimant evidenced the Claimant’s Contract of Employment dated 15</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2019. </w:t>
      </w:r>
      <w:r>
        <w:rPr>
          <w:rFonts w:ascii="arial" w:eastAsia="arial" w:hAnsi="arial" w:cs="arial"/>
          <w:b/>
          <w:i/>
          <w:strike w:val="0"/>
          <w:noProof w:val="0"/>
          <w:color w:val="000000"/>
          <w:position w:val="0"/>
          <w:sz w:val="24"/>
          <w:u w:val="none"/>
          <w:vertAlign w:val="baseline"/>
        </w:rPr>
        <w:t>(see CLB, page 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Claimant’s last drawn salary amounted to RM 45, 482.00 (basic salary RM 38,150.00) plus housing allowance (RM 4500.00) and traveling allowance (RM 2,832.00).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On 31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December 2019, the Company underwent a management buy-out a management team consisting of Shane Donnachie, John O’ Keeffe and Matt Seale.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At the time of take-over, the Management team gave assurance to all employees of the Company as follows: -</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Tarpon, even whilst a part of the PTW Group, was very much a standalone organisation so the ongoing changes will be minimal and seamless</w:t>
      </w:r>
      <w:r>
        <w:rPr>
          <w:rFonts w:ascii="arial" w:eastAsia="arial" w:hAnsi="arial" w:cs="arial"/>
          <w:b w:val="0"/>
          <w:i w:val="0"/>
          <w:strike w:val="0"/>
          <w:noProof w:val="0"/>
          <w:color w:val="000000"/>
          <w:position w:val="0"/>
          <w:sz w:val="24"/>
          <w:u w:val="none"/>
          <w:vertAlign w:val="baseline"/>
        </w:rPr>
        <w:t xml:space="preserve"> </w:t>
      </w:r>
    </w:p>
    <w:p>
      <w:pPr>
        <w:keepNext w:val="0"/>
        <w:numPr>
          <w:numId w:val="1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management buy-out would safeguard “more than 300 jobs”;</w:t>
      </w:r>
      <w:r>
        <w:rPr>
          <w:rFonts w:ascii="arial" w:eastAsia="arial" w:hAnsi="arial" w:cs="arial"/>
          <w:b w:val="0"/>
          <w:i w:val="0"/>
          <w:strike w:val="0"/>
          <w:noProof w:val="0"/>
          <w:color w:val="000000"/>
          <w:position w:val="0"/>
          <w:sz w:val="24"/>
          <w:u w:val="none"/>
          <w:vertAlign w:val="baseline"/>
        </w:rPr>
        <w:t xml:space="preserve"> </w:t>
      </w:r>
    </w:p>
    <w:p>
      <w:pPr>
        <w:keepNext w:val="0"/>
        <w:numPr>
          <w:numId w:val="1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that it will be business as usual for everyone</w:t>
      </w:r>
      <w:r>
        <w:rPr>
          <w:rFonts w:ascii="arial" w:eastAsia="arial" w:hAnsi="arial" w:cs="arial"/>
          <w:b w:val="0"/>
          <w:i w:val="0"/>
          <w:strike w:val="0"/>
          <w:noProof w:val="0"/>
          <w:color w:val="000000"/>
          <w:position w:val="0"/>
          <w:sz w:val="24"/>
          <w:u w:val="none"/>
          <w:vertAlign w:val="baseline"/>
        </w:rPr>
        <w:t xml:space="preserve"> </w:t>
      </w:r>
    </w:p>
    <w:p>
      <w:pPr>
        <w:keepNext w:val="0"/>
        <w:numPr>
          <w:numId w:val="1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that “there will be no redundancies; and</w:t>
      </w:r>
      <w:r>
        <w:rPr>
          <w:rFonts w:ascii="arial" w:eastAsia="arial" w:hAnsi="arial" w:cs="arial"/>
          <w:b w:val="0"/>
          <w:i w:val="0"/>
          <w:strike w:val="0"/>
          <w:noProof w:val="0"/>
          <w:color w:val="000000"/>
          <w:position w:val="0"/>
          <w:sz w:val="24"/>
          <w:u w:val="none"/>
          <w:vertAlign w:val="baseline"/>
        </w:rPr>
        <w:t xml:space="preserve"> </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there are plans “to add some new additions to the team very shortly to service our growing backlog and facilitate the continued growth of the Company in both our primary regions”</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After the management takeover, the Claimant was given the new role of Business Development Manager of APAC from May 2019 until January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Claimant was also reassigned to another role of Interim Country Manager of Indonesia; it is said to be the Company’s sister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letter of retrenchment was received by the Claimant on 7 April 2020, the Claimant was not given any indication that his position was redundant.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Claimant contends that the Company is in the most profitable stage and has no genuine reason for the termination of the Contract of Service of the Claimant on account of redundancy.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 THE COMPANY’S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Company in its Statement of Reply pleaded the following: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Due to MCO and a forecast prepared by COW 1, the Company embarked on cost-cutting measures, resulting in a retrenchment exercise involving the Claimant and other employees of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IV) THE ROLE OF THE INDUSTRIAL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A. The role played by the Industrial Court is described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where Raja Azlan Shah (as he was then) stated on page 136 of his judgment the following: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V) THE LAW AND BURDEN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On the face of the present case, the issue of retrenchment was not disputed. The Claimant was clearly retrenched. The burden of proof is therefore placed on the Company. Primarily, in cases of retrenchment, there is no disputing that the burden of proof is on the employer to establish that the employee is redundant.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According to the Court of Appeal in the case of </w:t>
      </w:r>
      <w:r>
        <w:rPr>
          <w:rFonts w:ascii="arial" w:eastAsia="arial" w:hAnsi="arial" w:cs="arial"/>
          <w:b w:val="0"/>
          <w:i/>
          <w:strike w:val="0"/>
          <w:noProof w:val="0"/>
          <w:color w:val="000000"/>
          <w:position w:val="0"/>
          <w:sz w:val="24"/>
          <w:u w:val="none"/>
          <w:vertAlign w:val="baseline"/>
        </w:rPr>
        <w:t xml:space="preserve">Woo Vain Chan v Malayawata Steel Bhd (currently known as Ann Joo Steel Bhd) </w:t>
      </w:r>
      <w:r>
        <w:rPr>
          <w:rFonts w:ascii="arial" w:eastAsia="arial" w:hAnsi="arial" w:cs="arial"/>
          <w:b w:val="0"/>
          <w:i w:val="0"/>
          <w:strike w:val="0"/>
          <w:noProof w:val="0"/>
          <w:color w:val="000000"/>
          <w:position w:val="0"/>
          <w:sz w:val="24"/>
          <w:u w:val="none"/>
          <w:vertAlign w:val="baseline"/>
        </w:rPr>
        <w:t xml:space="preserve"> [2016] 2 MLJ 848;  [2016] 10 CLJ the following was stated</w:t>
      </w:r>
      <w:r>
        <w:rPr>
          <w:rFonts w:ascii="arial" w:eastAsia="arial" w:hAnsi="arial" w:cs="arial"/>
          <w:b/>
          <w:i w:val="0"/>
          <w:strike w:val="0"/>
          <w:noProof w:val="0"/>
          <w:color w:val="000000"/>
          <w:position w:val="0"/>
          <w:sz w:val="24"/>
          <w:u w:val="none"/>
          <w:vertAlign w:val="baseline"/>
        </w:rP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burden is on the employer to come to the Court with concrete proof to establish that the employee is actually redundant, that he is discharged as surplus age to the Company’s requirement. There must be actual redundancy before a dismissal premised on the ground of redundancy could be grounded. Merely by showing that the Company was undergoing restructuring exercise will not suffice. In order to bite, it must be further exhibited through evidence that the exercise had impacted on the job function in such a manner that “it was reduced to such an extent that he was considered redundant”. In other words, the exercise had rendered the employee a surplus to the manpower requirement of the Company. If such a situation is successfully borne out by the evidence as led before the Court, then an employee so affected could be validly retrenched or his services terminated on that ground (see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Bayer (M) Sdn Bhd v Ng Hong Pau </w:t>
      </w:r>
      <w:r>
        <w:rPr>
          <w:rFonts w:ascii="arial" w:eastAsia="arial" w:hAnsi="arial" w:cs="arial"/>
          <w:b w:val="0"/>
          <w:i w:val="0"/>
          <w:strike w:val="0"/>
          <w:noProof w:val="0"/>
          <w:color w:val="000000"/>
          <w:position w:val="0"/>
          <w:sz w:val="18"/>
          <w:u w:val="none"/>
          <w:vertAlign w:val="baseline"/>
        </w:rPr>
        <w:t>[1999] 4 MLJ 361;  [1999] 4 CLJ 155</w:t>
      </w:r>
      <w:r>
        <w:rPr>
          <w:rFonts w:ascii="arial" w:eastAsia="arial" w:hAnsi="arial" w:cs="arial"/>
          <w:b w:val="0"/>
          <w:i/>
          <w:strike w:val="0"/>
          <w:noProof w:val="0"/>
          <w:color w:val="000000"/>
          <w:position w:val="0"/>
          <w:sz w:val="18"/>
          <w:u w:val="none"/>
          <w:vertAlign w:val="baseline"/>
        </w:rPr>
        <w:t>. In determining dismissal based on redundancy, the Court is entitled to look at the bona fide of the said move by the Company.”</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burden of proof is on the Company to prove the redundancy has led to the Claimant’s retrenchment. In the Court of Appeal case of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MLJ 361;  [1999] 4 CLJ 155 on page 160, Shaik Daud Ismail JCA (as he was then) opined the following in paragraph (d):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“On redundancy it cannot be gainsaid that the appellant must come to the Court with concrete proof. The burden is on the appellant to prove actual redundancy in which the dismissal was grounded.”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Learned Judge Shaik Daud Ismail JCA (as he was then) also referred to the case of </w:t>
      </w:r>
      <w:r>
        <w:rPr>
          <w:rFonts w:ascii="arial" w:eastAsia="arial" w:hAnsi="arial" w:cs="arial"/>
          <w:b w:val="0"/>
          <w:i/>
          <w:strike w:val="0"/>
          <w:noProof w:val="0"/>
          <w:color w:val="000000"/>
          <w:position w:val="0"/>
          <w:sz w:val="24"/>
          <w:u w:val="none"/>
          <w:vertAlign w:val="baseline"/>
        </w:rPr>
        <w:t xml:space="preserve">Chapman and others v Goonvean &amp; Rostowrack China Clay Co Ltd </w:t>
      </w:r>
      <w:r>
        <w:rPr>
          <w:rFonts w:ascii="arial" w:eastAsia="arial" w:hAnsi="arial" w:cs="arial"/>
          <w:b w:val="0"/>
          <w:i w:val="0"/>
          <w:strike w:val="0"/>
          <w:noProof w:val="0"/>
          <w:color w:val="000000"/>
          <w:position w:val="0"/>
          <w:sz w:val="24"/>
          <w:u w:val="none"/>
          <w:vertAlign w:val="baseline"/>
        </w:rPr>
        <w:t>[1973] 2 All ER 1063</w:t>
      </w:r>
      <w:r>
        <w:rPr>
          <w:rFonts w:ascii="arial" w:eastAsia="arial" w:hAnsi="arial" w:cs="arial"/>
          <w:b/>
          <w:i w:val="0"/>
          <w:strike w:val="0"/>
          <w:noProof w:val="0"/>
          <w:color w:val="000000"/>
          <w:position w:val="0"/>
          <w:sz w:val="24"/>
          <w:u w:val="none"/>
          <w:vertAlign w:val="baseline"/>
        </w:rPr>
        <w:t>, LORD BUCKLEY LJ</w:t>
      </w:r>
      <w:r>
        <w:rPr>
          <w:rFonts w:ascii="arial" w:eastAsia="arial" w:hAnsi="arial" w:cs="arial"/>
          <w:b w:val="0"/>
          <w:i w:val="0"/>
          <w:strike w:val="0"/>
          <w:noProof w:val="0"/>
          <w:color w:val="000000"/>
          <w:position w:val="0"/>
          <w:sz w:val="24"/>
          <w:u w:val="none"/>
          <w:vertAlign w:val="baseline"/>
        </w:rPr>
        <w:t xml:space="preserve"> (as he was then) stated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Plaintiffs were dismissed from their employment by the Defendant Company, and accordingly the burden of proving that they were not dismissed by reason of redundancy lies upon the Defendant Company.</w:t>
      </w:r>
      <w:r>
        <w:rPr>
          <w:rFonts w:ascii="arial" w:eastAsia="arial" w:hAnsi="arial" w:cs="arial"/>
          <w:b w:val="0"/>
          <w:i w:val="0"/>
          <w:strike w:val="0"/>
          <w:noProof w:val="0"/>
          <w:color w:val="000000"/>
          <w:position w:val="0"/>
          <w:sz w:val="18"/>
          <w:u w:val="none"/>
          <w:vertAlign w:val="baseline"/>
        </w:rPr>
        <w:t xml:space="preserve"> Section 1(2)</w:t>
      </w:r>
      <w:r>
        <w:rPr>
          <w:rFonts w:ascii="arial" w:eastAsia="arial" w:hAnsi="arial" w:cs="arial"/>
          <w:b w:val="0"/>
          <w:i/>
          <w:strike w:val="0"/>
          <w:noProof w:val="0"/>
          <w:color w:val="000000"/>
          <w:position w:val="0"/>
          <w:sz w:val="18"/>
          <w:u w:val="none"/>
          <w:vertAlign w:val="baseline"/>
        </w:rPr>
        <w:t xml:space="preserve">, so far as relevant to the present case, provides that for the purposes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an employee who is dismissed shall be taken to be dismissed by reason of redundancy if the dismissal is attributable wholly or mainly to the fact that the requirements of the business for the purposes of which he was employed for employees to carry out work of particular kind have ceased or diminished or are expected to cease or diminish. So, the burden resting upon the Defendant Company in the present case is to establish that on the facts of the case that criterion is not satisfied.”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VI) STANDARD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This Court will also take adherence of the decision from the Court of Appeal,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which laid down the principles that the standard of proof in the Industrial Court is on the balance of probabilities: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“Thus, we can see that the preponderant view is that the Industrial Court, when hearing a claim of unjust dismissal, even where the ground is one of a dishonest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including “theft,” is not required to be satisfied beyond reasonable doubt that the employee has “ committed the offense,” as in criminal prosecution. On the other hand, we see that the Courts and learned authors have used such terms as “solid and sensible grounds,” “sufficient to measure up to a preponderance of the evidence,” “ whether a case has been made out”, “on the balance of probabilities” and “ evidence of probative value.”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But again, if we may add, these are not “passwords” that the failure to use them or if some other words are used, the decision is automatically rendered bad in law.”</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The Standard of Proof is also reiterated in the case of </w:t>
      </w:r>
      <w:r>
        <w:rPr>
          <w:rFonts w:ascii="arial" w:eastAsia="arial" w:hAnsi="arial" w:cs="arial"/>
          <w:b w:val="0"/>
          <w:i/>
          <w:strike w:val="0"/>
          <w:noProof w:val="0"/>
          <w:color w:val="000000"/>
          <w:position w:val="0"/>
          <w:sz w:val="24"/>
          <w:u w:val="none"/>
          <w:vertAlign w:val="baseline"/>
        </w:rPr>
        <w:t xml:space="preserve">Sarimah Lee v Freescale Semiconductor (Malaysia) Sdn Bhd  </w:t>
      </w:r>
      <w:r>
        <w:rPr>
          <w:rFonts w:ascii="arial" w:eastAsia="arial" w:hAnsi="arial" w:cs="arial"/>
          <w:b w:val="0"/>
          <w:i w:val="0"/>
          <w:strike w:val="0"/>
          <w:noProof w:val="0"/>
          <w:color w:val="000000"/>
          <w:position w:val="0"/>
          <w:sz w:val="24"/>
          <w:u w:val="none"/>
          <w:vertAlign w:val="baseline"/>
        </w:rPr>
        <w:t>2010 1 ILR 103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Burden of Proof lies on the employer. He is obliged to prove his case on a balance of probabilities. He must adduce evidence that the workman was dismissed for just cause or excuse.”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The pleadings of the parties avers that the dismissal of the Claimant is due to redundancy of his position and a retrenchment exercise was applied towards the Claimant and some of the employees of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Hence, this Court will explore the law of redundancy and retrenchment while deciding this case.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VII) THE LAW ON REDUNDANCY AND RETRENCHMENT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In the book “Industrial Relations in Malaysia, Law and Practice, the 3</w:t>
      </w:r>
      <w:r>
        <w:rPr>
          <w:rFonts w:ascii="arial" w:eastAsia="arial" w:hAnsi="arial" w:cs="arial"/>
          <w:b w:val="0"/>
          <w:i w:val="0"/>
          <w:strike w:val="0"/>
          <w:noProof w:val="0"/>
          <w:color w:val="000000"/>
          <w:position w:val="0"/>
          <w:sz w:val="24"/>
          <w:u w:val="none"/>
          <w:vertAlign w:val="superscript"/>
        </w:rPr>
        <w:t>rd</w:t>
      </w:r>
      <w:r>
        <w:rPr>
          <w:rFonts w:ascii="arial" w:eastAsia="arial" w:hAnsi="arial" w:cs="arial"/>
          <w:b w:val="0"/>
          <w:i w:val="0"/>
          <w:strike w:val="0"/>
          <w:noProof w:val="0"/>
          <w:color w:val="000000"/>
          <w:position w:val="0"/>
          <w:sz w:val="24"/>
          <w:u w:val="none"/>
          <w:vertAlign w:val="baseline"/>
        </w:rPr>
        <w:t xml:space="preserve"> Edition has clearly laid the differences between “Redundancy” and “Retrenchment”. </w:t>
      </w:r>
      <w:r>
        <w:rPr>
          <w:rFonts w:ascii="arial" w:eastAsia="arial" w:hAnsi="arial" w:cs="arial"/>
          <w:b w:val="0"/>
          <w:i/>
          <w:strike w:val="0"/>
          <w:noProof w:val="0"/>
          <w:color w:val="000000"/>
          <w:position w:val="0"/>
          <w:sz w:val="24"/>
          <w:u w:val="none"/>
          <w:vertAlign w:val="baseline"/>
        </w:rPr>
        <w:t>The Learned author Mr. Duston Ayadurai</w:t>
      </w:r>
      <w:r>
        <w:rPr>
          <w:rFonts w:ascii="arial" w:eastAsia="arial" w:hAnsi="arial" w:cs="arial"/>
          <w:b w:val="0"/>
          <w:i w:val="0"/>
          <w:strike w:val="0"/>
          <w:noProof w:val="0"/>
          <w:color w:val="000000"/>
          <w:position w:val="0"/>
          <w:sz w:val="24"/>
          <w:u w:val="none"/>
          <w:vertAlign w:val="baseline"/>
        </w:rPr>
        <w:t>, at page 255 and 256 of the said book, went on to give a distinction between “Redundancy’ and “Retrenchment” the following: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“Redundancy refers to a surplus of labour and is normally the result of a reorganization of the business of an employer, and its usual consequence is retrenchment, i.e., the termination by the employer if those employees found to be surplus to his requirement after the reorganization. Thus, there must first be redundancy or surplus before they can be retrenchment or termination of the surplus…”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William Jack &amp; Co Sdn Bhd v S Balasingham </w:t>
      </w:r>
      <w:r>
        <w:rPr>
          <w:rFonts w:ascii="arial" w:eastAsia="arial" w:hAnsi="arial" w:cs="arial"/>
          <w:b w:val="0"/>
          <w:i w:val="0"/>
          <w:strike w:val="0"/>
          <w:noProof w:val="0"/>
          <w:color w:val="000000"/>
          <w:position w:val="0"/>
          <w:sz w:val="24"/>
          <w:u w:val="none"/>
          <w:vertAlign w:val="baseline"/>
        </w:rPr>
        <w:t xml:space="preserve"> [2000] 7 MLJ 1; [1997] 3 CLJ 235, the Court of Appeal has decided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“Retrenchment has been defined as the discharge of surplus labour or staff by an employer for any reason whatsoever otherwise than as a punishment inflicted by way of disciplinary action. Whether the retrenchment exercise in a particular case is bona fide or otherwise is a question of fact and of degree depending on the peculiar circumstances of the case. It is well settled that the employer is entitled to organize his business in the manner he considers best. So long as the managerial power is exercised bona fide, the decision is immune from examination even by the Industrial Court. However, the Industrial Court is empowered, and indeed duty bound, to investigate the facts and circumstances of the case to determine whether the exercise of power is in fact bona fide.”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VIII)ISSUES TO BE DECIDED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Yap Chin Wah v MMSB Consult Sdn Bhd  </w:t>
      </w:r>
      <w:r>
        <w:rPr>
          <w:rFonts w:ascii="arial" w:eastAsia="arial" w:hAnsi="arial" w:cs="arial"/>
          <w:b w:val="0"/>
          <w:i w:val="0"/>
          <w:strike w:val="0"/>
          <w:noProof w:val="0"/>
          <w:color w:val="000000"/>
          <w:position w:val="0"/>
          <w:sz w:val="24"/>
          <w:u w:val="none"/>
          <w:vertAlign w:val="baseline"/>
        </w:rPr>
        <w:t xml:space="preserve">[2021] 2 ILR 345, the </w:t>
      </w:r>
      <w:r>
        <w:rPr>
          <w:rFonts w:ascii="arial" w:eastAsia="arial" w:hAnsi="arial" w:cs="arial"/>
          <w:b/>
          <w:i/>
          <w:strike w:val="0"/>
          <w:noProof w:val="0"/>
          <w:color w:val="000000"/>
          <w:position w:val="0"/>
          <w:sz w:val="24"/>
          <w:u w:val="none"/>
          <w:vertAlign w:val="baseline"/>
        </w:rPr>
        <w:t>Learned Chairman Augustine Anthony</w:t>
      </w:r>
      <w:r>
        <w:rPr>
          <w:rFonts w:ascii="arial" w:eastAsia="arial" w:hAnsi="arial" w:cs="arial"/>
          <w:b w:val="0"/>
          <w:i w:val="0"/>
          <w:strike w:val="0"/>
          <w:noProof w:val="0"/>
          <w:color w:val="000000"/>
          <w:position w:val="0"/>
          <w:sz w:val="24"/>
          <w:u w:val="none"/>
          <w:vertAlign w:val="baseline"/>
        </w:rPr>
        <w:t xml:space="preserve"> reiterated that, in deciding whether the Company’s retrenchment exercise done against the Claimant was fair, three questions are to be posed to the Court: -</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reorganization exercise by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IX) THE COURT’S FINDINGS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This Court will attempt to answer the questions posed while dealing with this case in the following manner.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 Whether there was a genuine need for the reorganization exercise by the Company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 The Forecast:-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Company had embarked on the journey of retrenchment involving the Claimant based on a forecast report page 49 and 50 of COB2.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(Excerpt from Notes of Evidence on the date of hearing :- 13 September 2021 time)</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VK : Ok, so Matt who prepared this document?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COW1 : I did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COW1 testified that he had prepared this report. He went on to state the time he had prepared the report.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COW1 : The Forecast would have been prepared at the 30.. end of March beginning of April 2020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In his Cross-examination of COW1, as seen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RS</w:t>
      </w:r>
      <w:r>
        <w:rPr>
          <w:rFonts w:ascii="arial" w:eastAsia="arial" w:hAnsi="arial" w:cs="arial"/>
          <w:b w:val="0"/>
          <w:i w:val="0"/>
          <w:strike w:val="0"/>
          <w:noProof w:val="0"/>
          <w:color w:val="000000"/>
          <w:position w:val="0"/>
          <w:sz w:val="18"/>
          <w:u w:val="none"/>
          <w:vertAlign w:val="baseline"/>
        </w:rPr>
        <w:t xml:space="preserve"> : </w:t>
      </w:r>
      <w:r>
        <w:rPr>
          <w:rFonts w:ascii="arial" w:eastAsia="arial" w:hAnsi="arial" w:cs="arial"/>
          <w:b w:val="0"/>
          <w:i/>
          <w:strike w:val="0"/>
          <w:noProof w:val="0"/>
          <w:color w:val="000000"/>
          <w:position w:val="0"/>
          <w:sz w:val="18"/>
          <w:u w:val="none"/>
          <w:vertAlign w:val="baseline"/>
        </w:rPr>
        <w:t>All right, again I am asking you do you have any other qualification, any qualification in relation to your ability, skill and ability to speculate on the business prospect of other companies?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COW1 : I have no other qualifications other than being</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Therefore this Court concludes that the forecast was prepared by the COW1 which was used to embark on the cost-cutting measures inclusive of the retrenchment exercise.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 19 days of MCO:-</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It is noted that it was barely 19 days since the MCO was declared that the Claimant was retrenched by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Company had pleaded Covid-19 pandemic as a factor for the retrenchment. There is no evidence before this Court to show that during those 19 days, the Company suffered a substantial loss to enable the retrenchment of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Retrenching the Claimant after just 19 days of MCO being declared was a hasty decision. As can be seen in the case of </w:t>
      </w:r>
      <w:r>
        <w:rPr>
          <w:rFonts w:ascii="arial" w:eastAsia="arial" w:hAnsi="arial" w:cs="arial"/>
          <w:b w:val="0"/>
          <w:i/>
          <w:strike w:val="0"/>
          <w:noProof w:val="0"/>
          <w:color w:val="000000"/>
          <w:position w:val="0"/>
          <w:sz w:val="24"/>
          <w:u w:val="none"/>
          <w:vertAlign w:val="baseline"/>
        </w:rPr>
        <w:t xml:space="preserve">MOHAMAD SHARUL KAHULAN v LOURDES MEDICAL SERVICES SDN BHD  </w:t>
      </w:r>
      <w:r>
        <w:rPr>
          <w:rFonts w:ascii="arial" w:eastAsia="arial" w:hAnsi="arial" w:cs="arial"/>
          <w:b w:val="0"/>
          <w:i w:val="0"/>
          <w:strike w:val="0"/>
          <w:noProof w:val="0"/>
          <w:color w:val="000000"/>
          <w:position w:val="0"/>
          <w:sz w:val="24"/>
          <w:u w:val="none"/>
          <w:vertAlign w:val="baseline"/>
        </w:rPr>
        <w:t xml:space="preserve">[2022] 1 MELR 662, the </w:t>
      </w:r>
      <w:r>
        <w:rPr>
          <w:rFonts w:ascii="arial" w:eastAsia="arial" w:hAnsi="arial" w:cs="arial"/>
          <w:b/>
          <w:i/>
          <w:strike w:val="0"/>
          <w:noProof w:val="0"/>
          <w:color w:val="000000"/>
          <w:position w:val="0"/>
          <w:sz w:val="24"/>
          <w:u w:val="none"/>
          <w:vertAlign w:val="baseline"/>
        </w:rPr>
        <w:t>learned Chairman Augustine Anthony</w:t>
      </w:r>
      <w:r>
        <w:rPr>
          <w:rFonts w:ascii="arial" w:eastAsia="arial" w:hAnsi="arial" w:cs="arial"/>
          <w:b w:val="0"/>
          <w:i w:val="0"/>
          <w:strike w:val="0"/>
          <w:noProof w:val="0"/>
          <w:color w:val="000000"/>
          <w:position w:val="0"/>
          <w:sz w:val="24"/>
          <w:u w:val="none"/>
          <w:vertAlign w:val="baseline"/>
        </w:rPr>
        <w:t xml:space="preserve"> held the following:-</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claimants were all retrenched within 14 days from the date of the MCO even before the company could feel and experience the impact of the MCO. Even the transfers of the other staff that were undertaken by the company to allegedly organise its business affairs were done in the months of July 2020 and November 2020 which were sometime after the claimant was abruptly retrenched with no acceptable reason. “</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immediate impact felt by the Company in that 19 days was not explained by the Company through its witnesses and documents. The Company also did not include the evidence of the PK form filed by it to this Court during the Claimant’s retrenchment exercise.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iii)The Financial Situation of the Company: -</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The COW1 had testified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CLC : Do you have documentary evidence to substantiate your evidence that the parent co (previous parent co) intended to close tarpon energy services Asia-Pacific in Malaysia</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COW1 : There were multiple e-mails between ourselves and the Company PTW General Counsel Mr Micheal Flack and the CFO Mr Clinton Macnair confirming the 3 different options that were available to PTW when was the immediate closure of all international businesses that means not taken on any new work that allow…</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CLC : My question to you now as I said do you have any evidence before the Court to show that the international group intended to close its Malaysian operation. Do you have any documentary evidence before the court right now?</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COW1 : I did not include any of the evidence in my bundle Yang Arif may I just address the Court very…</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Company’s new owners are aware of the loss that the Company had suffered financial loss prior to the new management takeover. The new owners had given assurance to the employees of the Company that the jobs and positions of the employees would not be affected by the new management (see page 30 of COB-1). The Company then, raised the issue of the financial status of the Company as an issue when a retrenchment exercise was conducted seems ill conceived.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Mohamad Sahrul bin Kahulan &amp; Others v Lourdes Medical Services Sdn Bhd </w:t>
      </w:r>
      <w:r>
        <w:rPr>
          <w:rFonts w:ascii="arial" w:eastAsia="arial" w:hAnsi="arial" w:cs="arial"/>
          <w:b w:val="0"/>
          <w:i w:val="0"/>
          <w:strike w:val="0"/>
          <w:noProof w:val="0"/>
          <w:color w:val="000000"/>
          <w:position w:val="0"/>
          <w:sz w:val="24"/>
          <w:u w:val="none"/>
          <w:vertAlign w:val="baseline"/>
        </w:rPr>
        <w:t xml:space="preserve">[2021] 2 LNS 1295; [2022] 1 MELR 662, IC, the </w:t>
      </w:r>
      <w:r>
        <w:rPr>
          <w:rFonts w:ascii="arial" w:eastAsia="arial" w:hAnsi="arial" w:cs="arial"/>
          <w:b/>
          <w:i/>
          <w:strike w:val="0"/>
          <w:noProof w:val="0"/>
          <w:color w:val="000000"/>
          <w:position w:val="0"/>
          <w:sz w:val="24"/>
          <w:u w:val="none"/>
          <w:vertAlign w:val="baseline"/>
        </w:rPr>
        <w:t>Learned Chairman Augustine Anthony</w:t>
      </w:r>
      <w:r>
        <w:rPr>
          <w:rFonts w:ascii="arial" w:eastAsia="arial" w:hAnsi="arial" w:cs="arial"/>
          <w:b w:val="0"/>
          <w:i w:val="0"/>
          <w:strike w:val="0"/>
          <w:noProof w:val="0"/>
          <w:color w:val="000000"/>
          <w:position w:val="0"/>
          <w:sz w:val="24"/>
          <w:u w:val="none"/>
          <w:vertAlign w:val="baseline"/>
        </w:rPr>
        <w:t xml:space="preserve"> remarked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scrutiny of the Financial / Profit and Loss statement produced by the Company showing significant drop in the revenue of the Company cannot be taken as acceptable ground for the retrenchment of the Claimant.”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does not mean that the moment there is some reduction in the revenue of any Company/Companies, the Company must quickly and immediately retrench its employees. There are many significant and meaningful ways in which a Company can initiate financial austerity measures whenever the Company experiences some business downturn and revenue dip without resorting to retrenching its employees as an immediate and first step in costs cutting measures”.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As can be seen from the SSM search for the year 2019 (</w:t>
      </w:r>
      <w:r>
        <w:rPr>
          <w:rFonts w:ascii="arial" w:eastAsia="arial" w:hAnsi="arial" w:cs="arial"/>
          <w:b/>
          <w:i/>
          <w:strike w:val="0"/>
          <w:noProof w:val="0"/>
          <w:color w:val="000000"/>
          <w:position w:val="0"/>
          <w:sz w:val="24"/>
          <w:u w:val="none"/>
          <w:vertAlign w:val="baseline"/>
        </w:rPr>
        <w:t>see pages 18 to 26 of CLB)</w:t>
      </w:r>
      <w:r>
        <w:rPr>
          <w:rFonts w:ascii="arial" w:eastAsia="arial" w:hAnsi="arial" w:cs="arial"/>
          <w:b w:val="0"/>
          <w:i w:val="0"/>
          <w:strike w:val="0"/>
          <w:noProof w:val="0"/>
          <w:color w:val="000000"/>
          <w:position w:val="0"/>
          <w:sz w:val="24"/>
          <w:u w:val="none"/>
          <w:vertAlign w:val="baseline"/>
        </w:rPr>
        <w:t>, the Company did possess current assets amounting to RM 26,680,413.00; Company assets are a Company’s short-term assets that can be liquidated quickly and used for a Company’s immediate needs. It is noted that the Company had this option to exercise when facing a retrenchment exercise of its employees. The Company also failed to proof via documentation of cost-cutting measures conducted by the Company prior to the said Retrenchment exercise.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Company, in an e-mail dated March 29, 2020, had given a lot of reasons for the Impact felt by the Company on page 12 of COB1, such as all sites are closed, staff is stranded, projects are delayed, postponed, and cancelled, clients delayed payment. These reasons are not shown in documentary evidence to substantiate the impact suffered by the Company. Newspaper articles from the Edge and New Straits Times (from pages 145 to 151 of COB 1 and 152 to 155 of COB1 respectively) on Petronas on capex cut will affect Oil &amp; Gas industry. There is no documentary evidence that the Company’s business is affected by Petronas. The Company also presented Annual Reports for the year of 2020, from MISC Berhad, Aker Solutions, Schlumberger Limited and Sapura Energy which are not relevant to the retrenchment of the Claimant in the present case as his retrenchment was in early 2020, therefore the Company’s financial state of the year prior which is 2019 is the year that will be considered by this Court. At page 121, of COB1, the Company had amount due from related companies for the Amount of RM 14,159, 340.00 which the Company should tried to collect before embarking on this retrenchment exercise.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 Whether a genuine redundancy situation had arisen which led to the retrenchment of the Claimant.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The Claimant was appointed as the Project Manager on 15 January 2018, as can be seen from his Appointment Letter. </w:t>
      </w:r>
      <w:r>
        <w:rPr>
          <w:rFonts w:ascii="arial" w:eastAsia="arial" w:hAnsi="arial" w:cs="arial"/>
          <w:b/>
          <w:i/>
          <w:strike w:val="0"/>
          <w:noProof w:val="0"/>
          <w:color w:val="000000"/>
          <w:position w:val="0"/>
          <w:sz w:val="24"/>
          <w:u w:val="none"/>
          <w:vertAlign w:val="baseline"/>
        </w:rPr>
        <w:t>(See pages 9 and 10 of COB1.)</w:t>
      </w:r>
      <w:r>
        <w:rPr>
          <w:rFonts w:ascii="arial" w:eastAsia="arial" w:hAnsi="arial" w:cs="arial"/>
          <w:b w:val="0"/>
          <w:i w:val="0"/>
          <w:strike w:val="0"/>
          <w:noProof w:val="0"/>
          <w:color w:val="000000"/>
          <w:position w:val="0"/>
          <w:sz w:val="24"/>
          <w:u w:val="none"/>
          <w:vertAlign w:val="baseline"/>
        </w:rPr>
        <w:t xml:space="preserve"> Prior to the takeover of the Company, the Claimant’s position in the Organization Chart can be seen on (</w:t>
      </w:r>
      <w:r>
        <w:rPr>
          <w:rFonts w:ascii="arial" w:eastAsia="arial" w:hAnsi="arial" w:cs="arial"/>
          <w:b/>
          <w:i/>
          <w:strike w:val="0"/>
          <w:noProof w:val="0"/>
          <w:color w:val="000000"/>
          <w:position w:val="0"/>
          <w:sz w:val="24"/>
          <w:u w:val="none"/>
          <w:vertAlign w:val="baseline"/>
        </w:rPr>
        <w:t>page 28 of CLB and page 32 of COB1</w:t>
      </w:r>
      <w:r>
        <w:rPr>
          <w:rFonts w:ascii="arial" w:eastAsia="arial" w:hAnsi="arial" w:cs="arial"/>
          <w:b w:val="0"/>
          <w:i w:val="0"/>
          <w:strike w:val="0"/>
          <w:noProof w:val="0"/>
          <w:color w:val="000000"/>
          <w:position w:val="0"/>
          <w:sz w:val="24"/>
          <w:u w:val="none"/>
          <w:vertAlign w:val="baseline"/>
        </w:rPr>
        <w:t xml:space="preserve">), and the project team contact details can be seen on </w:t>
      </w:r>
      <w:r>
        <w:rPr>
          <w:rFonts w:ascii="arial" w:eastAsia="arial" w:hAnsi="arial" w:cs="arial"/>
          <w:b/>
          <w:i/>
          <w:strike w:val="0"/>
          <w:noProof w:val="0"/>
          <w:color w:val="000000"/>
          <w:position w:val="0"/>
          <w:sz w:val="24"/>
          <w:u w:val="none"/>
          <w:vertAlign w:val="baseline"/>
        </w:rPr>
        <w:t>page 29 of CLB.</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The Claimant was retrenched because the Company would not require two project managers. The Company had given reasons that the Claimant ‘s position was redundant as the Company did not have projects at the material time.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In the Company’s additional bundle of documents (</w:t>
      </w:r>
      <w:r>
        <w:rPr>
          <w:rFonts w:ascii="arial" w:eastAsia="arial" w:hAnsi="arial" w:cs="arial"/>
          <w:b/>
          <w:i/>
          <w:strike w:val="0"/>
          <w:noProof w:val="0"/>
          <w:color w:val="000000"/>
          <w:position w:val="0"/>
          <w:sz w:val="24"/>
          <w:u w:val="none"/>
          <w:vertAlign w:val="baseline"/>
        </w:rPr>
        <w:t>marked as COB-2) at pages of 40 and 41</w:t>
      </w:r>
      <w:r>
        <w:rPr>
          <w:rFonts w:ascii="arial" w:eastAsia="arial" w:hAnsi="arial" w:cs="arial"/>
          <w:b w:val="0"/>
          <w:i w:val="0"/>
          <w:strike w:val="0"/>
          <w:noProof w:val="0"/>
          <w:color w:val="000000"/>
          <w:position w:val="0"/>
          <w:sz w:val="24"/>
          <w:u w:val="none"/>
          <w:vertAlign w:val="baseline"/>
        </w:rPr>
        <w:t xml:space="preserve"> which are indexed as “List of Projects that Michael Barber had carried out in the capacity of Project Manager”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There are two entries in that document (pages 40-41 of COB-2) that elevate the interest of this Court and are projects undertaken by the Company in the year 2020. Both projects possess an electrical background of work that was completed by the Company. Considering this factor, in all rationality, the Claimant would be a better candidate to be the project manager of those projects. In the testimonial from COW1 and derived from the Company Statement in Reply and documents, Michael Barber has a procurement background. It is the Claimant that possesses the electrical background. This can be seen from the </w:t>
      </w:r>
      <w:r>
        <w:rPr>
          <w:rFonts w:ascii="arial" w:eastAsia="arial" w:hAnsi="arial" w:cs="arial"/>
          <w:b/>
          <w:i/>
          <w:strike w:val="0"/>
          <w:noProof w:val="0"/>
          <w:color w:val="000000"/>
          <w:position w:val="0"/>
          <w:sz w:val="24"/>
          <w:u w:val="none"/>
          <w:vertAlign w:val="baseline"/>
        </w:rPr>
        <w:t>page 9 to 10 of COB 1 and page 56 to 61 of CLB.</w:t>
      </w:r>
      <w:r>
        <w:rPr>
          <w:rFonts w:ascii="arial" w:eastAsia="arial" w:hAnsi="arial" w:cs="arial"/>
          <w:b w:val="0"/>
          <w:i w:val="0"/>
          <w:strike w:val="0"/>
          <w:noProof w:val="0"/>
          <w:color w:val="000000"/>
          <w:position w:val="0"/>
          <w:sz w:val="24"/>
          <w:u w:val="none"/>
          <w:vertAlign w:val="baseline"/>
        </w:rPr>
        <w:t xml:space="preserve"> Therefore, this Court deems the Claimant to be more suited for the new project manager’s role.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Ref No. P0343 &amp; P0341</w:t>
      </w:r>
      <w:r>
        <w:rPr>
          <w:rFonts w:ascii="arial" w:eastAsia="arial" w:hAnsi="arial" w:cs="arial"/>
          <w:b w:val="0"/>
          <w:i w:val="0"/>
          <w:strike w:val="0"/>
          <w:noProof w:val="0"/>
          <w:color w:val="000000"/>
          <w:position w:val="0"/>
          <w:sz w:val="24"/>
          <w:u w:val="none"/>
          <w:vertAlign w:val="baseline"/>
        </w:rPr>
        <w:t xml:space="preserve"> </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1045"/>
        <w:gridCol w:w="1045"/>
        <w:gridCol w:w="1045"/>
        <w:gridCol w:w="1045"/>
        <w:gridCol w:w="1046"/>
        <w:gridCol w:w="1046"/>
        <w:gridCol w:w="1046"/>
        <w:gridCol w:w="1046"/>
        <w:gridCol w:w="1046"/>
        <w:gridCol w:w="1046"/>
      </w:tblGrid>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Project name</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Project Detail</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Tarpon Scope</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Tarpon PM</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Tarpon Client</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EPC/Main Contractor</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Owner/ End User</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Sector</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Work location</w:t>
            </w:r>
          </w:p>
        </w:tc>
        <w:tc>
          <w:tcPr>
            <w:tcW w:w="1024"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strike w:val="0"/>
                <w:noProof w:val="0"/>
                <w:color w:val="000000"/>
                <w:position w:val="0"/>
                <w:sz w:val="18"/>
                <w:u w:val="none"/>
                <w:vertAlign w:val="baseline"/>
              </w:rPr>
              <w:t>Year</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OMSK refinery-delayed Cooking unit Project (P-0343)</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Installation 1 unit of Vertical Electrical Air Conditioning Unit</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E&amp;I installation Works</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Michael Barber</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Stolway Pty Ltd</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Tecnimont SpA</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Gazprom</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Onshore</w:t>
            </w:r>
          </w:p>
        </w:tc>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Malaysia</w:t>
            </w:r>
          </w:p>
        </w:tc>
        <w:tc>
          <w:tcPr>
            <w:tcW w:w="1024"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w:t>
            </w:r>
          </w:p>
        </w:tc>
      </w:tr>
      <w:tr>
        <w:tblPrEx>
          <w:tblW w:w="5000" w:type="pct"/>
          <w:tblLayout w:type="fixed"/>
        </w:tblPrEx>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MOCD2 Expansion Project (P-0341)</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Units of vertical Air Conditioning</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Electrical Assembly &amp; Testing</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Michael Barber</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Stolway Pty Ltd</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Toyo</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 Ta Phit Olefins Co Ltd</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Petrochemical</w:t>
            </w:r>
          </w:p>
        </w:tc>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Malaysia</w:t>
            </w:r>
          </w:p>
        </w:tc>
        <w:tc>
          <w:tcPr>
            <w:tcW w:w="1024"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w:t>
            </w:r>
          </w:p>
        </w:tc>
      </w:tr>
    </w:tbl>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The list of projects conducted by Michael Barber stops in the year 2021, i.e., one year after the Claimant was retrenched. Only this one entry of work was done by Michael Barber as a Project Manager after the Claimant was retrenched.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e-mails are shown as evidence of the work done by Michael Barber in the years 2017 and 2018, prior to the retrenchment exercise. This would be entries 4, 5, 9 and 10 as indexed in the Company’s Additional Bundle of Document (COB-2).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There is no evidence in the documentation before this Court to show that Michael Barber continued to do work as a project manager after the Claimant was retrenched except for that one project, as mentioned supra. In fact, the testimonial of Michael Barber would have thrown more light on the work that the Company was doing after the retrenchment exercise. By not securing the testimonial of Michael Barber which this Court deems as a material witness, adverse inference of SECTION 114 (G) OF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is invoked against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Company did not present any documents to substantiate that Michael Barber did procurement work for the Company after the Claimant was retrenched.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Hence, this Court concludes that the Claimant’s employment was not redundant for him to be retrenched by the Company. Therefore, this Court also deems the Claimant to be more suited for the new project manager’s role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 Whether the Company had complied with the accepted standards and procedure when selecting and retrenching the Claimant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In COW1, witness statement of Mathew Lucien Seale, the Q&amp;A of 27, the Claimant was selected for the following reasons: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Answer 27:- </w:t>
      </w:r>
      <w:r>
        <w:rPr>
          <w:rFonts w:ascii="arial" w:eastAsia="arial" w:hAnsi="arial" w:cs="arial"/>
          <w:b w:val="0"/>
          <w:i/>
          <w:strike w:val="0"/>
          <w:noProof w:val="0"/>
          <w:color w:val="000000"/>
          <w:position w:val="0"/>
          <w:sz w:val="18"/>
          <w:u w:val="none"/>
          <w:vertAlign w:val="baseline"/>
        </w:rPr>
        <w:t>During the immediate aftermath of the onset of the Pandemic I have already described the detailed forecasting and scenario analysis the owners of the Company undertook. The most likely scenario we were facing was delays to the projects that we had in hand and no projects to be awarded or mobilized in the short and medium term. This led directly to us undertaking a restructuring exercise.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first area we looked at was our Project Management team. This is the team who take over projects awarded and depending on the size and com complexity of the project members are allocated to the project with one of the senior individuals within this team taking responsibility. The Senior positions within the Project Management team are designated as Project Manager, Construction Manager or Project Engineer with Project Manager being the most senior.</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Therefore, 2 positions from this senior team were to be retrenched due to redundancy, one Project Manager and one Construction Manager. The 2 candidates within the Project Manager category were the Claimant and Mr Mike Barber. This is therefore how the Claimant was identified as candidate.”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The selection process for the retrenchment of the Claimant seems to be vague and not regulated; the Claimant, as can be seen supra, has an electrical background and would be able to work on the subsequent electrical-based projects of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Based on the facts and evidence provided by the Claimant and after taking into account SECTION 30 (5)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accordingly following equity, a good conscience, and merit of the case without technicalities and legalities, the Court found that if there is no any evidence presented by the Company to justify the implementation of retrenchment, the Company has failed to prove on the balance of probabilities that the retrenchment was for a fair reason accordingly, the Claimant’s claim is hereby allowed.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X)REMEDY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Having ruled that the Claimant was dismissed without just cause or excuse, this Court will now consider the remedy for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It is noted that the Claimant’s contract of employment was a genuine fixed term contract of employment for 2 years the Claimant’s fixed term contract of employment commenced on 27 February 2019 and was to end on the 26 February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However, the Claimant did not manage to complete his fixed-term contract and was retrenched on 07 April 2020. If the Claimant was not retrenched, he would gone on to complete the remaining 10 months of his contract of the total fixed term contract.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xml:space="preserve">  On the award of a fixed-term contract, guidance is taken from the case of </w:t>
      </w:r>
      <w:r>
        <w:rPr>
          <w:rFonts w:ascii="arial" w:eastAsia="arial" w:hAnsi="arial" w:cs="arial"/>
          <w:b w:val="0"/>
          <w:i/>
          <w:strike w:val="0"/>
          <w:noProof w:val="0"/>
          <w:color w:val="000000"/>
          <w:position w:val="0"/>
          <w:sz w:val="24"/>
          <w:u w:val="none"/>
          <w:vertAlign w:val="baseline"/>
        </w:rPr>
        <w:t xml:space="preserve">Thangasamy Brown a/l DN Gnanayutham v Pelabuhan Tanjung Pelepas Sdn Bhd &amp; Anor  </w:t>
      </w:r>
      <w:r>
        <w:rPr>
          <w:rFonts w:ascii="arial" w:eastAsia="arial" w:hAnsi="arial" w:cs="arial"/>
          <w:b w:val="0"/>
          <w:i w:val="0"/>
          <w:strike w:val="0"/>
          <w:noProof w:val="0"/>
          <w:color w:val="000000"/>
          <w:position w:val="0"/>
          <w:sz w:val="24"/>
          <w:u w:val="none"/>
          <w:vertAlign w:val="baseline"/>
        </w:rPr>
        <w:t>[2011] 6 MLJ 555;  [2009] 6 CLJ 144, where KN Segara JCA held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[12] </w:t>
      </w:r>
      <w:r>
        <w:rPr>
          <w:rFonts w:ascii="arial" w:eastAsia="arial" w:hAnsi="arial" w:cs="arial"/>
          <w:b w:val="0"/>
          <w:i/>
          <w:strike w:val="0"/>
          <w:noProof w:val="0"/>
          <w:color w:val="000000"/>
          <w:position w:val="0"/>
          <w:sz w:val="18"/>
          <w:u w:val="none"/>
          <w:vertAlign w:val="baseline"/>
        </w:rPr>
        <w:t>…The Industrial Court’s decision on the issue of fix term contract was consistent with established principles of law. Having found that the appellant was engaged for a fixed term period of six months and the contract terminating by effluxion of time, there was no question of reinstatement but only compensation to be considered by the Industrial Court for the premature termination arising from the constructive dismissal. In the circumstances, the Industrial Court correctly awarded compensation consisting of the remuneration the appellant would have earned for the balance sum of the contract together with an exemplary award, equivalent to three months’ remuneration for the victimization that had led to his resignation.</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This court will accordingly compute the award for the Claimant to be confined to the remainder unexpired period of the fixed term contract of the Claimant, which is 10 months, calculated from 07 April 2020 to 26 February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The Claimant’s last paid salary was RM 45.482.00 per month (</w:t>
      </w:r>
      <w:r>
        <w:rPr>
          <w:rFonts w:ascii="arial" w:eastAsia="arial" w:hAnsi="arial" w:cs="arial"/>
          <w:b/>
          <w:i/>
          <w:strike w:val="0"/>
          <w:noProof w:val="0"/>
          <w:color w:val="000000"/>
          <w:position w:val="0"/>
          <w:sz w:val="24"/>
          <w:u w:val="none"/>
          <w:vertAlign w:val="baseline"/>
        </w:rPr>
        <w:t>See CLB1 page 101)</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xml:space="preserve">  Since the Claimant’s termination was done without just cause or excuse and in male fide, punitive damage will be awarded to the Claimant. In the case of  </w:t>
      </w:r>
      <w:r>
        <w:rPr>
          <w:rFonts w:ascii="arial" w:eastAsia="arial" w:hAnsi="arial" w:cs="arial"/>
          <w:b w:val="0"/>
          <w:i/>
          <w:strike w:val="0"/>
          <w:noProof w:val="0"/>
          <w:color w:val="000000"/>
          <w:position w:val="0"/>
          <w:sz w:val="24"/>
          <w:u w:val="none"/>
          <w:vertAlign w:val="baseline"/>
        </w:rPr>
        <w:t xml:space="preserve">KFC Technical Services Sdn Bhd v Industrial Court of Malaysia &amp; Anor   </w:t>
      </w:r>
      <w:r>
        <w:rPr>
          <w:rFonts w:ascii="arial" w:eastAsia="arial" w:hAnsi="arial" w:cs="arial"/>
          <w:b w:val="0"/>
          <w:i w:val="0"/>
          <w:strike w:val="0"/>
          <w:noProof w:val="0"/>
          <w:color w:val="000000"/>
          <w:position w:val="0"/>
          <w:sz w:val="24"/>
          <w:u w:val="none"/>
          <w:vertAlign w:val="baseline"/>
        </w:rPr>
        <w:t>[1992] 1 MLJ 564; [1992] 2 CLJ 634, HC stated the rules of punitive damages as follows: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however, the Court finds that dismissal was without just cause or excuse, the Court is entitled to determine the compensation that is, in the Court’s opinion, just.[49] The learned counsel also cited another case which is on point,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Zakaria Ahmad v Airasia Bhd  </w:t>
      </w:r>
      <w:r>
        <w:rPr>
          <w:rFonts w:ascii="arial" w:eastAsia="arial" w:hAnsi="arial" w:cs="arial"/>
          <w:b w:val="0"/>
          <w:i w:val="0"/>
          <w:strike w:val="0"/>
          <w:noProof w:val="0"/>
          <w:color w:val="000000"/>
          <w:position w:val="0"/>
          <w:sz w:val="18"/>
          <w:u w:val="none"/>
          <w:vertAlign w:val="baseline"/>
        </w:rPr>
        <w:t>[2014] 2 MELR 538; ; [2014] 3 ILR 201</w:t>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this case the Court awarded punitive compensation to the employee after finding that the Company had acted in bad faith. The Court held as follows:-</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 xml:space="preserve">“The issues are (a) whether the court has the power to grant exemplary or punitive compensation in appropriate cases and (b) if the answer to issue (a) is in the affirmative than what is the quantum that should be awarded in the instant case. As far as issue (a) is concerned, the court’s power to grant exemplary or punitive compensation is not prohibited by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1967.</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fact the granting of exemplary or punitive compensation is a matter of discretion of the court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Warren J Carey v Coca-Cola Far East Limited (Malaysian Branch) &amp; Anor  </w:t>
      </w:r>
      <w:r>
        <w:rPr>
          <w:rFonts w:ascii="arial" w:eastAsia="arial" w:hAnsi="arial" w:cs="arial"/>
          <w:b w:val="0"/>
          <w:i w:val="0"/>
          <w:strike w:val="0"/>
          <w:noProof w:val="0"/>
          <w:color w:val="000000"/>
          <w:position w:val="0"/>
          <w:sz w:val="18"/>
          <w:u w:val="none"/>
          <w:vertAlign w:val="baseline"/>
        </w:rPr>
        <w:t>[2010] 11 MLRH 817</w:t>
      </w:r>
      <w:r>
        <w:rPr>
          <w:rFonts w:ascii="arial" w:eastAsia="arial" w:hAnsi="arial" w:cs="arial"/>
          <w:b w:val="0"/>
          <w:i/>
          <w:strike w:val="0"/>
          <w:noProof w:val="0"/>
          <w:color w:val="000000"/>
          <w:position w:val="0"/>
          <w:sz w:val="18"/>
          <w:u w:val="none"/>
          <w:vertAlign w:val="baseline"/>
        </w:rPr>
        <w:t xml:space="preserve"> (High Court Judicial Review) No R3(2)-25-339-2006.</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KFC Technical Services Sdn Bhd v Kesatuan Kebangsaan Pekerja-Pekerja Perdagangan  </w:t>
      </w:r>
      <w:r>
        <w:rPr>
          <w:rFonts w:ascii="arial" w:eastAsia="arial" w:hAnsi="arial" w:cs="arial"/>
          <w:b w:val="0"/>
          <w:i w:val="0"/>
          <w:strike w:val="0"/>
          <w:noProof w:val="0"/>
          <w:color w:val="000000"/>
          <w:position w:val="0"/>
          <w:sz w:val="18"/>
          <w:u w:val="none"/>
          <w:vertAlign w:val="baseline"/>
        </w:rPr>
        <w:t>[1989] 1 MELR 373; ; [1989] 1 ILR 535</w:t>
      </w:r>
      <w:r>
        <w:rPr>
          <w:rFonts w:ascii="arial" w:eastAsia="arial" w:hAnsi="arial" w:cs="arial"/>
          <w:b w:val="0"/>
          <w:i/>
          <w:strike w:val="0"/>
          <w:noProof w:val="0"/>
          <w:color w:val="000000"/>
          <w:position w:val="0"/>
          <w:sz w:val="18"/>
          <w:u w:val="none"/>
          <w:vertAlign w:val="baseline"/>
        </w:rPr>
        <w:t xml:space="preserve"> (Award No 83 of 1989)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Soon Bao Corporation Sdn Bhd &amp; Ors v Kesatuan Pekerja-Pekerja Perusahaan Logam  </w:t>
      </w:r>
      <w:r>
        <w:rPr>
          <w:rFonts w:ascii="arial" w:eastAsia="arial" w:hAnsi="arial" w:cs="arial"/>
          <w:b w:val="0"/>
          <w:i w:val="0"/>
          <w:strike w:val="0"/>
          <w:noProof w:val="0"/>
          <w:color w:val="000000"/>
          <w:position w:val="0"/>
          <w:sz w:val="18"/>
          <w:u w:val="none"/>
          <w:vertAlign w:val="baseline"/>
        </w:rPr>
        <w:t>[2000] 1 MELR 277; ; [2000] 1 ILR 413</w:t>
      </w:r>
      <w:r>
        <w:rPr>
          <w:rFonts w:ascii="arial" w:eastAsia="arial" w:hAnsi="arial" w:cs="arial"/>
          <w:b w:val="0"/>
          <w:i/>
          <w:strike w:val="0"/>
          <w:noProof w:val="0"/>
          <w:color w:val="000000"/>
          <w:position w:val="0"/>
          <w:sz w:val="18"/>
          <w:u w:val="none"/>
          <w:vertAlign w:val="baseline"/>
        </w:rPr>
        <w:t xml:space="preserve"> (Award No 153 of 2000) punitive compensation was awarded in the sum of 2 months’ salary for each year of service.(and, later, at para 90 of the report)After analyzing all the factors, firstly I am fully in agreement with the submission of the Claimant’s counsel that awarding of exemplary or Punitive compensation in a particular case is a question of discretion to be exercised by the court depending on the facts of each particular case.</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Secondly, based on the facts mentioned above pertaining to the irresponsible manner by which the claimant’s case had been dealt by the company, I am fully in agreement with the submission of counsel for the claimant that this is indeed a fitting and proper case for punitive compensation to be awarded. I am of the view that awarding 2 months’ salary as punitive compensation (damages) for each year of completed service of his employment in lieu of reinstatement is fair and reasonable in addition to back wages”.</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Therefore, this Court, using its discretion, will award a sum of 2 month’s salary for each of the remaining 10 months of the unexpired duration of his contract as a punitive compensation since this Court is of the view that the Company has acted in bad faith while terminating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Since the Claimant had also testified that he had found employment elsewhere after his retrenchment with the Company, a post-dismissal deduction from the back wages awarded to the Claimant will also be made. A deduction of post-dismissal is made at the discretion of this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The retrenchment benefits were pleaded in the Statement in Reply (paragraph xx), that the Company had paid the Claimant. The retrenchment benefits were not denied by the Claimant in his Statement of Case nor his Rejoinder. It is trite law that, parties are bound by the pleadings. It is, therefore, deemed that the Claimant had received the retrenchment benefits.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XI) 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xml:space="preserve">  The court awards and directs the Company to pay the Claimant a total sum of </w:t>
      </w:r>
      <w:r>
        <w:rPr>
          <w:rFonts w:ascii="arial" w:eastAsia="arial" w:hAnsi="arial" w:cs="arial"/>
          <w:b/>
          <w:i w:val="0"/>
          <w:strike w:val="0"/>
          <w:noProof w:val="0"/>
          <w:color w:val="000000"/>
          <w:position w:val="0"/>
          <w:sz w:val="24"/>
          <w:u w:val="none"/>
          <w:vertAlign w:val="baseline"/>
        </w:rPr>
        <w:t>RM 785,078.00</w:t>
      </w:r>
      <w:r>
        <w:rPr>
          <w:rFonts w:ascii="arial" w:eastAsia="arial" w:hAnsi="arial" w:cs="arial"/>
          <w:b w:val="0"/>
          <w:i w:val="0"/>
          <w:strike w:val="0"/>
          <w:noProof w:val="0"/>
          <w:color w:val="000000"/>
          <w:position w:val="0"/>
          <w:sz w:val="24"/>
          <w:u w:val="none"/>
          <w:vertAlign w:val="baseline"/>
        </w:rPr>
        <w:t xml:space="preserve"> which is derived from the following calculations: - </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1045"/>
        <w:gridCol w:w="6274"/>
        <w:gridCol w:w="3137"/>
      </w:tblGrid>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(i) Others:-</w:t>
            </w:r>
          </w:p>
        </w:tc>
        <w:tc>
          <w:tcPr>
            <w:tcW w:w="6144" w:type="dxa"/>
            <w:tcBorders>
              <w:bottom w:val="nil"/>
              <w:right w:val="nil"/>
            </w:tcBorders>
          </w:tcPr>
          <w:p/>
        </w:tc>
        <w:tc>
          <w:tcPr>
            <w:tcW w:w="3072" w:type="dxa"/>
            <w:tcBorders>
              <w:bottom w:val="nil"/>
            </w:tcBorders>
          </w:tcP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 the unexpired fixed-term</w:t>
            </w:r>
          </w:p>
        </w:tc>
        <w:tc>
          <w:tcPr>
            <w:tcW w:w="3072" w:type="dxa"/>
            <w:tcBorders>
              <w:bottom w:val="single" w:sz="2" w:space="0" w:color="BCBEC0"/>
            </w:tcBorders>
            <w:tcMar>
              <w:top w:w="100" w:type="dxa"/>
              <w:bottom w:w="100" w:type="dxa"/>
            </w:tcMar>
            <w:vAlign w:val="top"/>
          </w:tcP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Date of Termination </w:t>
            </w:r>
          </w:p>
        </w:tc>
        <w:tc>
          <w:tcPr>
            <w:tcW w:w="3072"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07 April 2020</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of Ending of Contract</w:t>
            </w:r>
          </w:p>
        </w:tc>
        <w:tc>
          <w:tcPr>
            <w:tcW w:w="3072"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26 February 2021</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nil"/>
              <w:right w:val="nil"/>
            </w:tcBorders>
          </w:tcPr>
          <w:p/>
        </w:tc>
        <w:tc>
          <w:tcPr>
            <w:tcW w:w="3072" w:type="dxa"/>
            <w:tcBorders>
              <w:bottom w:val="nil"/>
            </w:tcBorders>
          </w:tcP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 April 2020 to 26 February 2021 (RM 45,482.00 x 10 months x</w:t>
            </w:r>
          </w:p>
        </w:tc>
        <w:tc>
          <w:tcPr>
            <w:tcW w:w="3072"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10 months</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months salary for each 1 month)</w:t>
            </w:r>
          </w:p>
        </w:tc>
        <w:tc>
          <w:tcPr>
            <w:tcW w:w="3072"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 909,640.00</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Retrenchment benefits (-)</w:t>
            </w:r>
          </w:p>
        </w:tc>
        <w:tc>
          <w:tcPr>
            <w:tcW w:w="3072"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 79, 080.36</w:t>
            </w: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tc>
        <w:tc>
          <w:tcPr>
            <w:tcW w:w="6144" w:type="dxa"/>
            <w:tcBorders>
              <w:bottom w:val="nil"/>
              <w:right w:val="nil"/>
            </w:tcBorders>
          </w:tcPr>
          <w:p/>
        </w:tc>
        <w:tc>
          <w:tcPr>
            <w:tcW w:w="3072" w:type="dxa"/>
            <w:tcBorders>
              <w:bottom w:val="nil"/>
            </w:tcBorders>
          </w:tcP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(ii) Post-dismissal deduction (-) 5%</w:t>
            </w:r>
          </w:p>
        </w:tc>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 45,482.00</w:t>
            </w:r>
          </w:p>
        </w:tc>
        <w:tc>
          <w:tcPr>
            <w:tcW w:w="3072" w:type="dxa"/>
            <w:tcBorders>
              <w:bottom w:val="nil"/>
            </w:tcBorders>
          </w:tcPr>
          <w:p/>
        </w:tc>
      </w:tr>
      <w:tr>
        <w:tblPrEx>
          <w:tblW w:w="5000" w:type="pct"/>
          <w:tblLayout w:type="fixed"/>
        </w:tblPrEx>
        <w:tc>
          <w:tcPr>
            <w:tcW w:w="1024" w:type="dxa"/>
            <w:tcBorders>
              <w:bottom w:val="single" w:sz="2" w:space="0" w:color="BCBEC0"/>
              <w:right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RM 785,078.00</w:t>
            </w:r>
          </w:p>
        </w:tc>
        <w:tc>
          <w:tcPr>
            <w:tcW w:w="6144" w:type="dxa"/>
            <w:tcBorders>
              <w:bottom w:val="nil"/>
              <w:right w:val="nil"/>
            </w:tcBorders>
          </w:tcPr>
          <w:p/>
        </w:tc>
        <w:tc>
          <w:tcPr>
            <w:tcW w:w="3072" w:type="dxa"/>
            <w:tcBorders>
              <w:bottom w:val="nil"/>
            </w:tcBorders>
          </w:tcPr>
          <w:p/>
        </w:tc>
      </w:tr>
      <w:tr>
        <w:tblPrEx>
          <w:tblW w:w="5000" w:type="pct"/>
          <w:tblLayout w:type="fixed"/>
        </w:tblPrEx>
        <w:tc>
          <w:tcPr>
            <w:tcW w:w="102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 amount ordered by this Court</w:t>
            </w:r>
          </w:p>
        </w:tc>
        <w:tc>
          <w:tcPr>
            <w:tcW w:w="614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 785,078.00</w:t>
            </w:r>
          </w:p>
        </w:tc>
        <w:tc>
          <w:tcPr>
            <w:tcW w:w="3072" w:type="dxa"/>
          </w:tcPr>
          <w:p/>
        </w:tc>
      </w:tr>
    </w:tbl>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xml:space="preserve">  It is this Court’s order that the Company pays to the Claimant’s solicitors, </w:t>
      </w:r>
      <w:r>
        <w:rPr>
          <w:rFonts w:ascii="arial" w:eastAsia="arial" w:hAnsi="arial" w:cs="arial"/>
          <w:b/>
          <w:i w:val="0"/>
          <w:strike w:val="0"/>
          <w:noProof w:val="0"/>
          <w:color w:val="000000"/>
          <w:position w:val="0"/>
          <w:sz w:val="24"/>
          <w:u w:val="none"/>
          <w:vertAlign w:val="baseline"/>
        </w:rPr>
        <w:t>Messrs Goik, Ramesh &amp; Loo</w:t>
      </w:r>
      <w:r>
        <w:rPr>
          <w:rFonts w:ascii="arial" w:eastAsia="arial" w:hAnsi="arial" w:cs="arial"/>
          <w:b w:val="0"/>
          <w:i w:val="0"/>
          <w:strike w:val="0"/>
          <w:noProof w:val="0"/>
          <w:color w:val="000000"/>
          <w:position w:val="0"/>
          <w:sz w:val="24"/>
          <w:u w:val="none"/>
          <w:vertAlign w:val="baseline"/>
        </w:rPr>
        <w:t xml:space="preserve"> a sum of Ringgit Malaysia Seven Hundred Eighty Five Thousand and Seventy Eight (RM 785,078.00) only less statutory deduction (if any) within 30 days from the date of this award.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Claim allowed.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K Selvaraju</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Gary Joseph Needham Millward v Tarpon Energy Services Asia Pacific Sdn Bhd [2024] 3 ILJ 176</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Gary Joseph Needham Millward v Tarpon Energy Services Asia Pacific Sdn Bhd [2024] 3 ILJ 176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M0-TC43-MYCP-T0W7-00000-00">
    <vt:lpwstr>Doc::/shared/document|contextualFeaturePermID::1522468</vt:lpwstr>
  </property>
  <property fmtid="{D5CDD505-2E9C-101B-9397-08002B2CF9AE}" pid="4" name="LNDeliveryID">
    <vt:lpwstr>283274971</vt:lpwstr>
  </property>
  <property fmtid="{D5CDD505-2E9C-101B-9397-08002B2CF9AE}" pid="5" name="UserPermID">
    <vt:lpwstr>urn:user:PA196491919</vt:lpwstr>
  </property>
</Properties>
</file>