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Gowryprabagari a/p Elankoovan v Stars International Academy Sdn Bhd  [2024] ILJU 181</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NUR FAUZAH MOKHTAR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614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 May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K Gunaseelan (Malaysian Trades Union Congress)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Muhammad Amin Othman (Hafarizam Wan &amp; Aisha Mubarak)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3"/>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Nur Fauzah Mokhtar C"/>
            <w:bookmarkEnd w:id="1"/>
            <w:r>
              <w:rPr>
                <w:rFonts w:ascii="arial" w:eastAsia="arial" w:hAnsi="arial" w:cs="arial"/>
                <w:b/>
                <w:i w:val="0"/>
                <w:strike w:val="0"/>
                <w:noProof w:val="0"/>
                <w:color w:val="000000"/>
                <w:position w:val="0"/>
                <w:sz w:val="30"/>
                <w:u w:val="none"/>
                <w:vertAlign w:val="baseline"/>
              </w:rPr>
              <w:t>Nur Fauzah Mokhtar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This is a reference from the Director General for Industrial Relations to the Industrial Court of Malaysia under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 respect of the dismissal of </w:t>
      </w:r>
      <w:r>
        <w:rPr>
          <w:rFonts w:ascii="arial" w:eastAsia="arial" w:hAnsi="arial" w:cs="arial"/>
          <w:b/>
          <w:i w:val="0"/>
          <w:strike w:val="0"/>
          <w:noProof w:val="0"/>
          <w:color w:val="000000"/>
          <w:position w:val="0"/>
          <w:sz w:val="24"/>
          <w:u w:val="none"/>
          <w:vertAlign w:val="baseline"/>
        </w:rPr>
        <w:t>GOWRYPRABAGARI A/P ELANKOOVAN</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STARS INTERNATIONAL ACADEMY SDN BHD</w:t>
      </w:r>
      <w:r>
        <w:rPr>
          <w:rFonts w:ascii="arial" w:eastAsia="arial" w:hAnsi="arial" w:cs="arial"/>
          <w:b w:val="0"/>
          <w:i w:val="0"/>
          <w:strike w:val="0"/>
          <w:noProof w:val="0"/>
          <w:color w:val="000000"/>
          <w:position w:val="0"/>
          <w:sz w:val="24"/>
          <w:u w:val="none"/>
          <w:vertAlign w:val="baseline"/>
        </w:rPr>
        <w:t xml:space="preserve"> (“the Company”) on </w:t>
      </w:r>
      <w:r>
        <w:rPr>
          <w:rFonts w:ascii="arial" w:eastAsia="arial" w:hAnsi="arial" w:cs="arial"/>
          <w:b/>
          <w:i w:val="0"/>
          <w:strike w:val="0"/>
          <w:noProof w:val="0"/>
          <w:color w:val="000000"/>
          <w:position w:val="0"/>
          <w:sz w:val="24"/>
          <w:u w:val="none"/>
          <w:vertAlign w:val="baseline"/>
        </w:rPr>
        <w:t>21</w:t>
      </w:r>
      <w:r>
        <w:rPr>
          <w:rFonts w:ascii="arial" w:eastAsia="arial" w:hAnsi="arial" w:cs="arial"/>
          <w:b/>
          <w:i w:val="0"/>
          <w:strike w:val="0"/>
          <w:noProof w:val="0"/>
          <w:color w:val="000000"/>
          <w:position w:val="0"/>
          <w:sz w:val="24"/>
          <w:u w:val="none"/>
          <w:vertAlign w:val="superscript"/>
        </w:rPr>
        <w:t>st</w:t>
      </w:r>
      <w:r>
        <w:rPr>
          <w:rFonts w:ascii="arial" w:eastAsia="arial" w:hAnsi="arial" w:cs="arial"/>
          <w:b/>
          <w:i w:val="0"/>
          <w:strike w:val="0"/>
          <w:noProof w:val="0"/>
          <w:color w:val="000000"/>
          <w:position w:val="0"/>
          <w:sz w:val="24"/>
          <w:u w:val="none"/>
          <w:vertAlign w:val="baseline"/>
        </w:rPr>
        <w:t xml:space="preserve"> February 2022</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hearing of this case was initially fixed for two days i.e. on 2</w:t>
      </w:r>
      <w:r>
        <w:rPr>
          <w:rFonts w:ascii="arial" w:eastAsia="arial" w:hAnsi="arial" w:cs="arial"/>
          <w:b w:val="0"/>
          <w:i w:val="0"/>
          <w:strike w:val="0"/>
          <w:noProof w:val="0"/>
          <w:color w:val="000000"/>
          <w:position w:val="0"/>
          <w:sz w:val="24"/>
          <w:u w:val="none"/>
          <w:vertAlign w:val="superscript"/>
        </w:rPr>
        <w:t>nd</w:t>
      </w:r>
      <w:r>
        <w:rPr>
          <w:rFonts w:ascii="arial" w:eastAsia="arial" w:hAnsi="arial" w:cs="arial"/>
          <w:b w:val="0"/>
          <w:i w:val="0"/>
          <w:strike w:val="0"/>
          <w:noProof w:val="0"/>
          <w:color w:val="000000"/>
          <w:position w:val="0"/>
          <w:sz w:val="24"/>
          <w:u w:val="none"/>
          <w:vertAlign w:val="baseline"/>
        </w:rPr>
        <w:t xml:space="preserve"> October 2023 and 3</w:t>
      </w:r>
      <w:r>
        <w:rPr>
          <w:rFonts w:ascii="arial" w:eastAsia="arial" w:hAnsi="arial" w:cs="arial"/>
          <w:b w:val="0"/>
          <w:i w:val="0"/>
          <w:strike w:val="0"/>
          <w:noProof w:val="0"/>
          <w:color w:val="000000"/>
          <w:position w:val="0"/>
          <w:sz w:val="24"/>
          <w:u w:val="none"/>
          <w:vertAlign w:val="superscript"/>
        </w:rPr>
        <w:t>rd</w:t>
      </w:r>
      <w:r>
        <w:rPr>
          <w:rFonts w:ascii="arial" w:eastAsia="arial" w:hAnsi="arial" w:cs="arial"/>
          <w:b w:val="0"/>
          <w:i w:val="0"/>
          <w:strike w:val="0"/>
          <w:noProof w:val="0"/>
          <w:color w:val="000000"/>
          <w:position w:val="0"/>
          <w:sz w:val="24"/>
          <w:u w:val="none"/>
          <w:vertAlign w:val="baseline"/>
        </w:rPr>
        <w:t xml:space="preserve"> October 2023. The hearing commenced on 2</w:t>
      </w:r>
      <w:r>
        <w:rPr>
          <w:rFonts w:ascii="arial" w:eastAsia="arial" w:hAnsi="arial" w:cs="arial"/>
          <w:b w:val="0"/>
          <w:i w:val="0"/>
          <w:strike w:val="0"/>
          <w:noProof w:val="0"/>
          <w:color w:val="000000"/>
          <w:position w:val="0"/>
          <w:sz w:val="24"/>
          <w:u w:val="none"/>
          <w:vertAlign w:val="superscript"/>
        </w:rPr>
        <w:t>nd</w:t>
      </w:r>
      <w:r>
        <w:rPr>
          <w:rFonts w:ascii="arial" w:eastAsia="arial" w:hAnsi="arial" w:cs="arial"/>
          <w:b w:val="0"/>
          <w:i w:val="0"/>
          <w:strike w:val="0"/>
          <w:noProof w:val="0"/>
          <w:color w:val="000000"/>
          <w:position w:val="0"/>
          <w:sz w:val="24"/>
          <w:u w:val="none"/>
          <w:vertAlign w:val="baseline"/>
        </w:rPr>
        <w:t xml:space="preserve"> October 2023 and concluded on the same day. The Company called two (2) witnesses i.e. Fauzatul Asrar Binti Mohd Rofli (“COW-1”) and Sharmadevan Sundrasegaran (“COW-2”). Whilst the Claimant gave evidence on her own behalf.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In handing down this Award the following were considered by the Court:</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record of proceedings;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notes of proceedings;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18</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January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11</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September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19</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September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Witness Statement (“CLWS1”), the Witness Statement of COW-1 (“COWS1”) and the Witness Statement of COW-2 (“COWS2”);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Bundles of Documents marked as CLB1 and CLB2;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Bundles of Documents marked as COB1 and COB2;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dated 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December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dated 4</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January 2024; and</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in Reply dated 29</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January 2024.</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Background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Based on the pleadings and bundles of documents, this Court takes note of the following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is an international school that provides quality education through the standard of Cambridge primary education and International General Certificate of Secondary Education;</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commenced his employment with the Company on 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September 2021 as a Malay Language Teacher with a starting basic salary of RM3,500.00 per month. The said salary as well as other terms and conditions of the Claimant’s employment were stipulated in the Appointment Letter dated 31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August 2021 (“Appointment Letter”);</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based on the terms and conditions of employment as stipulated in the Appointment Letter, the Claimant,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was also required to undergo a probationary period of “</w:t>
      </w:r>
      <w:r>
        <w:rPr>
          <w:rFonts w:ascii="arial" w:eastAsia="arial" w:hAnsi="arial" w:cs="arial"/>
          <w:b w:val="0"/>
          <w:i/>
          <w:strike w:val="0"/>
          <w:noProof w:val="0"/>
          <w:color w:val="000000"/>
          <w:position w:val="0"/>
          <w:sz w:val="24"/>
          <w:u w:val="none"/>
          <w:vertAlign w:val="baseline"/>
        </w:rPr>
        <w:t>…THREE (3) to SIX (6) months from the commencement date after which your service will be confirmed unless otherwise notified subject to satisfactory performance.</w:t>
      </w:r>
      <w:r>
        <w:rPr>
          <w:rFonts w:ascii="arial" w:eastAsia="arial" w:hAnsi="arial" w:cs="arial"/>
          <w:b w:val="0"/>
          <w:i w:val="0"/>
          <w:strike w:val="0"/>
          <w:noProof w:val="0"/>
          <w:color w:val="000000"/>
          <w:position w:val="0"/>
          <w:sz w:val="24"/>
          <w:u w:val="none"/>
          <w:vertAlign w:val="baseline"/>
        </w:rPr>
        <w:t xml:space="preserve"> “; and</w:t>
      </w:r>
    </w:p>
    <w:p>
      <w:pPr>
        <w:keepNext w:val="0"/>
        <w:numPr>
          <w:numId w:val="2"/>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21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February 2022 (“Termination Letter”), the Company informed the Claimant that her appointment as a Malay Language Teacher is terminated with immediate effect i.e. effective on the same date of the Termination Letter.</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Company’s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 Company, in contending that the Claimant’s termination is with just cause and excuse, avers as follows:</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none of the teachers employed by the Company contracted COVID-19 at that material time and the Claimant is put on the burden to prove relating to the same;</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is manipulating the whole situation by stating that a teacher had contracted COVID-19 and the need to apply for a 14-day leave for self-quarantine;</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whole issue started when the Claimant had a meeting with the Human Resource Manager on 11</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relating to her poor performance based on the assessment conducted by COW-2 </w:t>
      </w:r>
      <w:r>
        <w:rPr>
          <w:rFonts w:ascii="arial" w:eastAsia="arial" w:hAnsi="arial" w:cs="arial"/>
          <w:b w:val="0"/>
          <w:i/>
          <w:strike w:val="0"/>
          <w:noProof w:val="0"/>
          <w:color w:val="000000"/>
          <w:position w:val="0"/>
          <w:sz w:val="24"/>
          <w:u w:val="none"/>
          <w:vertAlign w:val="baseline"/>
        </w:rPr>
        <w:t>via</w:t>
      </w:r>
      <w:r>
        <w:rPr>
          <w:rFonts w:ascii="arial" w:eastAsia="arial" w:hAnsi="arial" w:cs="arial"/>
          <w:b w:val="0"/>
          <w:i w:val="0"/>
          <w:strike w:val="0"/>
          <w:noProof w:val="0"/>
          <w:color w:val="000000"/>
          <w:position w:val="0"/>
          <w:sz w:val="24"/>
          <w:u w:val="none"/>
          <w:vertAlign w:val="baseline"/>
        </w:rPr>
        <w:t xml:space="preserve"> Performance Appraisal Form dated 11</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Human Resource Manager informed her based on the said assessment the Company will not proceed with her employment after the end of the six (6) months’ probation period as stipulated under Clause 2 of the Appointment Letter;</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prior to that, the Claimant’s performance had also been assessed by COW-2 </w:t>
      </w:r>
      <w:r>
        <w:rPr>
          <w:rFonts w:ascii="arial" w:eastAsia="arial" w:hAnsi="arial" w:cs="arial"/>
          <w:b w:val="0"/>
          <w:i/>
          <w:strike w:val="0"/>
          <w:noProof w:val="0"/>
          <w:color w:val="000000"/>
          <w:position w:val="0"/>
          <w:sz w:val="24"/>
          <w:u w:val="none"/>
          <w:vertAlign w:val="baseline"/>
        </w:rPr>
        <w:t>via</w:t>
      </w:r>
      <w:r>
        <w:rPr>
          <w:rFonts w:ascii="arial" w:eastAsia="arial" w:hAnsi="arial" w:cs="arial"/>
          <w:b w:val="0"/>
          <w:i w:val="0"/>
          <w:strike w:val="0"/>
          <w:noProof w:val="0"/>
          <w:color w:val="000000"/>
          <w:position w:val="0"/>
          <w:sz w:val="24"/>
          <w:u w:val="none"/>
          <w:vertAlign w:val="baseline"/>
        </w:rPr>
        <w:t xml:space="preserve"> Performance Appraisal Form dated 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December 2021 in which the Claimant’s probationary period was extended to another three (3) months to provide more time for the Claimant to improve her performance. The Company had also discussed with the Claimant the said assessment and provided advice for improvement relating to the same;</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performance was assessed as poor due to the following:</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disobeyed many instructions given by the Assistant Principal and Academic Team;</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failed to perform her duty in marking the exam papers and classwork of her students; and</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also had on many occasions being aggressive in her mannerism when dealing with her superiors;</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following the said meeting, the Claimant sent a message to the Human Resource Manager via WhatsApp on 11</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that she could not accept the findings of the Company and decided not to continue her employment with the Company effective immediately;</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subsequent to that, the Claimant made a tactical maneuver by sending an email dated 12</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to COW-2 and the Human Resource Manager that she wanted to apply for a 14-day leave due to an unfounded reason that one of the teachers employed by the Company had contracted COVID-19;</w:t>
      </w:r>
    </w:p>
    <w:p>
      <w:pPr>
        <w:keepNext w:val="0"/>
        <w:numPr>
          <w:numId w:val="3"/>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15</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the Company rejected the Claimant’s application for the following reasons:</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allegation that one of the teachers employed by the Company had contracted COVID-19 is baseless and unfounded since the Company has never been informed about the matter; and</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at that material time, there was no standard operating procedure (“SOP”) from the Ministry of Health as regards the need for a 14-day self-quarantine for individuals who are categorized as close contact with a person who had contracted COVID-19;</w:t>
      </w:r>
    </w:p>
    <w:p>
      <w:pPr>
        <w:keepNext w:val="0"/>
        <w:numPr>
          <w:numId w:val="3"/>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same email dated 15</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the Claimant was instructed to report for work on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and was given a warning that failure to adhere to the said instruction will result in disciplinary action being taken against the Claimant;</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refused to abide by the said instruction and continued to be absent on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whereby the Claimant,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another email dated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continued to pursue her application for a 14-day leave;</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despite the fact that the Company had once again rejected the Claimant’s leave application, the Claimant continued to be absent by refusing to abide by the instruction to report for work on 17th February 2022; and</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21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February 2022, the Company terminated the Claimant’s employment as a probationary employee due to the misconduct of the Claimant in abandoning her duty by being absent without leave from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until 21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February 2022.</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In relation thereto, the Company also contends that –</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acted in bad faith by applying for the 14-day leave despite the fact that none of the teachers employed by the Company has contracted COVID-19 at that material time;</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in her correspondences, should have identified the teacher that has contracted COVID-19 if the allegation is true;</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even if it is true that one of the teachers employed by the Company has contracted COVID-19, the Claimant herself admitted in her email to the Company dated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that she is not a close contact of the said individual;</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failed to produce the self-quarantine order from the Ministry of Health; and</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even if the Company were to consider the Claimant’s application for a 14-day leave, the Claimant is only entitled to eight (8) days of annual leave as provided in the Appointment Letter.</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xml:space="preserve">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Company’s Written Submissions dated 4</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January 2024, submits that –</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terminated the Claimant’s employment for the reason of job abandonment from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until 21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February 2022. This is a major misconduct as stipulated in Clauses 2 and 9 of the Appointment Letter;</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11</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the Claimant had even “left” the Company’s WhatsApp Groups that had been set up as the main communication platform for purposes of work related matters i.e. the “Stars HR Department” and “Star Secondary” WhatsApp Groups;</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onus is on the Claimant to justify her absence as per the Industrial Court case of </w:t>
      </w:r>
      <w:r>
        <w:rPr>
          <w:rFonts w:ascii="arial" w:eastAsia="arial" w:hAnsi="arial" w:cs="arial"/>
          <w:b w:val="0"/>
          <w:i/>
          <w:strike w:val="0"/>
          <w:noProof w:val="0"/>
          <w:color w:val="000000"/>
          <w:position w:val="0"/>
          <w:sz w:val="24"/>
          <w:u w:val="none"/>
          <w:vertAlign w:val="baseline"/>
        </w:rPr>
        <w:t xml:space="preserve">Dan Kaffe Sdn Bhd v Azman Mohamad  </w:t>
      </w:r>
      <w:r>
        <w:rPr>
          <w:rFonts w:ascii="arial" w:eastAsia="arial" w:hAnsi="arial" w:cs="arial"/>
          <w:b w:val="0"/>
          <w:i w:val="0"/>
          <w:strike w:val="0"/>
          <w:noProof w:val="0"/>
          <w:color w:val="000000"/>
          <w:position w:val="0"/>
          <w:sz w:val="24"/>
          <w:u w:val="none"/>
          <w:vertAlign w:val="baseline"/>
        </w:rPr>
        <w:t>[2002] 2 ILR 15, whereby at p. 20, the Learned Chairman said “</w:t>
      </w:r>
      <w:r>
        <w:rPr>
          <w:rFonts w:ascii="arial" w:eastAsia="arial" w:hAnsi="arial" w:cs="arial"/>
          <w:b w:val="0"/>
          <w:i/>
          <w:strike w:val="0"/>
          <w:noProof w:val="0"/>
          <w:color w:val="000000"/>
          <w:position w:val="0"/>
          <w:sz w:val="24"/>
          <w:u w:val="none"/>
          <w:vertAlign w:val="baseline"/>
        </w:rPr>
        <w:t>[f]rom the evidence adduced it was clear that the claimant admitted that he was absent without applying for leave, however, he denied his misconduct. The onus is on the claimant to give reasonable reasons for his absence</w:t>
      </w:r>
      <w:r>
        <w:rPr>
          <w:rFonts w:ascii="arial" w:eastAsia="arial" w:hAnsi="arial" w:cs="arial"/>
          <w:b w:val="0"/>
          <w:i w:val="0"/>
          <w:strike w:val="0"/>
          <w:noProof w:val="0"/>
          <w:color w:val="000000"/>
          <w:position w:val="0"/>
          <w:sz w:val="24"/>
          <w:u w:val="none"/>
          <w:vertAlign w:val="baseline"/>
        </w:rPr>
        <w:t xml:space="preserve"> “. The same was also held by the Industrial Court in the case of </w:t>
      </w:r>
      <w:r>
        <w:rPr>
          <w:rFonts w:ascii="arial" w:eastAsia="arial" w:hAnsi="arial" w:cs="arial"/>
          <w:b w:val="0"/>
          <w:i/>
          <w:strike w:val="0"/>
          <w:noProof w:val="0"/>
          <w:color w:val="000000"/>
          <w:position w:val="0"/>
          <w:sz w:val="24"/>
          <w:u w:val="none"/>
          <w:vertAlign w:val="baseline"/>
        </w:rPr>
        <w:t xml:space="preserve">Etonic Garment MFG Sdn Bhd v Kalaimagal Muthusamy  </w:t>
      </w:r>
      <w:r>
        <w:rPr>
          <w:rFonts w:ascii="arial" w:eastAsia="arial" w:hAnsi="arial" w:cs="arial"/>
          <w:b w:val="0"/>
          <w:i w:val="0"/>
          <w:strike w:val="0"/>
          <w:noProof w:val="0"/>
          <w:color w:val="000000"/>
          <w:position w:val="0"/>
          <w:sz w:val="24"/>
          <w:u w:val="none"/>
          <w:vertAlign w:val="baseline"/>
        </w:rPr>
        <w:t>[1998] 3 ILR 698, whereby at p. 703, the Learned Chairman said “</w:t>
      </w:r>
      <w:r>
        <w:rPr>
          <w:rFonts w:ascii="arial" w:eastAsia="arial" w:hAnsi="arial" w:cs="arial"/>
          <w:b w:val="0"/>
          <w:i/>
          <w:strike w:val="0"/>
          <w:noProof w:val="0"/>
          <w:color w:val="000000"/>
          <w:position w:val="0"/>
          <w:sz w:val="24"/>
          <w:u w:val="none"/>
          <w:vertAlign w:val="baseline"/>
        </w:rPr>
        <w:t>[t]he issue for determination before this court is whether the claimant had been granted leave of absence for that period of time, whether leave was automatically approved on filing the leave application and whether her brother had informed the company of her long absence due to sickness in India. The burden of proving those assertions lies with the claimant and not with the company</w:t>
      </w:r>
      <w:r>
        <w:rPr>
          <w:rFonts w:ascii="arial" w:eastAsia="arial" w:hAnsi="arial" w:cs="arial"/>
          <w:b w:val="0"/>
          <w:i w:val="0"/>
          <w:strike w:val="0"/>
          <w:noProof w:val="0"/>
          <w:color w:val="000000"/>
          <w:position w:val="0"/>
          <w:sz w:val="24"/>
          <w:u w:val="none"/>
          <w:vertAlign w:val="baseline"/>
        </w:rPr>
        <w:t>”;</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plethora of cases, as stated below, have decided that absenteeism without leave amounts to a misconduct –</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Federal Court in the case of </w:t>
      </w:r>
      <w:r>
        <w:rPr>
          <w:rFonts w:ascii="arial" w:eastAsia="arial" w:hAnsi="arial" w:cs="arial"/>
          <w:b w:val="0"/>
          <w:i/>
          <w:strike w:val="0"/>
          <w:noProof w:val="0"/>
          <w:color w:val="000000"/>
          <w:position w:val="0"/>
          <w:sz w:val="24"/>
          <w:u w:val="none"/>
          <w:vertAlign w:val="baseline"/>
        </w:rPr>
        <w:t xml:space="preserve">Pan Global Textiles Bhd Pulau Pinang v Ang Beng Teik  </w:t>
      </w:r>
      <w:r>
        <w:rPr>
          <w:rFonts w:ascii="arial" w:eastAsia="arial" w:hAnsi="arial" w:cs="arial"/>
          <w:b w:val="0"/>
          <w:i w:val="0"/>
          <w:strike w:val="0"/>
          <w:noProof w:val="0"/>
          <w:color w:val="000000"/>
          <w:position w:val="0"/>
          <w:sz w:val="24"/>
          <w:u w:val="none"/>
          <w:vertAlign w:val="baseline"/>
        </w:rPr>
        <w:t xml:space="preserve">[2002] 1 CLJ 181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no employee can claim as a matter of right leave of absence without permission and when there might not be any permission for the same. Remaining absent without any permission is gross violation of discipline. Hence, continued absence from work without permission will constitute misconduct justifying the discharge of a workman from service (OP Malhotra on The Law of Industrial Disputes). (pp 197 i &amp; 198 b)</w:t>
      </w:r>
      <w:r>
        <w:rPr>
          <w:rFonts w:ascii="arial" w:eastAsia="arial" w:hAnsi="arial" w:cs="arial"/>
          <w:b w:val="0"/>
          <w:i w:val="0"/>
          <w:strike w:val="0"/>
          <w:noProof w:val="0"/>
          <w:color w:val="000000"/>
          <w:position w:val="0"/>
          <w:sz w:val="24"/>
          <w:u w:val="none"/>
          <w:vertAlign w:val="baseline"/>
        </w:rPr>
        <w:t>”;</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Industrial Court in the case of </w:t>
      </w:r>
      <w:r>
        <w:rPr>
          <w:rFonts w:ascii="arial" w:eastAsia="arial" w:hAnsi="arial" w:cs="arial"/>
          <w:b w:val="0"/>
          <w:i/>
          <w:strike w:val="0"/>
          <w:noProof w:val="0"/>
          <w:color w:val="000000"/>
          <w:position w:val="0"/>
          <w:sz w:val="24"/>
          <w:u w:val="none"/>
          <w:vertAlign w:val="baseline"/>
        </w:rPr>
        <w:t>Shanti Selvam v Supcheng Fasteners Sdn Bhd</w:t>
      </w:r>
      <w:r>
        <w:rPr>
          <w:rFonts w:ascii="arial" w:eastAsia="arial" w:hAnsi="arial" w:cs="arial"/>
          <w:b w:val="0"/>
          <w:i w:val="0"/>
          <w:strike w:val="0"/>
          <w:noProof w:val="0"/>
          <w:color w:val="000000"/>
          <w:position w:val="0"/>
          <w:sz w:val="24"/>
          <w:u w:val="none"/>
          <w:vertAlign w:val="baseline"/>
        </w:rPr>
        <w:t xml:space="preserve"> (Award No. 238 of 2020) stated that </w:t>
      </w:r>
      <w:r>
        <w:rPr>
          <w:rFonts w:ascii="arial" w:eastAsia="arial" w:hAnsi="arial" w:cs="arial"/>
          <w:b w:val="0"/>
          <w:i/>
          <w:strike w:val="0"/>
          <w:noProof w:val="0"/>
          <w:color w:val="000000"/>
          <w:position w:val="0"/>
          <w:sz w:val="24"/>
          <w:u w:val="none"/>
          <w:vertAlign w:val="baseline"/>
        </w:rPr>
        <w:t>“[a]s there was no evidence adduced by the Claimant to show that she came to work on 15.10.2018, 16.10.2018 and 17.10.2018, neither was there any evidence to show that she had obtained approval from the Company to not come to work on 15.10.2018, 16.10.2018 and 17.10.2018, the Company therefore had proven the misconduct against the Claimant</w:t>
      </w:r>
      <w:r>
        <w:rPr>
          <w:rFonts w:ascii="arial" w:eastAsia="arial" w:hAnsi="arial" w:cs="arial"/>
          <w:b w:val="0"/>
          <w:i w:val="0"/>
          <w:strike w:val="0"/>
          <w:noProof w:val="0"/>
          <w:color w:val="000000"/>
          <w:position w:val="0"/>
          <w:sz w:val="24"/>
          <w:u w:val="none"/>
          <w:vertAlign w:val="baseline"/>
        </w:rPr>
        <w:t>”; and</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Industrial Court in the case of </w:t>
      </w:r>
      <w:r>
        <w:rPr>
          <w:rFonts w:ascii="arial" w:eastAsia="arial" w:hAnsi="arial" w:cs="arial"/>
          <w:b w:val="0"/>
          <w:i/>
          <w:strike w:val="0"/>
          <w:noProof w:val="0"/>
          <w:color w:val="000000"/>
          <w:position w:val="0"/>
          <w:sz w:val="24"/>
          <w:u w:val="none"/>
          <w:vertAlign w:val="baseline"/>
        </w:rPr>
        <w:t xml:space="preserve">Shanthini Parmasivam v Oakbridge International School  </w:t>
      </w:r>
      <w:r>
        <w:rPr>
          <w:rFonts w:ascii="arial" w:eastAsia="arial" w:hAnsi="arial" w:cs="arial"/>
          <w:b w:val="0"/>
          <w:i w:val="0"/>
          <w:strike w:val="0"/>
          <w:noProof w:val="0"/>
          <w:color w:val="000000"/>
          <w:position w:val="0"/>
          <w:sz w:val="24"/>
          <w:u w:val="none"/>
          <w:vertAlign w:val="baseline"/>
        </w:rPr>
        <w:t>[2023] ILRU 1042 made the following observations:</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[6] The Claimant did not report for duty on 07.01.20 and 08.01.2020 without informing the Company of her absence from work. By a WhatsApp message sent on 08.01.2020 at 06:32 am by the Principal of the School, the Claimant was informed to WhatsApp the Medical Certificates (MCs) for her absence from work from 06.01.20 until 08.01.2020 by Monday, 13.1.2020. However, despite her assurance that she would send the medical certificates requested by the Director of School in respect of her absence from work on 06.01.2020, the Claimant continued to be further absent from work from 09.01.20 until 15.01.2020 without informing the school or any authorization to be so absent from work.</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[7] Reminders were sent to the Claimant by the Director of the school vide WhatsApp on 15.1.2020 at 11.42 am and 12.06 pm with regard to the absence of her medical certificates from 6.1.2020 until 15.1.2020; to which the Claimant responded vide WhatsApp on 16.1.2020 at 2.03pm that she would do so on 17.1.2020; nevertheless no medical certificate was forthcoming from the Claimant.</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[36] The fact that the Claimant had committed serious acts of misconduct, in particular by being absent without leave for eight continuous working days, warrants a punishment of dismissal…</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[44] In the upshot, this Court found that the school had successfully proved on the balance of probabilities that the Claimant had committed the misconduct of absenteeism, together with all of the allegations levelled against the Claimant. The proven acts of misconduct warrants the subsequent action of dismissal by the school. This Court found that the dismissal of the Claimant was with just cause or excuse.</w:t>
      </w:r>
      <w:r>
        <w:rPr>
          <w:rFonts w:ascii="arial" w:eastAsia="arial" w:hAnsi="arial" w:cs="arial"/>
          <w:b w:val="0"/>
          <w:i w:val="0"/>
          <w:strike w:val="0"/>
          <w:noProof w:val="0"/>
          <w:color w:val="000000"/>
          <w:position w:val="0"/>
          <w:sz w:val="18"/>
          <w:u w:val="none"/>
          <w:vertAlign w:val="baseline"/>
        </w:rPr>
        <w:t>”;</w:t>
      </w:r>
      <w:r>
        <w:t>
</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had breached the term of her employment with the Company when Clause 2 and Clause 9 of the Appointment Letter clearly stipulates that absence without leave would result in breach of contract and would warrant immediate dismissal. Reference is made to the Industrial Court case of </w:t>
      </w:r>
      <w:r>
        <w:rPr>
          <w:rFonts w:ascii="arial" w:eastAsia="arial" w:hAnsi="arial" w:cs="arial"/>
          <w:b w:val="0"/>
          <w:i/>
          <w:strike w:val="0"/>
          <w:noProof w:val="0"/>
          <w:color w:val="000000"/>
          <w:position w:val="0"/>
          <w:sz w:val="24"/>
          <w:u w:val="none"/>
          <w:vertAlign w:val="baseline"/>
        </w:rPr>
        <w:t xml:space="preserve">Sivanesan Durairajah v Aegis BPO Malaysia Sdn Bhd  </w:t>
      </w:r>
      <w:r>
        <w:rPr>
          <w:rFonts w:ascii="arial" w:eastAsia="arial" w:hAnsi="arial" w:cs="arial"/>
          <w:b w:val="0"/>
          <w:i w:val="0"/>
          <w:strike w:val="0"/>
          <w:noProof w:val="0"/>
          <w:color w:val="000000"/>
          <w:position w:val="0"/>
          <w:sz w:val="24"/>
          <w:u w:val="none"/>
          <w:vertAlign w:val="baseline"/>
        </w:rPr>
        <w:t xml:space="preserve">[2023] 2 ILR 370, whereby at p. 382, Her Ladyship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[54] As in the instant case, absence without prior leave exceeding two days can be deemed as a breach of contract of service stipulated in</w:t>
      </w:r>
      <w:r>
        <w:rPr>
          <w:rFonts w:ascii="arial" w:eastAsia="arial" w:hAnsi="arial" w:cs="arial"/>
          <w:b w:val="0"/>
          <w:i w:val="0"/>
          <w:strike w:val="0"/>
          <w:noProof w:val="0"/>
          <w:color w:val="000000"/>
          <w:position w:val="0"/>
          <w:sz w:val="18"/>
          <w:u w:val="none"/>
          <w:vertAlign w:val="baseline"/>
        </w:rPr>
        <w:t xml:space="preserve"> s. 15(2) of the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Therefore, an employer is justified to treat the contract of employment as having been repudiated by the employee who had been absent for more than two consecutive days without reasonable excuse or informing his employer at the earliest opportunity as required under</w:t>
      </w:r>
      <w:r>
        <w:rPr>
          <w:rFonts w:ascii="arial" w:eastAsia="arial" w:hAnsi="arial" w:cs="arial"/>
          <w:b w:val="0"/>
          <w:i w:val="0"/>
          <w:strike w:val="0"/>
          <w:noProof w:val="0"/>
          <w:color w:val="000000"/>
          <w:position w:val="0"/>
          <w:sz w:val="18"/>
          <w:u w:val="none"/>
          <w:vertAlign w:val="baseline"/>
        </w:rPr>
        <w:t xml:space="preserve"> s. 15(2) of the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[55] Hence, in the circumstances, it was not wrong for the respondent to conclude that the claimant had abandoned his employment with the company as he had been absent from work without leave from 30 December 2020 to 3 January 2021. In other words, he was deemed to have terminated his employment with the company unilaterally.</w:t>
      </w:r>
      <w:r>
        <w:rPr>
          <w:rFonts w:ascii="arial" w:eastAsia="arial" w:hAnsi="arial" w:cs="arial"/>
          <w:b w:val="0"/>
          <w:i w:val="0"/>
          <w:strike w:val="0"/>
          <w:noProof w:val="0"/>
          <w:color w:val="000000"/>
          <w:position w:val="0"/>
          <w:sz w:val="18"/>
          <w:u w:val="none"/>
          <w:vertAlign w:val="baseline"/>
        </w:rPr>
        <w:t xml:space="preserve"> “;</w:t>
      </w:r>
      <w:r>
        <w:t>
</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had on her own accord declared that she needed to self-quarantine for two (2) weeks despite not being in close contact with any of the COVID-19 patients and without furnishing any proof of an order for home quarantine from the Ministry of Health. In relation thereto, the Company cited the Industrial Court cases of </w:t>
      </w:r>
      <w:r>
        <w:rPr>
          <w:rFonts w:ascii="arial" w:eastAsia="arial" w:hAnsi="arial" w:cs="arial"/>
          <w:b w:val="0"/>
          <w:i/>
          <w:strike w:val="0"/>
          <w:noProof w:val="0"/>
          <w:color w:val="000000"/>
          <w:position w:val="0"/>
          <w:sz w:val="24"/>
          <w:u w:val="none"/>
          <w:vertAlign w:val="baseline"/>
        </w:rPr>
        <w:t>Hemavathi Venkitaraman v Euro Chairs Manufacturer (M) Sdn Bhd (Award No. 750 of 2020),</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JC Freight &amp; Enterprise v Ngoh Looi  </w:t>
      </w:r>
      <w:r>
        <w:rPr>
          <w:rFonts w:ascii="arial" w:eastAsia="arial" w:hAnsi="arial" w:cs="arial"/>
          <w:b w:val="0"/>
          <w:i w:val="0"/>
          <w:strike w:val="0"/>
          <w:noProof w:val="0"/>
          <w:color w:val="000000"/>
          <w:position w:val="0"/>
          <w:sz w:val="24"/>
          <w:u w:val="none"/>
          <w:vertAlign w:val="baseline"/>
        </w:rPr>
        <w:t xml:space="preserve">[2010] 1 ILR 546 and </w:t>
      </w:r>
      <w:r>
        <w:rPr>
          <w:rFonts w:ascii="arial" w:eastAsia="arial" w:hAnsi="arial" w:cs="arial"/>
          <w:b w:val="0"/>
          <w:i/>
          <w:strike w:val="0"/>
          <w:noProof w:val="0"/>
          <w:color w:val="000000"/>
          <w:position w:val="0"/>
          <w:sz w:val="24"/>
          <w:u w:val="none"/>
          <w:vertAlign w:val="baseline"/>
        </w:rPr>
        <w:t>Hazellah Abdul Rahman v Perusahaan Otomobil Nasional Berhad (Award No. 1245 of 2010)</w:t>
      </w:r>
      <w:r>
        <w:rPr>
          <w:rFonts w:ascii="arial" w:eastAsia="arial" w:hAnsi="arial" w:cs="arial"/>
          <w:b w:val="0"/>
          <w:i w:val="0"/>
          <w:strike w:val="0"/>
          <w:noProof w:val="0"/>
          <w:color w:val="000000"/>
          <w:position w:val="0"/>
          <w:sz w:val="24"/>
          <w:u w:val="none"/>
          <w:vertAlign w:val="baseline"/>
        </w:rPr>
        <w:t>;</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during probationary period, where the competency of any new employee is to be assessed, termination is justified if the employee’s behaviour of absenteeism and disobedience are taken into account. In support of this submission, the Company cited the Industrial Court cases of </w:t>
      </w:r>
      <w:r>
        <w:rPr>
          <w:rFonts w:ascii="arial" w:eastAsia="arial" w:hAnsi="arial" w:cs="arial"/>
          <w:b w:val="0"/>
          <w:i/>
          <w:strike w:val="0"/>
          <w:noProof w:val="0"/>
          <w:color w:val="000000"/>
          <w:position w:val="0"/>
          <w:sz w:val="24"/>
          <w:u w:val="none"/>
          <w:vertAlign w:val="baseline"/>
        </w:rPr>
        <w:t xml:space="preserve">Syahrizal Salam @ Mansor v Desaru Damai Beach Resort Sdn Bhd  </w:t>
      </w:r>
      <w:r>
        <w:rPr>
          <w:rFonts w:ascii="arial" w:eastAsia="arial" w:hAnsi="arial" w:cs="arial"/>
          <w:b w:val="0"/>
          <w:i w:val="0"/>
          <w:strike w:val="0"/>
          <w:noProof w:val="0"/>
          <w:color w:val="000000"/>
          <w:position w:val="0"/>
          <w:sz w:val="24"/>
          <w:u w:val="none"/>
          <w:vertAlign w:val="baseline"/>
        </w:rPr>
        <w:t xml:space="preserve">[2018] 1 ILR 381, </w:t>
      </w:r>
      <w:r>
        <w:rPr>
          <w:rFonts w:ascii="arial" w:eastAsia="arial" w:hAnsi="arial" w:cs="arial"/>
          <w:b w:val="0"/>
          <w:i/>
          <w:strike w:val="0"/>
          <w:noProof w:val="0"/>
          <w:color w:val="000000"/>
          <w:position w:val="0"/>
          <w:sz w:val="24"/>
          <w:u w:val="none"/>
          <w:vertAlign w:val="baseline"/>
        </w:rPr>
        <w:t xml:space="preserve">Kogilavani Gopal v Arnold Andrew &amp; Co  </w:t>
      </w:r>
      <w:r>
        <w:rPr>
          <w:rFonts w:ascii="arial" w:eastAsia="arial" w:hAnsi="arial" w:cs="arial"/>
          <w:b w:val="0"/>
          <w:i w:val="0"/>
          <w:strike w:val="0"/>
          <w:noProof w:val="0"/>
          <w:color w:val="000000"/>
          <w:position w:val="0"/>
          <w:sz w:val="24"/>
          <w:u w:val="none"/>
          <w:vertAlign w:val="baseline"/>
        </w:rPr>
        <w:t xml:space="preserve">[2023] ILRU 1372, </w:t>
      </w:r>
      <w:r>
        <w:rPr>
          <w:rFonts w:ascii="arial" w:eastAsia="arial" w:hAnsi="arial" w:cs="arial"/>
          <w:b w:val="0"/>
          <w:i/>
          <w:strike w:val="0"/>
          <w:noProof w:val="0"/>
          <w:color w:val="000000"/>
          <w:position w:val="0"/>
          <w:sz w:val="24"/>
          <w:u w:val="none"/>
          <w:vertAlign w:val="baseline"/>
        </w:rPr>
        <w:t xml:space="preserve">Dorsett Regency Hotel (M) Sdn Bhd v Andrew Jayadass James Ambrose  </w:t>
      </w:r>
      <w:r>
        <w:rPr>
          <w:rFonts w:ascii="arial" w:eastAsia="arial" w:hAnsi="arial" w:cs="arial"/>
          <w:b w:val="0"/>
          <w:i w:val="0"/>
          <w:strike w:val="0"/>
          <w:noProof w:val="0"/>
          <w:color w:val="000000"/>
          <w:position w:val="0"/>
          <w:sz w:val="24"/>
          <w:u w:val="none"/>
          <w:vertAlign w:val="baseline"/>
        </w:rPr>
        <w:t xml:space="preserve">[2003] 2 ILR 740, </w:t>
      </w:r>
      <w:r>
        <w:rPr>
          <w:rFonts w:ascii="arial" w:eastAsia="arial" w:hAnsi="arial" w:cs="arial"/>
          <w:b w:val="0"/>
          <w:i/>
          <w:strike w:val="0"/>
          <w:noProof w:val="0"/>
          <w:color w:val="000000"/>
          <w:position w:val="0"/>
          <w:sz w:val="24"/>
          <w:u w:val="none"/>
          <w:vertAlign w:val="baseline"/>
        </w:rPr>
        <w:t xml:space="preserve">Equatorial Timber Moulding Sdn Bhd, Kuching v John Michael Crosskey  </w:t>
      </w:r>
      <w:r>
        <w:rPr>
          <w:rFonts w:ascii="arial" w:eastAsia="arial" w:hAnsi="arial" w:cs="arial"/>
          <w:b w:val="0"/>
          <w:i w:val="0"/>
          <w:strike w:val="0"/>
          <w:noProof w:val="0"/>
          <w:color w:val="000000"/>
          <w:position w:val="0"/>
          <w:sz w:val="24"/>
          <w:u w:val="none"/>
          <w:vertAlign w:val="baseline"/>
        </w:rPr>
        <w:t xml:space="preserve">[1986] 2 ILR 1666 and </w:t>
      </w:r>
      <w:r>
        <w:rPr>
          <w:rFonts w:ascii="arial" w:eastAsia="arial" w:hAnsi="arial" w:cs="arial"/>
          <w:b w:val="0"/>
          <w:i/>
          <w:strike w:val="0"/>
          <w:noProof w:val="0"/>
          <w:color w:val="000000"/>
          <w:position w:val="0"/>
          <w:sz w:val="24"/>
          <w:u w:val="none"/>
          <w:vertAlign w:val="baseline"/>
        </w:rPr>
        <w:t xml:space="preserve">Edaran Otomobil Nasional Bhd. v Safri Jaukarani Tiguat  </w:t>
      </w:r>
      <w:r>
        <w:rPr>
          <w:rFonts w:ascii="arial" w:eastAsia="arial" w:hAnsi="arial" w:cs="arial"/>
          <w:b w:val="0"/>
          <w:i w:val="0"/>
          <w:strike w:val="0"/>
          <w:noProof w:val="0"/>
          <w:color w:val="000000"/>
          <w:position w:val="0"/>
          <w:sz w:val="24"/>
          <w:u w:val="none"/>
          <w:vertAlign w:val="baseline"/>
        </w:rPr>
        <w:t>[1994] 2 ILR 928;</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would cause the Company to be liable to the pupils and also to the parents of the pupils since the Company would be answerable if the pupils could not complete their study plans as the Company has a statutory obligation to ensure that the pupils are ready to face examination as stipulated under section 19 of the  Education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1996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xml:space="preserve"> 550</w:t>
      </w:r>
      <w:r>
        <w:rPr>
          <w:rFonts w:ascii="arial" w:eastAsia="arial" w:hAnsi="arial" w:cs="arial"/>
          <w:b w:val="0"/>
          <w:i w:val="0"/>
          <w:strike w:val="0"/>
          <w:noProof w:val="0"/>
          <w:color w:val="000000"/>
          <w:position w:val="0"/>
          <w:sz w:val="24"/>
          <w:u w:val="none"/>
          <w:vertAlign w:val="baseline"/>
        </w:rPr>
        <w:t xml:space="preserve">]. The Company cited the High Court case of </w:t>
      </w:r>
      <w:r>
        <w:rPr>
          <w:rFonts w:ascii="arial" w:eastAsia="arial" w:hAnsi="arial" w:cs="arial"/>
          <w:b w:val="0"/>
          <w:i/>
          <w:strike w:val="0"/>
          <w:noProof w:val="0"/>
          <w:color w:val="000000"/>
          <w:position w:val="0"/>
          <w:sz w:val="24"/>
          <w:u w:val="none"/>
          <w:vertAlign w:val="baseline"/>
        </w:rPr>
        <w:t xml:space="preserve">Rusiah Sabdarin &amp; Ors v Mohd Jainal Jamran &amp; Ors  </w:t>
      </w:r>
      <w:r>
        <w:rPr>
          <w:rFonts w:ascii="arial" w:eastAsia="arial" w:hAnsi="arial" w:cs="arial"/>
          <w:b w:val="0"/>
          <w:i w:val="0"/>
          <w:strike w:val="0"/>
          <w:noProof w:val="0"/>
          <w:color w:val="000000"/>
          <w:position w:val="0"/>
          <w:sz w:val="24"/>
          <w:u w:val="none"/>
          <w:vertAlign w:val="baseline"/>
        </w:rPr>
        <w:t xml:space="preserve">[2023] 8 CLJ 603 to support this contention. In the said case, the High Court Judge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[t]he first to fourth defendants were under a statutory duty to prepare the plaintiffs for their English language examinations, pursuant to</w:t>
      </w:r>
      <w:r>
        <w:rPr>
          <w:rFonts w:ascii="arial" w:eastAsia="arial" w:hAnsi="arial" w:cs="arial"/>
          <w:b w:val="0"/>
          <w:i w:val="0"/>
          <w:strike w:val="0"/>
          <w:noProof w:val="0"/>
          <w:color w:val="000000"/>
          <w:position w:val="0"/>
          <w:sz w:val="24"/>
          <w:u w:val="none"/>
          <w:vertAlign w:val="baseline"/>
        </w:rPr>
        <w:t xml:space="preserve"> s. 19 of the  EA</w:t>
      </w:r>
      <w:r>
        <w:rPr>
          <w:rFonts w:ascii="arial" w:eastAsia="arial" w:hAnsi="arial" w:cs="arial"/>
          <w:b w:val="0"/>
          <w:i/>
          <w:strike w:val="0"/>
          <w:noProof w:val="0"/>
          <w:color w:val="000000"/>
          <w:position w:val="0"/>
          <w:sz w:val="24"/>
          <w:u w:val="none"/>
          <w:vertAlign w:val="baseline"/>
        </w:rPr>
        <w:t>. Thus, the first to fourth defendants had a statutory function to prepare the plaintiffs for their English language examinations. In performing their statutory functions or duties, the second to fourth defendants must ensure that the English teacher that they provided was reasonably competent and present in class to teach English classes during the school’s schedule or timetable for 2017. In the event of absenteeism by the teacher, the second to fourth defendants were under a statutory duty to take appropriate disciplinary action against the absent teacher</w:t>
      </w:r>
      <w:r>
        <w:rPr>
          <w:rFonts w:ascii="arial" w:eastAsia="arial" w:hAnsi="arial" w:cs="arial"/>
          <w:b w:val="0"/>
          <w:i w:val="0"/>
          <w:strike w:val="0"/>
          <w:noProof w:val="0"/>
          <w:color w:val="000000"/>
          <w:position w:val="0"/>
          <w:sz w:val="24"/>
          <w:u w:val="none"/>
          <w:vertAlign w:val="baseline"/>
        </w:rPr>
        <w:t>”;</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misconduct warrants the termination of the Claimant’s employment as supported by the Industrial Court cases of </w:t>
      </w:r>
      <w:r>
        <w:rPr>
          <w:rFonts w:ascii="arial" w:eastAsia="arial" w:hAnsi="arial" w:cs="arial"/>
          <w:b w:val="0"/>
          <w:i/>
          <w:strike w:val="0"/>
          <w:noProof w:val="0"/>
          <w:color w:val="000000"/>
          <w:position w:val="0"/>
          <w:sz w:val="24"/>
          <w:u w:val="none"/>
          <w:vertAlign w:val="baseline"/>
        </w:rPr>
        <w:t xml:space="preserve">Shanthini Parmasivam v Oakbridge International School  </w:t>
      </w:r>
      <w:r>
        <w:rPr>
          <w:rFonts w:ascii="arial" w:eastAsia="arial" w:hAnsi="arial" w:cs="arial"/>
          <w:b w:val="0"/>
          <w:i w:val="0"/>
          <w:strike w:val="0"/>
          <w:noProof w:val="0"/>
          <w:color w:val="000000"/>
          <w:position w:val="0"/>
          <w:sz w:val="24"/>
          <w:u w:val="none"/>
          <w:vertAlign w:val="baseline"/>
        </w:rPr>
        <w:t xml:space="preserve">[2023] ILRU 1042, </w:t>
      </w:r>
      <w:r>
        <w:rPr>
          <w:rFonts w:ascii="arial" w:eastAsia="arial" w:hAnsi="arial" w:cs="arial"/>
          <w:b w:val="0"/>
          <w:i/>
          <w:strike w:val="0"/>
          <w:noProof w:val="0"/>
          <w:color w:val="000000"/>
          <w:position w:val="0"/>
          <w:sz w:val="24"/>
          <w:u w:val="none"/>
          <w:vertAlign w:val="baseline"/>
        </w:rPr>
        <w:t xml:space="preserve">Sivanesan Durairajah v Aegis BPO Malaysia Sdn Bhd  </w:t>
      </w:r>
      <w:r>
        <w:rPr>
          <w:rFonts w:ascii="arial" w:eastAsia="arial" w:hAnsi="arial" w:cs="arial"/>
          <w:b w:val="0"/>
          <w:i w:val="0"/>
          <w:strike w:val="0"/>
          <w:noProof w:val="0"/>
          <w:color w:val="000000"/>
          <w:position w:val="0"/>
          <w:sz w:val="24"/>
          <w:u w:val="none"/>
          <w:vertAlign w:val="baseline"/>
        </w:rPr>
        <w:t xml:space="preserve">[2023] 2 ILR 370, </w:t>
      </w:r>
      <w:r>
        <w:rPr>
          <w:rFonts w:ascii="arial" w:eastAsia="arial" w:hAnsi="arial" w:cs="arial"/>
          <w:b w:val="0"/>
          <w:i/>
          <w:strike w:val="0"/>
          <w:noProof w:val="0"/>
          <w:color w:val="000000"/>
          <w:position w:val="0"/>
          <w:sz w:val="24"/>
          <w:u w:val="none"/>
          <w:vertAlign w:val="baseline"/>
        </w:rPr>
        <w:t xml:space="preserve">Syahrizal Salam @ Mansor v Desaru Damai Beach Resort Sdn Bhd  </w:t>
      </w:r>
      <w:r>
        <w:rPr>
          <w:rFonts w:ascii="arial" w:eastAsia="arial" w:hAnsi="arial" w:cs="arial"/>
          <w:b w:val="0"/>
          <w:i w:val="0"/>
          <w:strike w:val="0"/>
          <w:noProof w:val="0"/>
          <w:color w:val="000000"/>
          <w:position w:val="0"/>
          <w:sz w:val="24"/>
          <w:u w:val="none"/>
          <w:vertAlign w:val="baseline"/>
        </w:rPr>
        <w:t xml:space="preserve">[2018] 1 ILR 381 and </w:t>
      </w:r>
      <w:r>
        <w:rPr>
          <w:rFonts w:ascii="arial" w:eastAsia="arial" w:hAnsi="arial" w:cs="arial"/>
          <w:b w:val="0"/>
          <w:i/>
          <w:strike w:val="0"/>
          <w:noProof w:val="0"/>
          <w:color w:val="000000"/>
          <w:position w:val="0"/>
          <w:sz w:val="24"/>
          <w:u w:val="none"/>
          <w:vertAlign w:val="baseline"/>
        </w:rPr>
        <w:t xml:space="preserve">Penang Mutiara Beach Resort &amp; Anor v Mohd Amin Mahmud Halder  </w:t>
      </w:r>
      <w:r>
        <w:rPr>
          <w:rFonts w:ascii="arial" w:eastAsia="arial" w:hAnsi="arial" w:cs="arial"/>
          <w:b w:val="0"/>
          <w:i w:val="0"/>
          <w:strike w:val="0"/>
          <w:noProof w:val="0"/>
          <w:color w:val="000000"/>
          <w:position w:val="0"/>
          <w:sz w:val="24"/>
          <w:u w:val="none"/>
          <w:vertAlign w:val="baseline"/>
        </w:rPr>
        <w:t>[2003] 3 ILR 1358; and</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reference to the Industrial Court case of </w:t>
      </w:r>
      <w:r>
        <w:rPr>
          <w:rFonts w:ascii="arial" w:eastAsia="arial" w:hAnsi="arial" w:cs="arial"/>
          <w:b w:val="0"/>
          <w:i/>
          <w:strike w:val="0"/>
          <w:noProof w:val="0"/>
          <w:color w:val="000000"/>
          <w:position w:val="0"/>
          <w:sz w:val="24"/>
          <w:u w:val="none"/>
          <w:vertAlign w:val="baseline"/>
        </w:rPr>
        <w:t xml:space="preserve">Asahi Industries (M) Sdn Bhd V. Lim Mui Lin  </w:t>
      </w:r>
      <w:r>
        <w:rPr>
          <w:rFonts w:ascii="arial" w:eastAsia="arial" w:hAnsi="arial" w:cs="arial"/>
          <w:b w:val="0"/>
          <w:i w:val="0"/>
          <w:strike w:val="0"/>
          <w:noProof w:val="0"/>
          <w:color w:val="000000"/>
          <w:position w:val="0"/>
          <w:sz w:val="24"/>
          <w:u w:val="none"/>
          <w:vertAlign w:val="baseline"/>
        </w:rPr>
        <w:t>[2000] 2 ILR 29, it is reasonable for the Company to terminate Claimant’s employment as the Company has lost all trust in the Claimant due to her absence from work.</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Claimant’s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Claimant avers –</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was terminated on 21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February 2022 i.e. during her probation period, having worked with the Company for five and a half (5.5) months;</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12</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the Claimant received information that one of the upper secondary teachers employed by the Company, one Gayathry, had contracted COVID-19 on or around 8</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and had been in self-quarantine since then;</w:t>
      </w:r>
    </w:p>
    <w:p>
      <w:pPr>
        <w:keepNext w:val="0"/>
        <w:numPr>
          <w:numId w:val="14"/>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12</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to COW-2 and COW-1, –</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worried about her health and safety as the said upper secondary teacher, one Gayathry, had been in close contact with fellow teachers employed by the Company, the Claimant applied for leave for a period of two (2) weeks from 12</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until 28</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stated that the Company’s management kept silent and continued its operation even after receiving confirmation that the said upper secondary teacher, one Gayathry, is under self-quarantine;</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also stated that the Company failed to take measures to keep the teachers as well as the students safe and suggested for the Company’s management to allow for online classes to be conducted; and</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requested that her leave be approved and hoped that the Company’s management take the proper action as soon as possible due to the serious nature of the incident.</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one Lavanya Singham replied on behalf of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on 15</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at 5.12pm. The email basically stated that the Claimant’s claims were baseless as well as unfounded and denied one of the Company’s staff had tested positive for COVID-19. The Claimant was also informed that her leave application has been rejected and instructed the Claimant to report to work on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w:t>
      </w:r>
    </w:p>
    <w:p>
      <w:pPr>
        <w:keepNext w:val="0"/>
        <w:numPr>
          <w:numId w:val="14"/>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the Claimant again applied for leave and stated that –</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wanted to clarify that she did not make any false allegations;</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is not one of the close contacts;</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said upper secondary teacher, one Gayathry, who was infected with COVID-19 had attended school and communicated with the Claimant and fellow teachers;</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the Claimant is also one of the upper secondary teachers, the Company should have informed her relating to the same;</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8</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the said upper secondary teacher, one Gayathry, had informed Claimant, during afternoon shift, that she feels unwell and the following day the said upper secondary teacher was confirmed to be infected with COVID-19;</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said upper secondary teacher, one Gayathry, and the Claimant are recipients of Sinovac vaccine and based on the information from the Ministry of Health recipients of the said vaccine have the highest risk of being infected;</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has yet to receive her booster jab as she is still waiting for appointment;</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management should have informed her to get tested but decided to keep quiet about it;</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due to concerns she has about the situation, the Claimant requested the school to conduct online classes for two weeks to enable the school to be closed for cleaning and disinfection;</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is concerned about the safety of her family as she is married and has a child;</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her superior, one Lavanya Singham, forced her to report to work as well as conduct face-to-face classes and threatened to issue a warning letter if the Claimant fails to do so. Following thereto, the Claimant will report the matter to the Ministry of Health;</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management is not concerned about the teachers and student’s health and safety as they are too business-minded and care more about the money;</w:t>
      </w:r>
    </w:p>
    <w:p>
      <w:pPr>
        <w:keepNext w:val="0"/>
        <w:numPr>
          <w:numId w:val="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she is ready to conduct online classes, she should not be forced to conduct physical classes. As such, she will extend her leave application if no proper action is taken by the Company; and</w:t>
      </w:r>
    </w:p>
    <w:p>
      <w:pPr>
        <w:keepNext w:val="0"/>
        <w:numPr>
          <w:numId w:val="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her knowledge two (2) students, who are siblings, are under self- quarantine for one week as they are in close contact with family members who have COVID-19 and the Company’s management has yet to take the necessary action;</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vide email dated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one Lavanya Singham again replied on behalf of the Company and stated that the Claimant’s respond was unacceptable and irrelevant. Following thereto, the Claimant’s leave application was rejected and insisted that the Claimant report to work and conduct physical classes; and</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20</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the Claimant replied stating that she is not able to report to work and is not willing to jeopardize her health or threat to her family. As such, the Claimant will only be reporting to work on 28</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Claimant further avers as follows –</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failed to investigate the veracity of the information given by the Claimant and take the necessary action to sanitize the work place;</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reason(s) stated in the Termination Letter is devoid of any merits and unfair. Furthermore, the punishment of dismissal was too harsh and without just cause or excuse as she had never abandoned her employment and had emphasized numerous times in her emails that she is willing to work by conducting online classes;</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cannot resort to “hire and fire at will” as she was employed based on her credentials and has never been reprimanded for any kind of disciplinary issues or unsatisfactory performance. Moreover, when she was gainfully employed with the Company, the Claimant maintained a clean record of employment and has executed her job functions to the best of her ability; and</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performance appraisal was done on 11</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whereby the Claimant was returned with a score of 9 (excellent) and a score of 8 (good) for Attendance and Commitment as well as a score of 8 for job knowledge, score of 7 (good) for Quality Performance and a score of 8 (good) for Credibility. As such, based on the said scores it would have been sufficient to retain the Claimant’s employment with the Company;</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another performance appraisal was conducted on 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December 2021 and the Claimant obtained a score of 68%. As this was a fair score the Company should have confirmed the Claimant in her employment but instead choose to extend the Claimant’s probation period until end of March 2022;</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her employment was prematurely terminated on 21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February 2022 i.e. before the expiry of the extended probation period, the said termination is wrong in law as well as unfair and unjust;</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even though she was subjected to long hours of work without breaks, she had withstood the strenuous working hours and contributed effectively towards her work as this was proven by the score of 9 (excellent) in respect of the Claimant’s work commitment;</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did not abandon her employment as she had clearly mentioned that she would return to work on 28</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and was in communication with the Company throughout the said period. In addition, there has been an inordinate delay by the Company in giving their reply as regards the Claimant’s leave application and the Company further retaliated against the Claimant by falsely accusing the Claimant of abandoning her employment;</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throughout her employment the Claimant was never reprimanded for the so called “disobeying instructions given by the Assistant Principal and Academic Team”, “failing to perform her duty in marking exam papers and class work of her students” and “being aggressive in her mannerism when dealing with superiors” but was instead given an excellent score for her work commitment;</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stands by her emails dated 12</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and 20</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Furthermore, as regards her leave application, she had valid reasons in applying for the said leave in view of the COVID-19 situation affecting one of the Company’s staff as well as the students. Thus, it was unreasonable for the Company to reject her leave application. In this regard, the quarantine period of 14 days was also a practice in Malaysia as per the guidelines from the Ministry of Health; and</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action compelling the Claimant to resume duties on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is tantamount to a threat and a form of forced labour which is in violation of Article 6 of the Federal Constitution.</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Claimant also made the following contentions –</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was being utterly unreasonable by not allowing the Claimant to go on leave and was seen dragging its feet in handling the COVID-19 situation affecting the Company’s staff and teachers;</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was least bothered about the Claimant’s grievances and simply brushed them aside; and</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regards her leave application, the Company could have granted the Claimant eight (8) days annual leave and treat the remaining six (6) days as unpaid leave.</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The Claimant,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Claimant’s Written Submissions dated 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December 2023, submits that –</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per the principle in the Industrial Court case of </w:t>
      </w:r>
      <w:r>
        <w:rPr>
          <w:rFonts w:ascii="arial" w:eastAsia="arial" w:hAnsi="arial" w:cs="arial"/>
          <w:b w:val="0"/>
          <w:i/>
          <w:strike w:val="0"/>
          <w:noProof w:val="0"/>
          <w:color w:val="000000"/>
          <w:position w:val="0"/>
          <w:sz w:val="24"/>
          <w:u w:val="none"/>
          <w:vertAlign w:val="baseline"/>
        </w:rPr>
        <w:t xml:space="preserve">Soon Seng Industrial Products Sdn. Bhd. v Metal Industry Employees Union  </w:t>
      </w:r>
      <w:r>
        <w:rPr>
          <w:rFonts w:ascii="arial" w:eastAsia="arial" w:hAnsi="arial" w:cs="arial"/>
          <w:b w:val="0"/>
          <w:i w:val="0"/>
          <w:strike w:val="0"/>
          <w:noProof w:val="0"/>
          <w:color w:val="000000"/>
          <w:position w:val="0"/>
          <w:sz w:val="24"/>
          <w:u w:val="none"/>
          <w:vertAlign w:val="baseline"/>
        </w:rPr>
        <w:t>[1988] 2 ILR 219, the Claimant’s termination is wrong in law as during cross-examination COW-1 agreed the probation period for the Claimant’s employment was an automatic six (6) months’ probation as she was not issued with an extension letter and was allowed to continue in her employment after the initial three (3) months’ probation period;</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per the Company’s Termination Letter, the Claimant was terminated because she has abandoned her employment. In relation thereto, the Claimant further submits –</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legal provision that would need to be looked at is section 15 of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which provides as follows:</w:t>
      </w:r>
    </w:p>
    <w:p>
      <w:pPr>
        <w:keepNext w:val="0"/>
        <w:spacing w:before="120" w:after="0" w:line="240" w:lineRule="atLeast"/>
        <w:ind w:left="1880" w:right="0"/>
        <w:jc w:val="both"/>
      </w:pPr>
      <w:r>
        <w:br/>
      </w:r>
      <w:r>
        <w:rPr>
          <w:rFonts w:ascii="arial" w:eastAsia="arial" w:hAnsi="arial" w:cs="arial"/>
          <w:b/>
          <w:i/>
          <w:strike w:val="0"/>
          <w:noProof w:val="0"/>
          <w:color w:val="000000"/>
          <w:position w:val="0"/>
          <w:sz w:val="18"/>
          <w:u w:val="none"/>
          <w:vertAlign w:val="baseline"/>
        </w:rPr>
        <w:t>“When contract is deemed to be broken by employer and employee</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15. (1) An employer shall be deemed to have broken his contract of service with the employee if he fails to pay wages in accordance with Part III.</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(2) An employee shall be deemed to have broken his contract of service with the employer if he has been continuously absent from work for more than two consecutive working days without prior leave from his employer, unless he has a reasonable excuse for such absence and has informed or attempted to inform his employer of such excuse prior to or at the earliest opportunity during such absence.</w:t>
      </w:r>
      <w:r>
        <w:rPr>
          <w:rFonts w:ascii="arial" w:eastAsia="arial" w:hAnsi="arial" w:cs="arial"/>
          <w:b w:val="0"/>
          <w:i w:val="0"/>
          <w:strike w:val="0"/>
          <w:noProof w:val="0"/>
          <w:color w:val="000000"/>
          <w:position w:val="0"/>
          <w:sz w:val="18"/>
          <w:u w:val="none"/>
          <w:vertAlign w:val="baseline"/>
        </w:rPr>
        <w:t>”</w:t>
      </w:r>
      <w:r>
        <w:t>
</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section 15 of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is a deeming provision as stated by the Learned Chairman in the Industrial Court case of </w:t>
      </w:r>
      <w:r>
        <w:rPr>
          <w:rFonts w:ascii="arial" w:eastAsia="arial" w:hAnsi="arial" w:cs="arial"/>
          <w:b w:val="0"/>
          <w:i/>
          <w:strike w:val="0"/>
          <w:noProof w:val="0"/>
          <w:color w:val="000000"/>
          <w:position w:val="0"/>
          <w:sz w:val="24"/>
          <w:u w:val="none"/>
          <w:vertAlign w:val="baseline"/>
        </w:rPr>
        <w:t xml:space="preserve">Fujikura Federal Cables (M) Sdn. Bhd. v Mahendiran A/L Muniandy  </w:t>
      </w:r>
      <w:r>
        <w:rPr>
          <w:rFonts w:ascii="arial" w:eastAsia="arial" w:hAnsi="arial" w:cs="arial"/>
          <w:b w:val="0"/>
          <w:i w:val="0"/>
          <w:strike w:val="0"/>
          <w:noProof w:val="0"/>
          <w:color w:val="000000"/>
          <w:position w:val="0"/>
          <w:sz w:val="24"/>
          <w:u w:val="none"/>
          <w:vertAlign w:val="baseline"/>
        </w:rPr>
        <w:t xml:space="preserve">[1991] 1 ILR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follows:</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You have been absent from work for three consecutive working days, that is, 3 May to 5 May 1989 without prior leave or any notification. Please take note that in accordance with</w:t>
      </w:r>
      <w:r>
        <w:rPr>
          <w:rFonts w:ascii="arial" w:eastAsia="arial" w:hAnsi="arial" w:cs="arial"/>
          <w:b w:val="0"/>
          <w:i w:val="0"/>
          <w:strike w:val="0"/>
          <w:noProof w:val="0"/>
          <w:color w:val="000000"/>
          <w:position w:val="0"/>
          <w:sz w:val="18"/>
          <w:u w:val="none"/>
          <w:vertAlign w:val="baseline"/>
        </w:rPr>
        <w:t xml:space="preserve"> s.15(2) of the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1955 </w:t>
      </w:r>
      <w:r>
        <w:rPr>
          <w:rFonts w:ascii="arial" w:eastAsia="arial" w:hAnsi="arial" w:cs="arial"/>
          <w:b w:val="0"/>
          <w:i/>
          <w:strike w:val="0"/>
          <w:noProof w:val="0"/>
          <w:color w:val="000000"/>
          <w:position w:val="0"/>
          <w:sz w:val="18"/>
          <w:u w:val="none"/>
          <w:vertAlign w:val="baseline"/>
        </w:rPr>
        <w:t>you are deemed to have broken your contract of service. Be informed further that unless you have a reasonable excuse for such absence, your service is hereby deemed to have been terminated with effect from 6 May 1989.</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In the case of National Union of Plantation Workers v. Gim Aik Estates Sdn. Bhd. Malacca (Award No. 55/82) cited in Federal Aluminium Sdn. Bhd. Prai v. Kochunni a/l Kuttan Nair, Penang, Award No. 123/86</w:t>
      </w:r>
      <w:r>
        <w:rPr>
          <w:rFonts w:ascii="arial" w:eastAsia="arial" w:hAnsi="arial" w:cs="arial"/>
          <w:b/>
          <w:i/>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 His Lordship Justice Harun said:</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There is no such thing as a statutory termination. Breach of contract of service and termination of employment are two different things. A breach of contract of service may or may not lead to termination of employment. Section 15 of the Ordinance is only a deeming provision.</w:t>
      </w:r>
      <w:r>
        <w:rPr>
          <w:rFonts w:ascii="arial" w:eastAsia="arial" w:hAnsi="arial" w:cs="arial"/>
          <w:b w:val="0"/>
          <w:i w:val="0"/>
          <w:strike w:val="0"/>
          <w:noProof w:val="0"/>
          <w:color w:val="000000"/>
          <w:position w:val="0"/>
          <w:sz w:val="18"/>
          <w:u w:val="none"/>
          <w:vertAlign w:val="baseline"/>
        </w:rPr>
        <w:t>”</w:t>
      </w:r>
      <w:r>
        <w:t>
</w:t>
      </w:r>
    </w:p>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Learned Chairman in the Industrial Court case of </w:t>
      </w:r>
      <w:r>
        <w:rPr>
          <w:rFonts w:ascii="arial" w:eastAsia="arial" w:hAnsi="arial" w:cs="arial"/>
          <w:b w:val="0"/>
          <w:i/>
          <w:strike w:val="0"/>
          <w:noProof w:val="0"/>
          <w:color w:val="000000"/>
          <w:position w:val="0"/>
          <w:sz w:val="24"/>
          <w:u w:val="none"/>
          <w:vertAlign w:val="baseline"/>
        </w:rPr>
        <w:t xml:space="preserve">Fujikura Federal Cables (M) Sdn. Bhd. v Mahendiran A/L Muniandy  </w:t>
      </w:r>
      <w:r>
        <w:rPr>
          <w:rFonts w:ascii="arial" w:eastAsia="arial" w:hAnsi="arial" w:cs="arial"/>
          <w:b w:val="0"/>
          <w:i w:val="0"/>
          <w:strike w:val="0"/>
          <w:noProof w:val="0"/>
          <w:color w:val="000000"/>
          <w:position w:val="0"/>
          <w:sz w:val="24"/>
          <w:u w:val="none"/>
          <w:vertAlign w:val="baseline"/>
        </w:rPr>
        <w:t xml:space="preserve">[1991] 1 ILR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further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[4] The company’s letter of termination is misleading and intentionally false, in that it claims ‘no reasonable excuse’ was given for the claimant’s absence, when in fact the claimant fully explained his absence from work to A on 5 May 1989; it is also clear that he informed the company on the 4</w:t>
      </w:r>
      <w:r>
        <w:rPr>
          <w:rFonts w:ascii="arial" w:eastAsia="arial" w:hAnsi="arial" w:cs="arial"/>
          <w:b w:val="0"/>
          <w:i/>
          <w:strike w:val="0"/>
          <w:noProof w:val="0"/>
          <w:color w:val="000000"/>
          <w:position w:val="0"/>
          <w:sz w:val="18"/>
          <w:u w:val="none"/>
          <w:vertAlign w:val="superscript"/>
        </w:rPr>
        <w:t>th</w:t>
      </w:r>
      <w:r>
        <w:rPr>
          <w:rFonts w:ascii="arial" w:eastAsia="arial" w:hAnsi="arial" w:cs="arial"/>
          <w:b w:val="0"/>
          <w:i/>
          <w:strike w:val="0"/>
          <w:noProof w:val="0"/>
          <w:color w:val="000000"/>
          <w:position w:val="0"/>
          <w:sz w:val="18"/>
          <w:u w:val="none"/>
          <w:vertAlign w:val="baseline"/>
        </w:rPr>
        <w:t xml:space="preserve"> of his absence from work on the 3</w:t>
      </w:r>
      <w:r>
        <w:rPr>
          <w:rFonts w:ascii="arial" w:eastAsia="arial" w:hAnsi="arial" w:cs="arial"/>
          <w:b w:val="0"/>
          <w:i/>
          <w:strike w:val="0"/>
          <w:noProof w:val="0"/>
          <w:color w:val="000000"/>
          <w:position w:val="0"/>
          <w:sz w:val="18"/>
          <w:u w:val="none"/>
          <w:vertAlign w:val="superscript"/>
        </w:rPr>
        <w:t>rd</w:t>
      </w:r>
      <w:r>
        <w:rPr>
          <w:rFonts w:ascii="arial" w:eastAsia="arial" w:hAnsi="arial" w:cs="arial"/>
          <w:b w:val="0"/>
          <w:i/>
          <w:strike w:val="0"/>
          <w:noProof w:val="0"/>
          <w:color w:val="000000"/>
          <w:position w:val="0"/>
          <w:sz w:val="18"/>
          <w:u w:val="none"/>
          <w:vertAlign w:val="baseline"/>
        </w:rPr>
        <w:t xml:space="preserve"> before the lapse of 48 hours.</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[5] (a) Neither</w:t>
      </w:r>
      <w:r>
        <w:rPr>
          <w:rFonts w:ascii="arial" w:eastAsia="arial" w:hAnsi="arial" w:cs="arial"/>
          <w:b w:val="0"/>
          <w:i w:val="0"/>
          <w:strike w:val="0"/>
          <w:noProof w:val="0"/>
          <w:color w:val="000000"/>
          <w:position w:val="0"/>
          <w:sz w:val="18"/>
          <w:u w:val="none"/>
          <w:vertAlign w:val="baseline"/>
        </w:rPr>
        <w:t xml:space="preserve"> s.15(2) nor 60(B)(2)(B)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stipulate that an employee must inform the company in writing of his reasonable excuse for his absence from work without prior leave, though it might he desirable to do so except where a workman cannot write; (b) neither does the company’s rules state that information relating to sickness or hospitalisation must be conveyed in writing; (c) Personnel Managers should not insist on a written explanation from a workman as though it was a rule of law, and penalise a workman for not doing so when Parliament in its wisdom did not stipulate such a rule or condition in the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1955.</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[6] (a) The Industrial Court, in consonance with the principles of social justice, is always mindful of the principle of security of tenure in a deserving case. The dismissal of the claimant without even as much as a warning, assuming he had contravened</w:t>
      </w:r>
      <w:r>
        <w:rPr>
          <w:rFonts w:ascii="arial" w:eastAsia="arial" w:hAnsi="arial" w:cs="arial"/>
          <w:b w:val="0"/>
          <w:i w:val="0"/>
          <w:strike w:val="0"/>
          <w:noProof w:val="0"/>
          <w:color w:val="000000"/>
          <w:position w:val="0"/>
          <w:sz w:val="18"/>
          <w:u w:val="none"/>
          <w:vertAlign w:val="baseline"/>
        </w:rPr>
        <w:t xml:space="preserve"> s.15(2) and s.60F(2)(b)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is in all circumstances of this case too drastic, if not draconian; (b) the claimant in this case has reasonably rebutted the presumption that he has broken his contract of service under</w:t>
      </w:r>
      <w:r>
        <w:rPr>
          <w:rFonts w:ascii="arial" w:eastAsia="arial" w:hAnsi="arial" w:cs="arial"/>
          <w:b w:val="0"/>
          <w:i w:val="0"/>
          <w:strike w:val="0"/>
          <w:noProof w:val="0"/>
          <w:color w:val="000000"/>
          <w:position w:val="0"/>
          <w:sz w:val="18"/>
          <w:u w:val="none"/>
          <w:vertAlign w:val="baseline"/>
        </w:rPr>
        <w:t xml:space="preserve"> s.15(2)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and</w:t>
      </w:r>
      <w:r>
        <w:t>
</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abandonment means that the Claimant had simply left without notifying the Company and could not be contacted. However, in the present case this did not happen, i.e. there was no abandonment of employment, as the parties were in communication and at loggerheads on a certain pertinent and important issue i.e. the Claimant’s request to teach lessons online due to the COVID-19 situation and the refusal by the Company to consider the said request;</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regards the upper secondary teacher, one Gayathry, being contracted with COVID-19, –</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was being evasive during cross-examination when asked about the medical leave pertaining to the said upper secondary teacher;</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WhatsApp conversation between the Claimant and Gayathry on 10</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whereby words such as “symptoms” were used, goes to proof that Gayathry was infact taken ill not because of a mild flu or a common cold but due to COVID-19;</w:t>
      </w:r>
    </w:p>
    <w:p>
      <w:pPr>
        <w:keepNext w:val="0"/>
        <w:numPr>
          <w:numId w:val="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adverse inference can be drawn against the Company as the said upper secondary teacher was not called as a witness by the Company, even though she is still employed by the Company, to proof that she had not contracted COVID-19; and</w:t>
      </w:r>
    </w:p>
    <w:p>
      <w:pPr>
        <w:keepNext w:val="0"/>
        <w:numPr>
          <w:numId w:val="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reliance could be made to the Industrial Court case of </w:t>
      </w:r>
      <w:r>
        <w:rPr>
          <w:rFonts w:ascii="arial" w:eastAsia="arial" w:hAnsi="arial" w:cs="arial"/>
          <w:b w:val="0"/>
          <w:i/>
          <w:strike w:val="0"/>
          <w:noProof w:val="0"/>
          <w:color w:val="000000"/>
          <w:position w:val="0"/>
          <w:sz w:val="24"/>
          <w:u w:val="none"/>
          <w:vertAlign w:val="baseline"/>
        </w:rPr>
        <w:t xml:space="preserve">Tan Ching Wee v Guocera Tile Industries (Meru) Sdn Bhd  </w:t>
      </w:r>
      <w:r>
        <w:rPr>
          <w:rFonts w:ascii="arial" w:eastAsia="arial" w:hAnsi="arial" w:cs="arial"/>
          <w:b w:val="0"/>
          <w:i w:val="0"/>
          <w:strike w:val="0"/>
          <w:noProof w:val="0"/>
          <w:color w:val="000000"/>
          <w:position w:val="0"/>
          <w:sz w:val="24"/>
          <w:u w:val="none"/>
          <w:vertAlign w:val="baseline"/>
        </w:rPr>
        <w:t>[2023] 3 ILR 374, whereby at p.417, her Ladyship stated as follows:</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“[185] In the Supreme Court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Munusamy Vengadasalam v. PP  </w:t>
      </w:r>
      <w:r>
        <w:rPr>
          <w:rFonts w:ascii="arial" w:eastAsia="arial" w:hAnsi="arial" w:cs="arial"/>
          <w:b w:val="0"/>
          <w:i w:val="0"/>
          <w:strike w:val="0"/>
          <w:noProof w:val="0"/>
          <w:color w:val="000000"/>
          <w:position w:val="0"/>
          <w:sz w:val="18"/>
          <w:u w:val="none"/>
          <w:vertAlign w:val="baseline"/>
        </w:rPr>
        <w:t>[1987] 1 CLJ 250</w:t>
      </w:r>
      <w:r>
        <w:rPr>
          <w:rFonts w:ascii="arial" w:eastAsia="arial" w:hAnsi="arial" w:cs="arial"/>
          <w:b w:val="0"/>
          <w:i/>
          <w:strike w:val="0"/>
          <w:noProof w:val="0"/>
          <w:color w:val="000000"/>
          <w:position w:val="0"/>
          <w:sz w:val="18"/>
          <w:u w:val="none"/>
          <w:vertAlign w:val="baseline"/>
        </w:rPr>
        <w:t xml:space="preserve"> discussed the circumstances when an adverse inference can arise and stated the following:</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It is essential to appreciate the scope of</w:t>
      </w:r>
      <w:r>
        <w:rPr>
          <w:rFonts w:ascii="arial" w:eastAsia="arial" w:hAnsi="arial" w:cs="arial"/>
          <w:b w:val="0"/>
          <w:i w:val="0"/>
          <w:strike w:val="0"/>
          <w:noProof w:val="0"/>
          <w:color w:val="000000"/>
          <w:position w:val="0"/>
          <w:sz w:val="18"/>
          <w:u w:val="none"/>
          <w:vertAlign w:val="baseline"/>
        </w:rPr>
        <w:t xml:space="preserve"> s. 114 (g) </w:t>
      </w:r>
      <w:r>
        <w:rPr>
          <w:rFonts w:ascii="arial" w:eastAsia="arial" w:hAnsi="arial" w:cs="arial"/>
          <w:b w:val="0"/>
          <w:i/>
          <w:strike w:val="0"/>
          <w:noProof w:val="0"/>
          <w:color w:val="000000"/>
          <w:position w:val="0"/>
          <w:sz w:val="18"/>
          <w:u w:val="none"/>
          <w:vertAlign w:val="baseline"/>
        </w:rPr>
        <w:t>lest it be carried too far outside its limit. An Adverse inference under that illustration can only be drawn if there is withholding or suppression of evidence and not merely an account of failure to obtain evidence. It may be drawn from withholding not just any document, but material document by a party in his possession, or for non-production of not just any witness but an important witness to the case.</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[186] Ms Chin Huey Min who was the claimant’s superior officer could have shed more light on the role and responsibility of the claimant in the Poppi Project. Not securing her appearance in court also invokes adverse inference against the company as she is also a material witness.</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[187] On the facts of the present case, the claimant was alleged to be the person in charge of the Poppi Project however documentation and testimonial of witnesses show that either David Kelly is most likely the person in charge of Poppi Project. Therefore, securing his presence in this court would have shed some light to the accountability and liability of the Poppi Project.</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[188] Therefore, this court appreciates that David Kelly played a pivotal role in the Poppi Project and the failure to call him as a witness in this case would raise an adverse inference against the company as David Kelly is a material witness.</w:t>
      </w:r>
      <w:r>
        <w:rPr>
          <w:rFonts w:ascii="arial" w:eastAsia="arial" w:hAnsi="arial" w:cs="arial"/>
          <w:b w:val="0"/>
          <w:i w:val="0"/>
          <w:strike w:val="0"/>
          <w:noProof w:val="0"/>
          <w:color w:val="000000"/>
          <w:position w:val="0"/>
          <w:sz w:val="18"/>
          <w:u w:val="none"/>
          <w:vertAlign w:val="baseline"/>
        </w:rPr>
        <w:t xml:space="preserve"> “;</w:t>
      </w:r>
      <w:r>
        <w:t>
</w:t>
      </w:r>
    </w:p>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based on the principle enunciated in the Industrial Court case of </w:t>
      </w:r>
      <w:r>
        <w:rPr>
          <w:rFonts w:ascii="arial" w:eastAsia="arial" w:hAnsi="arial" w:cs="arial"/>
          <w:b w:val="0"/>
          <w:i/>
          <w:strike w:val="0"/>
          <w:noProof w:val="0"/>
          <w:color w:val="000000"/>
          <w:position w:val="0"/>
          <w:sz w:val="24"/>
          <w:u w:val="none"/>
          <w:vertAlign w:val="baseline"/>
        </w:rPr>
        <w:t xml:space="preserve">Norsechem Latex Products (M) Sdn. Bhd. v Nalang Kani A/P Suppiah  </w:t>
      </w:r>
      <w:r>
        <w:rPr>
          <w:rFonts w:ascii="arial" w:eastAsia="arial" w:hAnsi="arial" w:cs="arial"/>
          <w:b w:val="0"/>
          <w:i w:val="0"/>
          <w:strike w:val="0"/>
          <w:noProof w:val="0"/>
          <w:color w:val="000000"/>
          <w:position w:val="0"/>
          <w:sz w:val="24"/>
          <w:u w:val="none"/>
          <w:vertAlign w:val="baseline"/>
        </w:rPr>
        <w:t xml:space="preserve">[1993] 2 ILR 392, the Company’s refusal in approving the Claimant’s leave application was totally unreasonable as there was a genuine reason for the said application i.e. at that particular time an upper secondary teacher had contracted COVID-19 and was put on medical leave. The Learned Chairman in the abovementioned case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[t]he granting of annual leave is at the absolute discretion of the Management and not as a matter of right. It is difficult to lay down the circumstances when leave should be refused or granted. It would be unfair to refuse leave when one has to attend the funeral of a close relative, neighbour, friend or take one’s ailing wife for medical help. However, celebrating a child’s birthday may not be a matter of urgency such as the other situations merit. As such it should not override the exigency of one’s service</w:t>
      </w:r>
      <w:r>
        <w:rPr>
          <w:rFonts w:ascii="arial" w:eastAsia="arial" w:hAnsi="arial" w:cs="arial"/>
          <w:b w:val="0"/>
          <w:i w:val="0"/>
          <w:strike w:val="0"/>
          <w:noProof w:val="0"/>
          <w:color w:val="000000"/>
          <w:position w:val="0"/>
          <w:sz w:val="24"/>
          <w:u w:val="none"/>
          <w:vertAlign w:val="baseline"/>
        </w:rPr>
        <w:t xml:space="preserve"> “. For purposes of the present case, during those unprecedented times, COVID-19 close contacts cases were encouraged to perform self-quarantine;</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appears to condone the action taken by the Claimant by not issuing any warning or show cause letter to the Claimant even though the Company had alleged that the Claimant was neglecting her duties when she did not appear physically at the school on 15 th February 2022 and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 in his testimony agreed that the Claimant’s employment was prematurely terminated on 21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February 2022, i.e. before the expiry of the extended probation period, and the reason for the termination of the Claimant’s employment was not due to the Claimant’s poor performance;</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during examination-in-chief, the Claimant testified,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she knew Gayathry, who is also a relative to one of the Company’s management staff, had contracted COVID-19 based on their conversation </w:t>
      </w:r>
      <w:r>
        <w:rPr>
          <w:rFonts w:ascii="arial" w:eastAsia="arial" w:hAnsi="arial" w:cs="arial"/>
          <w:b w:val="0"/>
          <w:i/>
          <w:strike w:val="0"/>
          <w:noProof w:val="0"/>
          <w:color w:val="000000"/>
          <w:position w:val="0"/>
          <w:sz w:val="24"/>
          <w:u w:val="none"/>
          <w:vertAlign w:val="baseline"/>
        </w:rPr>
        <w:t>via</w:t>
      </w:r>
      <w:r>
        <w:rPr>
          <w:rFonts w:ascii="arial" w:eastAsia="arial" w:hAnsi="arial" w:cs="arial"/>
          <w:b w:val="0"/>
          <w:i w:val="0"/>
          <w:strike w:val="0"/>
          <w:noProof w:val="0"/>
          <w:color w:val="000000"/>
          <w:position w:val="0"/>
          <w:sz w:val="24"/>
          <w:u w:val="none"/>
          <w:vertAlign w:val="baseline"/>
        </w:rPr>
        <w:t xml:space="preserve"> WhatsApp; and</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fact that Gayathry had contracted COVID-19 was known by the Company’s management but was being kept secret;</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testimony in relation to the above was never challenged by the Company and in reference to the Industrial Court case of </w:t>
      </w:r>
      <w:r>
        <w:rPr>
          <w:rFonts w:ascii="arial" w:eastAsia="arial" w:hAnsi="arial" w:cs="arial"/>
          <w:b w:val="0"/>
          <w:i/>
          <w:strike w:val="0"/>
          <w:noProof w:val="0"/>
          <w:color w:val="000000"/>
          <w:position w:val="0"/>
          <w:sz w:val="24"/>
          <w:u w:val="none"/>
          <w:vertAlign w:val="baseline"/>
        </w:rPr>
        <w:t xml:space="preserve">SKB Shutters Manufacturing Sdn Bhd v Chan Kok Leong &amp; Ors  </w:t>
      </w:r>
      <w:r>
        <w:rPr>
          <w:rFonts w:ascii="arial" w:eastAsia="arial" w:hAnsi="arial" w:cs="arial"/>
          <w:b w:val="0"/>
          <w:i w:val="0"/>
          <w:strike w:val="0"/>
          <w:noProof w:val="0"/>
          <w:color w:val="000000"/>
          <w:position w:val="0"/>
          <w:sz w:val="24"/>
          <w:u w:val="none"/>
          <w:vertAlign w:val="baseline"/>
        </w:rPr>
        <w:t xml:space="preserve">[2004] 1 ILR 1284, whereby at pp. 1287 – 1288,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The court arrives at the conclusion that the company accepted the claimants’ testimony because it is a general rule that a failure to cross- examine a witness on a crucial part of the case will amount to an acceptance of the witness’s testimony. Counsel for the claimants had referred to Court of Appeal’s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Ng Hee Thong &amp; Anor v. Public Bank Bhd  </w:t>
      </w:r>
      <w:r>
        <w:rPr>
          <w:rFonts w:ascii="arial" w:eastAsia="arial" w:hAnsi="arial" w:cs="arial"/>
          <w:b w:val="0"/>
          <w:i w:val="0"/>
          <w:strike w:val="0"/>
          <w:noProof w:val="0"/>
          <w:color w:val="000000"/>
          <w:position w:val="0"/>
          <w:sz w:val="18"/>
          <w:u w:val="none"/>
          <w:vertAlign w:val="baseline"/>
        </w:rPr>
        <w:t>[1995] 1 CLJ 609</w:t>
      </w:r>
      <w:r>
        <w:rPr>
          <w:rFonts w:ascii="arial" w:eastAsia="arial" w:hAnsi="arial" w:cs="arial"/>
          <w:b w:val="0"/>
          <w:i/>
          <w:strike w:val="0"/>
          <w:noProof w:val="0"/>
          <w:color w:val="000000"/>
          <w:position w:val="0"/>
          <w:sz w:val="18"/>
          <w:u w:val="none"/>
          <w:vertAlign w:val="baseline"/>
        </w:rPr>
        <w:t>. In the said case Gopal Sri Ram JCA has at p. 614 stated:</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Now, it is a well settled principle governing the evaluation of affidavit evidence that where one party makes a positive assertion upon a material issue, the failure of his opponent to contradict is usually treated as an admission by him of the fact so asserted: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Alloy Automotive Sdn. Bhd. v. Perusahaan Ironfield Sdn. Bhd.  </w:t>
      </w:r>
      <w:r>
        <w:rPr>
          <w:rFonts w:ascii="arial" w:eastAsia="arial" w:hAnsi="arial" w:cs="arial"/>
          <w:b w:val="0"/>
          <w:i w:val="0"/>
          <w:strike w:val="0"/>
          <w:noProof w:val="0"/>
          <w:color w:val="000000"/>
          <w:position w:val="0"/>
          <w:sz w:val="18"/>
          <w:u w:val="none"/>
          <w:vertAlign w:val="baseline"/>
        </w:rPr>
        <w:t>[1986] 1 MLJ 382</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Overseas Investment Pte Ltd. v. O’Brien  </w:t>
      </w:r>
      <w:r>
        <w:rPr>
          <w:rFonts w:ascii="arial" w:eastAsia="arial" w:hAnsi="arial" w:cs="arial"/>
          <w:b w:val="0"/>
          <w:i w:val="0"/>
          <w:strike w:val="0"/>
          <w:noProof w:val="0"/>
          <w:color w:val="000000"/>
          <w:position w:val="0"/>
          <w:sz w:val="18"/>
          <w:u w:val="none"/>
          <w:vertAlign w:val="baseline"/>
        </w:rPr>
        <w:t>[1988] 3 MLJ 332</w:t>
      </w:r>
      <w:r>
        <w:rPr>
          <w:rFonts w:ascii="arial" w:eastAsia="arial" w:hAnsi="arial" w:cs="arial"/>
          <w:b w:val="0"/>
          <w:i/>
          <w:strike w:val="0"/>
          <w:noProof w:val="0"/>
          <w:color w:val="000000"/>
          <w:position w:val="0"/>
          <w:sz w:val="18"/>
          <w:u w:val="none"/>
          <w:vertAlign w:val="baseline"/>
        </w:rPr>
        <w:t>.</w:t>
      </w:r>
      <w:r>
        <w:t>
</w:t>
      </w:r>
    </w:p>
    <w:p/>
    <w:p>
      <w:pPr>
        <w:keepNext w:val="0"/>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Applying the principle of law laid down in the above cited authorities to the facts in the present case it can be seen firstly that there was the firm statement by the claimants in their examination-in-chief that they were dismissed. Then it can be seen that there was no challenge in their cross- examination that they had resigned and not that they were dismissed. Since there was no challenge in their cross-examination that they had resigned that must be taken as an acceptance by the company that the claimants had been dismissed…</w:t>
      </w:r>
      <w:r>
        <w:rPr>
          <w:rFonts w:ascii="arial" w:eastAsia="arial" w:hAnsi="arial" w:cs="arial"/>
          <w:b w:val="0"/>
          <w:i w:val="0"/>
          <w:strike w:val="0"/>
          <w:noProof w:val="0"/>
          <w:color w:val="000000"/>
          <w:position w:val="0"/>
          <w:sz w:val="18"/>
          <w:u w:val="none"/>
          <w:vertAlign w:val="baseline"/>
        </w:rPr>
        <w:t>”.</w:t>
      </w:r>
      <w:r>
        <w:t>
</w:t>
      </w:r>
    </w:p>
    <w:p/>
    <w:p>
      <w:pPr>
        <w:keepNext w:val="0"/>
        <w:spacing w:before="120" w:after="0" w:line="300" w:lineRule="atLeast"/>
        <w:ind w:left="0" w:right="0" w:firstLine="0"/>
        <w:jc w:val="both"/>
      </w:pP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The Claimant,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Claimant’s Written Submissions in Reply dated 29</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January 2024, further submits that –</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burden is on the Company to produce Lavanya Singham as a witness since she had taken the position that the claims made by the Claimant that one of the upper secondary teachers employed by the Company, one Gayathry, had contracted COVID-19 were baseless and unfounded. As the Company failed to do so, this Court should draw an “adverse inference” against the Company;</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main issue that needs to be determined by this Court is whether the reason for termination as per the Termination Letter has been made out i.e. job abandonment by the Claimant;</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failed to show any concrete proof that the Claimant had abandoned her employment as the Claimant was in communication with the Company at all material time and that the Claimant had a valid reason to justify her absence as there was no clear standard operating procedure to be followed. Thus, reasonable precautions were expected to be taken without the need to wait for any announcement from the Company or an order from the Ministry of Health. Moreover, the Company was really trying to sweep matters under the carpet and further concealed the fact that one of its staff has contracted COVID-19;</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issue that the Claimant had wanted to resign is no longer relevant as the Company had replied vide WhatsApp on 11 th February 2022 “</w:t>
      </w:r>
      <w:r>
        <w:rPr>
          <w:rFonts w:ascii="arial" w:eastAsia="arial" w:hAnsi="arial" w:cs="arial"/>
          <w:b w:val="0"/>
          <w:i/>
          <w:strike w:val="0"/>
          <w:noProof w:val="0"/>
          <w:color w:val="000000"/>
          <w:position w:val="0"/>
          <w:sz w:val="24"/>
          <w:u w:val="none"/>
          <w:vertAlign w:val="baseline"/>
        </w:rPr>
        <w:t>that is not accepted</w:t>
      </w:r>
      <w:r>
        <w:rPr>
          <w:rFonts w:ascii="arial" w:eastAsia="arial" w:hAnsi="arial" w:cs="arial"/>
          <w:b w:val="0"/>
          <w:i w:val="0"/>
          <w:strike w:val="0"/>
          <w:noProof w:val="0"/>
          <w:color w:val="000000"/>
          <w:position w:val="0"/>
          <w:sz w:val="24"/>
          <w:u w:val="none"/>
          <w:vertAlign w:val="baseline"/>
        </w:rPr>
        <w:t>” when the Claimant had conveyed her intention to do so;</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tactical maneuver as submitted by the Company was never put to the Claimant during the Claimant’s cross examination. Thus, the Company should not be allowed to bring in new evidence at the submission stage;</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is immaterial whether the Claimant was in close contact with Gayathry as it is the Company’s responsibility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proactively to address the issue raised by the Claimant and this does not mean that the Claimant’s leave can be arbitrarily withheld;</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cases cited by the Company that going on leave without approval should be construed as a major misconduct are not applicable to the present case as there were communications between the Claimant and the Company and the Claimant had also stated that she was ready to conduct online classes. As this was not even ventilated by the Company during trial, the Claimant’s conduct should not be labelled as a “Major Misconduct”. Furthermore, the Industrial Court case of </w:t>
      </w:r>
      <w:r>
        <w:rPr>
          <w:rFonts w:ascii="arial" w:eastAsia="arial" w:hAnsi="arial" w:cs="arial"/>
          <w:b w:val="0"/>
          <w:i/>
          <w:strike w:val="0"/>
          <w:noProof w:val="0"/>
          <w:color w:val="000000"/>
          <w:position w:val="0"/>
          <w:sz w:val="24"/>
          <w:u w:val="none"/>
          <w:vertAlign w:val="baseline"/>
        </w:rPr>
        <w:t xml:space="preserve">Asahi Industries (M) Sdn Bhd v. Lim Mui Lin  </w:t>
      </w:r>
      <w:r>
        <w:rPr>
          <w:rFonts w:ascii="arial" w:eastAsia="arial" w:hAnsi="arial" w:cs="arial"/>
          <w:b w:val="0"/>
          <w:i w:val="0"/>
          <w:strike w:val="0"/>
          <w:noProof w:val="0"/>
          <w:color w:val="000000"/>
          <w:position w:val="0"/>
          <w:sz w:val="24"/>
          <w:u w:val="none"/>
          <w:vertAlign w:val="baseline"/>
        </w:rPr>
        <w:t>[2000] 2 ILR 29, relied upon the Company about having the trust and confidence was only raised in the Company’s submission and was not mentioned in the Termination Letter;</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regards the Company’s submission that the Claimant’s absence had disrupted the Company’s operation, no evidence had been tendered by the Company relating to the same. Furthermore, this was not the reason cited by the Company in the Termination Letter; and</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regards the Company’s submission that the Company was put at risk and would be liable under the Education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1966 was also not put to the Claimant and no evidence was presented before this Court that the pupils under the Claimant’s supervision were about to sit for any exam. Thus, section 19 of the  Education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1966 is not applicable to the Claimant’s case.</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Remedies sought by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The Claimant prays that this Court makes such order that she be reinstated to her former position without any loss of seniority, salary and benefits, monetary or otherwise and any other relief the Court deems fit.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Role of the Industrial Court, Burden of Proof and Standard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It is noted that the role or function of the Industrial Court has been clearly stated in the following cases:</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Supreme Court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 xml:space="preserve">[1988] 1 CLJ (Rep) 298, where at p. 302, Salleh Abas LP, in delivering the judgment of the Supreme Court, referring to section 20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said, “</w:t>
      </w:r>
      <w:r>
        <w:rPr>
          <w:rFonts w:ascii="arial" w:eastAsia="arial" w:hAnsi="arial" w:cs="arial"/>
          <w:b w:val="0"/>
          <w:i/>
          <w:strike w:val="0"/>
          <w:noProof w:val="0"/>
          <w:color w:val="000000"/>
          <w:position w:val="0"/>
          <w:sz w:val="24"/>
          <w:u w:val="none"/>
          <w:vertAlign w:val="baseline"/>
        </w:rPr>
        <w:t>When the Industrial Court is dealing with a reference under</w:t>
      </w:r>
      <w:r>
        <w:rPr>
          <w:rFonts w:ascii="arial" w:eastAsia="arial" w:hAnsi="arial" w:cs="arial"/>
          <w:b w:val="0"/>
          <w:i w:val="0"/>
          <w:strike w:val="0"/>
          <w:noProof w:val="0"/>
          <w:color w:val="000000"/>
          <w:position w:val="0"/>
          <w:sz w:val="24"/>
          <w:u w:val="none"/>
          <w:vertAlign w:val="baseline"/>
        </w:rPr>
        <w:t xml:space="preserve"> s. 20</w:t>
      </w:r>
      <w:r>
        <w:rPr>
          <w:rFonts w:ascii="arial" w:eastAsia="arial" w:hAnsi="arial" w:cs="arial"/>
          <w:b w:val="0"/>
          <w:i/>
          <w:strike w:val="0"/>
          <w:noProof w:val="0"/>
          <w:color w:val="000000"/>
          <w:position w:val="0"/>
          <w:sz w:val="24"/>
          <w:u w:val="none"/>
          <w:vertAlign w:val="baseline"/>
        </w:rPr>
        <w:t>, the first thing that the Court will have to do is to ask itself a question whether there was a dismissal, and if so, whether it was with or without just cause or excuse</w:t>
      </w:r>
      <w:r>
        <w:rPr>
          <w:rFonts w:ascii="arial" w:eastAsia="arial" w:hAnsi="arial" w:cs="arial"/>
          <w:b w:val="0"/>
          <w:i w:val="0"/>
          <w:strike w:val="0"/>
          <w:noProof w:val="0"/>
          <w:color w:val="000000"/>
          <w:position w:val="0"/>
          <w:sz w:val="24"/>
          <w:u w:val="none"/>
          <w:vertAlign w:val="baseline"/>
        </w:rPr>
        <w:t xml:space="preserve"> “; and</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Federal Court in the case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1 LNS 30, where His Lordship Raja Azlan Shah, CJ (Malaya) (as HRH then was) stated that “</w:t>
      </w:r>
      <w:r>
        <w:rPr>
          <w:rFonts w:ascii="arial" w:eastAsia="arial" w:hAnsi="arial" w:cs="arial"/>
          <w:b w:val="0"/>
          <w:i/>
          <w:strike w:val="0"/>
          <w:noProof w:val="0"/>
          <w:color w:val="000000"/>
          <w:position w:val="0"/>
          <w:sz w:val="24"/>
          <w:u w:val="none"/>
          <w:vertAlign w:val="baseline"/>
        </w:rPr>
        <w:t>Where representations are made and are referred to the Industrial Court for enquiry, it is the duty of that court to determine whether the termination or dismissal is with or without just cause or excuse. If the employer chooses to give a reason for the action taken by him, the duty of the Industrial Court will be to enquire whether that excuse or reason has or has not been made out. If it finds as a fact that it has not been proved, then the inevitable conclusion must be that the termination or dismissal was without just cause or excuse. The proper enquiry of the court is the reason advanced by it and that court or the High Court cannot go into another reason not relied on by the employer or find one for it.</w:t>
      </w:r>
      <w:r>
        <w:rPr>
          <w:rFonts w:ascii="arial" w:eastAsia="arial" w:hAnsi="arial" w:cs="arial"/>
          <w:b w:val="0"/>
          <w:i w:val="0"/>
          <w:strike w:val="0"/>
          <w:noProof w:val="0"/>
          <w:color w:val="000000"/>
          <w:position w:val="0"/>
          <w:sz w:val="24"/>
          <w:u w:val="none"/>
          <w:vertAlign w:val="baseline"/>
        </w:rPr>
        <w:t>”</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It is further noted in cases where a claimant is dismissed by the company, the burden is on the company to proof that the dismissal was with just cause or excuse. In the Industrial Court case of </w:t>
      </w:r>
      <w:r>
        <w:rPr>
          <w:rFonts w:ascii="arial" w:eastAsia="arial" w:hAnsi="arial" w:cs="arial"/>
          <w:b w:val="0"/>
          <w:i/>
          <w:strike w:val="0"/>
          <w:noProof w:val="0"/>
          <w:color w:val="000000"/>
          <w:position w:val="0"/>
          <w:sz w:val="24"/>
          <w:u w:val="none"/>
          <w:vertAlign w:val="baseline"/>
        </w:rPr>
        <w:t xml:space="preserve">Ireka Construction Berhad v Chantiravathan a/l Subramaniam James  </w:t>
      </w:r>
      <w:r>
        <w:rPr>
          <w:rFonts w:ascii="arial" w:eastAsia="arial" w:hAnsi="arial" w:cs="arial"/>
          <w:b w:val="0"/>
          <w:i w:val="0"/>
          <w:strike w:val="0"/>
          <w:noProof w:val="0"/>
          <w:color w:val="000000"/>
          <w:position w:val="0"/>
          <w:sz w:val="24"/>
          <w:u w:val="none"/>
          <w:vertAlign w:val="baseline"/>
        </w:rPr>
        <w:t>[1995] 2 ILR 11, where at p. 15, the Learned Chairman, Her Ladyship Siti Saleha Dato’ Sheikh Abu Bakar, stated “</w:t>
      </w:r>
      <w:r>
        <w:rPr>
          <w:rFonts w:ascii="arial" w:eastAsia="arial" w:hAnsi="arial" w:cs="arial"/>
          <w:b w:val="0"/>
          <w:i/>
          <w:strike w:val="0"/>
          <w:noProof w:val="0"/>
          <w:color w:val="000000"/>
          <w:position w:val="0"/>
          <w:sz w:val="24"/>
          <w:u w:val="none"/>
          <w:vertAlign w:val="baseline"/>
        </w:rPr>
        <w:t>It is a basic principle of industrial jurisprudence that in a dismissal case the employer must produce convincing evidence that the workman committed the offence or offences the workman is alleged to have committed for which he has been dismissed. The burden of proof lies on the employer to prove that he has just cause and excuse for taking the decision to impose the disciplinary measure of dismissal upon the employee. The just cause must be, either a misconduct, negligence or poor performance based on the facts of the case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[2002] 3 CLJ 314 the Court of Appeal had laid down the principle that the standard of proof that is required to prove a case in the Industrial Court is one that is on the balance of probabilities. His lordship Justice Abdul Hamid Mohamad, JCA stated “</w:t>
      </w:r>
      <w:r>
        <w:rPr>
          <w:rFonts w:ascii="arial" w:eastAsia="arial" w:hAnsi="arial" w:cs="arial"/>
          <w:b w:val="0"/>
          <w:i/>
          <w:strike w:val="0"/>
          <w:noProof w:val="0"/>
          <w:color w:val="000000"/>
          <w:position w:val="0"/>
          <w:sz w:val="24"/>
          <w:u w:val="none"/>
          <w:vertAlign w:val="baseline"/>
        </w:rPr>
        <w:t xml:space="preserve">[t]hus, we can see that the preponderant view is that the Industrial Court, when hearing a claim of unjust dismissal, even where the ground is one of dishonest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including “theft”, is not required to be satisfied beyond reasonable doubt that the employee has “committed the offence”, as in a criminal prosecution. On the other hand, we see that the courts and learned authors have used such terms as “solid and sensible grounds”, “sufficient to measure up to a preponderance of the evidence,” “whether a case... has been made out”, “on the balance of probabilities” and “evidence of probative value”. In our view the passage quoted from Administrative Law by H.W.R. Wade &amp; C.F. Forsyth offers the clearest statement on the standard of proof required, that is the civil standard based on the balance of probabilities, which is flexible, so that the degree of probability required is proportionate to the nature of gravity of the issue. But, again, if we may add, these are not “passwords” that the failure to use them or if some other words are used, the decision is automatically rendered bad in law</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Thus, the role or function of the Industrial Court is to determine whether there was a dismissal and if so whether on the balance of probabilities the said dismissal was with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This Court further notes that the Claimant was terminated during her probation period. The Court of Appeal in the case of </w:t>
      </w:r>
      <w:r>
        <w:rPr>
          <w:rFonts w:ascii="arial" w:eastAsia="arial" w:hAnsi="arial" w:cs="arial"/>
          <w:b w:val="0"/>
          <w:i/>
          <w:strike w:val="0"/>
          <w:noProof w:val="0"/>
          <w:color w:val="000000"/>
          <w:position w:val="0"/>
          <w:sz w:val="24"/>
          <w:u w:val="none"/>
          <w:vertAlign w:val="baseline"/>
        </w:rPr>
        <w:t xml:space="preserve">Khaliah Abbas v Pesaka Capital Corporation Sdn Bhd  </w:t>
      </w:r>
      <w:r>
        <w:rPr>
          <w:rFonts w:ascii="arial" w:eastAsia="arial" w:hAnsi="arial" w:cs="arial"/>
          <w:b w:val="0"/>
          <w:i w:val="0"/>
          <w:strike w:val="0"/>
          <w:noProof w:val="0"/>
          <w:color w:val="000000"/>
          <w:position w:val="0"/>
          <w:sz w:val="24"/>
          <w:u w:val="none"/>
          <w:vertAlign w:val="baseline"/>
        </w:rPr>
        <w:t>[1997] 3 CLJ 827 held that an employee on probation enjoys the same rights as a permanent or confirmed employee and his or her services cannot be terminated without just cause or excuse. The Court of Appeal further held that the requirement of bona fide is thus essential in his dismissal. If the dismissal is found to be a colourable exercise of the power to dismiss or a result of discrimination or unfair labour practice, the Industrial Court has the jurisdiction to interfere and set aside such dismissal.</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This Court’s Findings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Having considered the evidence given by the Claimant and the Company as well as the submissions of both the Claimant and the Company, this Court finds that –</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terminated on 21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February 2022 i.e. during her probation period, having worked with the Company for five and a half (5.5) months;</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upon receiving information that one of the upper secondary teachers employed by the Company, one Gayathry, had contracted COVID-19 on or around 8</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the Claimant applied for leave for a period of two (2) weeks from 12</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until 28</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based on the Claimant’s WhatsApp conversation with Gayathry on 10</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this Court tends to believe the Claimant’s assertion that Gayathry had contracted COVID-19;</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is quite peculiar that the Company failed to address the Claimant’s concerns regarding Gayathry and take reasonable precautions relating to the same but instead simply rejected the Claimant’s leave application and claimed that the allegation that one of the teachers employed by the Company had contracted COVID-19 is baseless and unfounded since the Company has never been informed about the matter;</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is also very telling that the Company further submitted that even if it is true that one of the teachers employed by the Company has contracted COVID-19, the Claimant herself admitted in her email to the Company dated 16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that she is not a close contact of the said individual;</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has rightly pointed out that it is immaterial whether the Claimant was in close contact with Gayathry as it is the Company’s responsibility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proactively to address the concerns raised by the Claimant;</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concerns were raised at a time when COVID-19 was still considered a pandemic worldwide. Furthermore, she was concerned about the safety of her family as she is married and has a child;</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20</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the Claimant wrote that she was not able to report to work and was not willing to jeopardize her health or threat to her family. As such, will only be reporting to work on 28 th February 2022;</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submission that the Claimant had abandoned her work and went on leave without approval should be construed as a major misconduct is untenable as the Claimant had been in communication with the Company i.e. the Assistant Principal, one Lavanya Singham, and had emphasized numerous times in her emails that she is willing to work by conducting online classes which was rejected by the Company. Thus, the present case can be clearly distinguished from the cases cited by the Company in submission;</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fact that on 11</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February 2022 the Claimant had “left” the Company’s WhatsApp Groups that had been set up as the main communication platform for purposes of work related matters should not be construed as abandoning her work as she has stated during cross examination she was still keeping in touch with the Company through emails; and</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regards the Company’s submission that the Claimant’s absence had disrupted the Company’s operation and the Company was put at risk and would be liable under the Education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1966, this Court is unable to accept these contentions as these were not pleaded by the Company in its pleadings and no evidence had been tendered by the Company relating to the same.</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Based on the above observations, this Court finds the Company has failed to proof that the Claimant had abandoned her job. As COW-1 had agreed during cross-examination that the probation period for the Claimant’s employment was an automatic six (6) months’ probation as she was not issued with an extension letter and was allowed to continue in her employment after the initial three (3) months’ probation period and that COW-2 in his testimony agreed that the Claimant’s employment was prematurely terminated on 21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February 2022, i.e. before the expiry of the extended probation period, this Court further finds that the Company’s action in terminating the Claimant during the said probation period was too harsh.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Bearing in mind subsection 30(5)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acting according to equity and good conscience and the substantial merits of the case without regard to technicalities and legal form, this Court thus finds that the Claimant’s dismissal was without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This Court will now proceed to consider the appropriate remedy applicable to the Claimant. The Claimant prays that she be reinstated to her former position without any loss of wages, allowance, service and seniority, as well as any other relief the Court deems fit.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Based on the facts of this case, this Court views that reinstatement of the Claimant to her former position is not a suitable remedy and not in the interest of industrial harmony. Hence, the Court will not order reinstatement of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As the Claimant was terminated during her probation period, the appropriate remedy in the circumstances of this case will be in the form of backwages. This Court will also make a deduction as the Claimant is gainfully employed as an Office Manager in a legal firm, drawing a monthly salary of RM4,000.00.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Therefore, based on the Claimant’s last drawn salary of RM3,500.00, the total amount of compensation in back wages payable to the Claimant is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RM3,500.00 x 12 months = RM42,000.00</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Less 10% = RM4,200.00</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RM37,800.00</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Order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This Court hereby orders that the Company pays the Claimant the total sum of </w:t>
      </w:r>
      <w:r>
        <w:rPr>
          <w:rFonts w:ascii="arial" w:eastAsia="arial" w:hAnsi="arial" w:cs="arial"/>
          <w:b/>
          <w:i w:val="0"/>
          <w:strike w:val="0"/>
          <w:noProof w:val="0"/>
          <w:color w:val="000000"/>
          <w:position w:val="0"/>
          <w:sz w:val="24"/>
          <w:u w:val="none"/>
          <w:vertAlign w:val="baseline"/>
        </w:rPr>
        <w:t>Ringgit Malaysia Thirty Seven Thousand and Eight Hundred (RM37,800.00)</w:t>
      </w:r>
      <w:r>
        <w:rPr>
          <w:rFonts w:ascii="arial" w:eastAsia="arial" w:hAnsi="arial" w:cs="arial"/>
          <w:b w:val="0"/>
          <w:i w:val="0"/>
          <w:strike w:val="0"/>
          <w:noProof w:val="0"/>
          <w:color w:val="000000"/>
          <w:position w:val="0"/>
          <w:sz w:val="24"/>
          <w:u w:val="none"/>
          <w:vertAlign w:val="baseline"/>
        </w:rPr>
        <w:t xml:space="preserve"> within 60 days from the date of this Award.</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Gowryprabagari a/p Elankoovan v Stars International Academy Sdn Bhd  [2024] ILJU 181</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v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v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v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x)"/>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x)"/>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x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x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x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x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Gowryprabagari a/p Elankoovan v Stars International Academy Sdn Bhd  [2024] ILJU 181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VP-92Y3-MFJM-X0K7-00000-00">
    <vt:lpwstr>Doc::/shared/document|contextualFeaturePermID::1522468</vt:lpwstr>
  </property>
  <property fmtid="{D5CDD505-2E9C-101B-9397-08002B2CF9AE}" pid="4" name="LNDeliveryID">
    <vt:lpwstr>283274832</vt:lpwstr>
  </property>
  <property fmtid="{D5CDD505-2E9C-101B-9397-08002B2CF9AE}" pid="5" name="UserPermID">
    <vt:lpwstr>urn:user:PA196491919</vt:lpwstr>
  </property>
</Properties>
</file>