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Gurdeep Singh a/l Charan Singh v How Peck Hwa  [2024] ILJU 148</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(PERAK)</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ZULHELMY HASAN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493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3 April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claimant appeared in person (unrepresented).</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respondent appeared in person (unrepresented).</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1"/>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Zulhelmy Hasan C"/>
            <w:bookmarkEnd w:id="1"/>
            <w:r>
              <w:rPr>
                <w:rFonts w:ascii="arial" w:eastAsia="arial" w:hAnsi="arial" w:cs="arial"/>
                <w:b/>
                <w:i w:val="0"/>
                <w:strike w:val="0"/>
                <w:noProof w:val="0"/>
                <w:color w:val="000000"/>
                <w:position w:val="0"/>
                <w:sz w:val="30"/>
                <w:u w:val="none"/>
                <w:vertAlign w:val="baseline"/>
              </w:rPr>
              <w:t>Zulhelmy Hasan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by the Director General of Industrial Relations Department of Malaysia dated 23rd. June 2022 pursuant to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which was received by the Industrial Court of Malaysia on 27th. June 2022 arising out of the alleged dismissal of </w:t>
      </w:r>
      <w:r>
        <w:rPr>
          <w:rFonts w:ascii="arial" w:eastAsia="arial" w:hAnsi="arial" w:cs="arial"/>
          <w:b/>
          <w:i w:val="0"/>
          <w:strike w:val="0"/>
          <w:noProof w:val="0"/>
          <w:color w:val="000000"/>
          <w:position w:val="0"/>
          <w:sz w:val="24"/>
          <w:u w:val="none"/>
          <w:vertAlign w:val="baseline"/>
        </w:rPr>
        <w:t>GURDEEP SINGH A/L CHARAN SINGH</w:t>
      </w:r>
      <w:r>
        <w:rPr>
          <w:rFonts w:ascii="arial" w:eastAsia="arial" w:hAnsi="arial" w:cs="arial"/>
          <w:b w:val="0"/>
          <w:i w:val="0"/>
          <w:strike w:val="0"/>
          <w:noProof w:val="0"/>
          <w:color w:val="000000"/>
          <w:position w:val="0"/>
          <w:sz w:val="24"/>
          <w:u w:val="none"/>
          <w:vertAlign w:val="baseline"/>
        </w:rPr>
        <w:t xml:space="preserve"> (hereinafter referred to as “the Claimant”) by </w:t>
      </w:r>
      <w:r>
        <w:rPr>
          <w:rFonts w:ascii="arial" w:eastAsia="arial" w:hAnsi="arial" w:cs="arial"/>
          <w:b/>
          <w:i w:val="0"/>
          <w:strike w:val="0"/>
          <w:noProof w:val="0"/>
          <w:color w:val="000000"/>
          <w:position w:val="0"/>
          <w:sz w:val="24"/>
          <w:u w:val="none"/>
          <w:vertAlign w:val="baseline"/>
        </w:rPr>
        <w:t>HOW PECK HWA</w:t>
      </w:r>
      <w:r>
        <w:rPr>
          <w:rFonts w:ascii="arial" w:eastAsia="arial" w:hAnsi="arial" w:cs="arial"/>
          <w:b w:val="0"/>
          <w:i w:val="0"/>
          <w:strike w:val="0"/>
          <w:noProof w:val="0"/>
          <w:color w:val="000000"/>
          <w:position w:val="0"/>
          <w:sz w:val="24"/>
          <w:u w:val="none"/>
          <w:vertAlign w:val="baseline"/>
        </w:rPr>
        <w:t xml:space="preserve"> (hereinafter referred to as “the Respondent”) on 04</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October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Backgrounds and Factual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is a retired government servant after serving in the Human Resource Ministry for 35 years with his last position as Assistant Director in Industrial Relations Department. In this representation, the Claimant declares that he was hired as an advisor to handle employment matters of the Respondent under a contract of service with a monthly wage for the duration of his service. The Claimant only charges for additional expenses incurred such as travelling, hotel accommodation and other expenses paid to third parties for consultation or work done.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appointment as an advisor for the Respondent begun when the Claimant was contacted by phone by the Respondent on 19/05/2021 when the Respondent told the Claimant that she was having employment issues and disputes with her current employer who was alleged victimizing her. After further discussion, the Respondent purportedly agreed with the Claimant proposal asking for RM2,000.00 as a remuneration as an advisor with immediate effect until the matter is settled. The Claimant then accepted the job and was asked to start immediately and this being a daily full-time job and he was required to work from home during the Movement Control Order (MCO) at the material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Although the Claimant was not offered of any letter of offer or any written terms of employment nor any contract for service, he started work immediately by providing the following services and all works requested by the Respondent during the following months including attending reconciliation meetings at the Industrial Relations Department until he was allegedly dismissed. The Claimant contended that all job requested on a daily basis was completed after the Respondent claimed for constructive dismissal as the Claimant finally done for her as the followings: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study the Respondent’s employment history till the current situation and advise her accordingly;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daily attend her email, phone calls and WhatsApp messages;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replies, advice and take further instructions;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Draft documents for her approval;</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Seek expert and legal advice whenever required;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Represent the Respondent whenever required;</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Fill necessary forms and questionnaires; and</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Advise, planning and elevate proposals and research.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During the reconciliation meetings at the IR Department which the Claimant attended as a representative for the Respondent, an amicable settlement with the Respondent’s former employer was finally concluded with a settlement sum of RM135,350.00 in favour of the Respondent as at 04/09/2021.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While negotiations were going on, the Claimant purportedly was engaged at the IR Department leading to the amicable settlement between the Respondent and her former employer upon which the Respondent allegedly agreed that the amount due to the Claimant was RM12,000.00 for a total six (6) months wages. On top of the outstanding wages, the Claimant was assured a commission if the settlement between the Respondent and her former employer was successfully concluded.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While the settlement was almost concluded and the settlement agreement pending to be sealed, the Respondent suddenly on 04/10/2021, dismissed the Claimant from his employment without any notice informing him that she has engaged a solicitor to proceed with a civil claim instead. Not long after the dismissal on 04/10/2021, the Respondent immediately proceeded to settle the IR matter and she accepted the compensation from her former employer on 12/10/2021.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In response of the Respondent’s police report accusing the Claimant of threatening her, the Claimant lodged his police report dated 13/10/2021 explaining and denying such allegations by the Respondent against him instead she had dismissed him without paying outstanding wages due to the Claimant as promised by the Respondent for all works done and completed as being her representative during reconciliation process at the IR Department.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Being dissatisfied with the termination of service by the Respondent, the Claimant filed this reference before the Director General of Industrial Relations Malaysia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to this division of the Industrial Court Malaysia for unfair dismissal claim against the Respondent, alleging that his dismissal from the services for the Respondent as her representative in the reconciliation stage at the Industrial Relations Department is without just cause or excuse. Hence, the present claim.</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Claimant avers that he was contacted by phone call by the Respondent on 19/05/2021 and he was informed by the Respondent that she was having employment issues and disputes with her current employer who was victimizing her. As a result, the Respondent finally offer to employ the Claimant as her advisor with immediate effect until the matter is settled and offered a monthly salary of RM2,000.00 but no written contract of service was given as promised.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Respondent had failed to provide the Claimant with a Letter of Offer or Letter of Employment, but she had agreed to reimburse additional fees, charges and expenses incurred for expert and legal advice sought and preparation of documents required.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Claimant states that he did not accept the payment of RM1,000.00 and the Respondent proceeded to the IR Department following the acceptance of the amicable settlement sum which the Claimant had earlier reached and worked it out as her representative. The payment received on 24/05/2021 was for expenses incurred apart from the monthly salary agreed. The Respondent finalized the Claimant’s outstanding salary amounting of RM12,000.00 and further promised a commissions when the negotiation of amicable settlement concluded.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further contends that the Respondent finally told him for not to interfere in the case since her former employer has come to know that she was offer employment with her former company’s competitor before she filed her claim for constructive dismissal and now is soliciting her former company’s customer/client. Then, after seeking her solicitor’s advice, the Claimant was dismissed, and the Respondent lodged her police report against the Claimant alleging threat and extortion upon the Respondent. Further, the Claimant was seriously depressed and lost his dignity when after the dismissal, the Respondent proceeded to lodge a false police report alleging blackmail upon her which she failed to proof of any evidence whatsoever.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Despite the outstanding wages remains unpaid by the Respondent, the Claimant claims that he was unlawfully dismissed from his services without just cause and excuse and the Respondent’s actions were motivated by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victimization and it was affected with ulterior motive of getting rid of the Claimant without paying the outstanding wages as being proposed and agreed between the parties since there exist no written contract of employment. Upon dismissal, the Respondent proceeded to receive the compensation from her former employer at the IR Department to enrich herself.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Claimant submits that he was employed under a contract of service (written of unwritten) under the terms expressed or implied by the Respondent. The Claimant was unlawfully dismissed without just cause and excuse and prays for reinstatement to his former position, full back wages from the date of dismissal until the date of hearing, all outstanding payments including wages due to him and/or any other relief that the Court deems fit and proper to award.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Respondent’s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Respondent states that she did not need to employ anyone as her representative in her employment matter at IR Department, therefore there is no offer made to anyone including the Claimant since she was only seeking for an advice on how to handle her employment matter with her current employer.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No letter of offer been discussed as this is contract for service which has been agreed that the Claimant to assist the Respondent for her IR case with the agreed fee. The Claimant has agreed to be her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for her IR case at the IR Department Ampang, Kuala Lumpur. The Claimant then requested the Respondent to pay him RM250.00 on 24/05/2021 and the Respondent had provided all information to the Claimant for his reference on her constructive dismissal case. Without understanding her issues with her employer, the Claimant unable to determine the matter and cannot advice the Respondent further.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The Respondent contends that no such agreement being discuss or agree, except the Claimant is accusing and tarnishing her reputation. No such agreed monthly salary being agreed but only an accusation from the Claimant for falsely claiming six (6) months wages. The only payment made to the Claimant’s request was for RM250.00 on 24/05/2021 with his acknowledgement received. On 04/08/2021 the Claimant clearly stated that he will be the Respondent’s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for her IR case and no wages agreed and no other charges unless further documents needed to be prepared. The Respondent never issued any employment letter or letter of offer as she did not have a company of her own.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Claimant and the Respondent never meet in person as during MCO and they are communicating via phone, email and WhatsApp. The Respondent found that the Claimant unable to assist her on her IR case, as he repeatedly asking her to resend evidence, records and documents to him, but it was not being helpful at all.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During the reconciliation meeting at the IR Department, the amount of settlement was still in discussion for finalization, but the Claimant who acting as her representative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was trying to persuade the Respondent to accept the compensation and not really in favor to negotiate further for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Respondent had informed the Claimant on 30/09/2021 that due to the unforeseen circumstances to stop his representation service as she found the Claimant was unable to assist her therefore, she needs to find out better solutions on her own to handle the matter at the IR Department. The Claimant was informed by the Respondent via phone but unfortunately, he was displeased instead and kept interfering with her IR case although he was told to cease upon being her representative at once.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In consideration of the Claimant’s assistance for the past two (2) months i.e., 04/08/2021 until 04/10/2021, due to courtesy, the Respondent countered offered him additional RM500.00, but the Claimant refused to accept. On the contrary, he was acted so rude and showed gangsterism by returning mail to the Respondent that he will tarnish her reputation leading the Respondent lodged a police report against him to protect her safety.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The Respondent further contends that since there is no agreed agreement as the Claimant only as her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for her IR case at IR Department Ampang, Kuala Lumpur, this considered as </w:t>
      </w:r>
      <w:r>
        <w:rPr>
          <w:rFonts w:ascii="arial" w:eastAsia="arial" w:hAnsi="arial" w:cs="arial"/>
          <w:b w:val="0"/>
          <w:i/>
          <w:strike w:val="0"/>
          <w:noProof w:val="0"/>
          <w:color w:val="000000"/>
          <w:position w:val="0"/>
          <w:sz w:val="24"/>
          <w:u w:val="none"/>
          <w:vertAlign w:val="baseline"/>
        </w:rPr>
        <w:t>“contract for service”</w:t>
      </w:r>
      <w:r>
        <w:rPr>
          <w:rFonts w:ascii="arial" w:eastAsia="arial" w:hAnsi="arial" w:cs="arial"/>
          <w:b w:val="0"/>
          <w:i w:val="0"/>
          <w:strike w:val="0"/>
          <w:noProof w:val="0"/>
          <w:color w:val="000000"/>
          <w:position w:val="0"/>
          <w:sz w:val="24"/>
          <w:u w:val="none"/>
          <w:vertAlign w:val="baseline"/>
        </w:rPr>
        <w:t xml:space="preserve"> and she can stop the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services at any time. In the sense that the Claimant was not a workman or employee without any written offer letter or letter of employment, the Respondent prays for the Claimant’s claim herein be dismissed.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Cause Papers, Bundle of Documents, Witness Statements &amp; Written Submissions Referred: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hearing of this case was conducted for two (2) days on 11/10/2023 and 01/02/2024. The Respondent started her case by calling herself to testify on her own behalf while it was the same situation for the Claimant as the sole witness in 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In the course of hearing, parties had filed and referred to the following documents:</w:t>
      </w:r>
      <w:r>
        <w: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(Claimant) dated 15/08/2022;</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27/10/2022;</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der dated 28/11/2022;</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Respondent’s Bundle of Documents marked as COB</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Documents (Claimant) dated 18/08/2022 marked as CLB;</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Documents (Claimant) dated 01/02/2024 marked as CLB-1;</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Documents (Claimant) received on 11/03/2024 (unmarked);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w:t>
      </w:r>
      <w:r>
        <w:rPr>
          <w:rFonts w:ascii="arial" w:eastAsia="arial" w:hAnsi="arial" w:cs="arial"/>
          <w:b/>
          <w:i w:val="0"/>
          <w:strike w:val="0"/>
          <w:noProof w:val="0"/>
          <w:color w:val="000000"/>
          <w:position w:val="0"/>
          <w:sz w:val="24"/>
          <w:u w:val="none"/>
          <w:vertAlign w:val="baseline"/>
        </w:rPr>
        <w:t>How Peck Hwa</w:t>
      </w:r>
      <w:r>
        <w:rPr>
          <w:rFonts w:ascii="arial" w:eastAsia="arial" w:hAnsi="arial" w:cs="arial"/>
          <w:b w:val="0"/>
          <w:i w:val="0"/>
          <w:strike w:val="0"/>
          <w:noProof w:val="0"/>
          <w:color w:val="000000"/>
          <w:position w:val="0"/>
          <w:sz w:val="24"/>
          <w:u w:val="none"/>
          <w:vertAlign w:val="baseline"/>
        </w:rPr>
        <w:t xml:space="preserve"> dated 11/10/2023;</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w:t>
      </w:r>
      <w:r>
        <w:rPr>
          <w:rFonts w:ascii="arial" w:eastAsia="arial" w:hAnsi="arial" w:cs="arial"/>
          <w:b/>
          <w:i w:val="0"/>
          <w:strike w:val="0"/>
          <w:noProof w:val="0"/>
          <w:color w:val="000000"/>
          <w:position w:val="0"/>
          <w:sz w:val="24"/>
          <w:u w:val="none"/>
          <w:vertAlign w:val="baseline"/>
        </w:rPr>
        <w:t>Gurdeep Singh a/l Charan Singh</w:t>
      </w:r>
      <w:r>
        <w:rPr>
          <w:rFonts w:ascii="arial" w:eastAsia="arial" w:hAnsi="arial" w:cs="arial"/>
          <w:b w:val="0"/>
          <w:i w:val="0"/>
          <w:strike w:val="0"/>
          <w:noProof w:val="0"/>
          <w:color w:val="000000"/>
          <w:position w:val="0"/>
          <w:sz w:val="24"/>
          <w:u w:val="none"/>
          <w:vertAlign w:val="baseline"/>
        </w:rPr>
        <w:t xml:space="preserve"> dated 01/02/2024;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 (Claimant) dated 11/03/2024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Role &amp; Function of The Industrial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role of the Industrial Court was lucidly explained by His Lordship </w:t>
      </w:r>
      <w:r>
        <w:rPr>
          <w:rFonts w:ascii="arial" w:eastAsia="arial" w:hAnsi="arial" w:cs="arial"/>
          <w:b w:val="0"/>
          <w:i/>
          <w:strike w:val="0"/>
          <w:noProof w:val="0"/>
          <w:color w:val="000000"/>
          <w:position w:val="0"/>
          <w:sz w:val="24"/>
          <w:u w:val="none"/>
          <w:vertAlign w:val="baseline"/>
        </w:rPr>
        <w:t>Raja Azlan Shah</w:t>
      </w:r>
      <w:r>
        <w:rPr>
          <w:rFonts w:ascii="arial" w:eastAsia="arial" w:hAnsi="arial" w:cs="arial"/>
          <w:b w:val="0"/>
          <w:i w:val="0"/>
          <w:strike w:val="0"/>
          <w:noProof w:val="0"/>
          <w:color w:val="000000"/>
          <w:position w:val="0"/>
          <w:sz w:val="24"/>
          <w:u w:val="none"/>
          <w:vertAlign w:val="baseline"/>
        </w:rPr>
        <w:t xml:space="preserve"> CJ (Malaya) (as His Royal Highness then was) in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CLJU 30; ; [1981] 1 LNS 30; ; [1981] 1 MLJ 129</w:t>
      </w:r>
      <w:r>
        <w:rPr>
          <w:rFonts w:ascii="arial" w:eastAsia="arial" w:hAnsi="arial" w:cs="arial"/>
          <w:b/>
          <w:i w:val="0"/>
          <w:strike w:val="0"/>
          <w:noProof w:val="0"/>
          <w:color w:val="000000"/>
          <w:position w:val="0"/>
          <w:sz w:val="24"/>
          <w:u w:val="none"/>
          <w:vertAlign w:val="baseline"/>
        </w:rPr>
        <w:t xml:space="preserve"> at page 136</w:t>
      </w:r>
      <w:r>
        <w:rPr>
          <w:rFonts w:ascii="arial" w:eastAsia="arial" w:hAnsi="arial" w:cs="arial"/>
          <w:b w:val="0"/>
          <w:i w:val="0"/>
          <w:strike w:val="0"/>
          <w:noProof w:val="0"/>
          <w:color w:val="000000"/>
          <w:position w:val="0"/>
          <w:sz w:val="24"/>
          <w:u w:val="none"/>
          <w:vertAlign w:val="baseline"/>
        </w:rPr>
        <w:t xml:space="preserve"> (Federal Court)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 it is the duty of the Court to determine whether the termination or dismissal is with or without just cause or excuse. If the employer chooses to give a reason or excuse for the action taken by him, the duty of the Industrial Court will be to enquire whether that reason or excuse has or has not been made out. If it finds as a fact that it has not been proven, then the inevitable conclusion must be that the termination or dismissal was without just cause or excuse. The proper enquiry of the Court is the reason advanced by the employer, and that court or the High Court cannot go into another reason not relied on by the employer, or find one for him.”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The Federal Court in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[1995] 3 CLJ 344</w:t>
      </w:r>
      <w:r>
        <w:rPr>
          <w:rFonts w:ascii="arial" w:eastAsia="arial" w:hAnsi="arial" w:cs="arial"/>
          <w:b/>
          <w:i w:val="0"/>
          <w:strike w:val="0"/>
          <w:noProof w:val="0"/>
          <w:color w:val="000000"/>
          <w:position w:val="0"/>
          <w:sz w:val="24"/>
          <w:u w:val="none"/>
          <w:vertAlign w:val="baseline"/>
        </w:rPr>
        <w:t xml:space="preserve"> at page 352</w:t>
      </w:r>
      <w:r>
        <w:rPr>
          <w:rFonts w:ascii="arial" w:eastAsia="arial" w:hAnsi="arial" w:cs="arial"/>
          <w:b w:val="0"/>
          <w:i w:val="0"/>
          <w:strike w:val="0"/>
          <w:noProof w:val="0"/>
          <w:color w:val="000000"/>
          <w:position w:val="0"/>
          <w:sz w:val="24"/>
          <w:u w:val="none"/>
          <w:vertAlign w:val="baseline"/>
        </w:rPr>
        <w:t xml:space="preserve"> succinctly stated the function of the Industrial Court in dealing with dismissal cases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“On the authorities, we were of the view that the main and only function of the Industrial Court in dealing with a reference under</w:t>
      </w:r>
      <w:r>
        <w:rPr>
          <w:rFonts w:ascii="arial" w:eastAsia="arial" w:hAnsi="arial" w:cs="arial"/>
          <w:b w:val="0"/>
          <w:i w:val="0"/>
          <w:strike w:val="0"/>
          <w:noProof w:val="0"/>
          <w:color w:val="000000"/>
          <w:position w:val="0"/>
          <w:sz w:val="18"/>
          <w:u w:val="none"/>
          <w:vertAlign w:val="baseline"/>
        </w:rPr>
        <w:t xml:space="preserve"> s. 20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(unless otherwise lawfully provided by the terms of the reference) is to determine whether the misconduct or irregularities complained of by the management as the grounds of dismissal were in fact committed by the workman, and if so, whether such grounds constitute just cause or excuse for the dismissal.”</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The said principle was reiterated in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[1995] 4 CLJ 449</w:t>
      </w:r>
      <w:r>
        <w:rPr>
          <w:rFonts w:ascii="arial" w:eastAsia="arial" w:hAnsi="arial" w:cs="arial"/>
          <w:b/>
          <w:i w:val="0"/>
          <w:strike w:val="0"/>
          <w:noProof w:val="0"/>
          <w:color w:val="000000"/>
          <w:position w:val="0"/>
          <w:sz w:val="24"/>
          <w:u w:val="none"/>
          <w:vertAlign w:val="baseline"/>
        </w:rPr>
        <w:t xml:space="preserve"> at page 454 and 455</w:t>
      </w:r>
      <w:r>
        <w:rPr>
          <w:rFonts w:ascii="arial" w:eastAsia="arial" w:hAnsi="arial" w:cs="arial"/>
          <w:b w:val="0"/>
          <w:i w:val="0"/>
          <w:strike w:val="0"/>
          <w:noProof w:val="0"/>
          <w:color w:val="000000"/>
          <w:position w:val="0"/>
          <w:sz w:val="24"/>
          <w:u w:val="none"/>
          <w:vertAlign w:val="baseline"/>
        </w:rPr>
        <w:t xml:space="preserve"> by the Federal Court, where His Lordship </w:t>
      </w:r>
      <w:r>
        <w:rPr>
          <w:rFonts w:ascii="arial" w:eastAsia="arial" w:hAnsi="arial" w:cs="arial"/>
          <w:b w:val="0"/>
          <w:i/>
          <w:strike w:val="0"/>
          <w:noProof w:val="0"/>
          <w:color w:val="000000"/>
          <w:position w:val="0"/>
          <w:sz w:val="24"/>
          <w:u w:val="none"/>
          <w:vertAlign w:val="baseline"/>
        </w:rPr>
        <w:t>Mohamed Azmi</w:t>
      </w:r>
      <w:r>
        <w:rPr>
          <w:rFonts w:ascii="arial" w:eastAsia="arial" w:hAnsi="arial" w:cs="arial"/>
          <w:b w:val="0"/>
          <w:i w:val="0"/>
          <w:strike w:val="0"/>
          <w:noProof w:val="0"/>
          <w:color w:val="000000"/>
          <w:position w:val="0"/>
          <w:sz w:val="24"/>
          <w:u w:val="none"/>
          <w:vertAlign w:val="baseline"/>
        </w:rPr>
        <w:t xml:space="preserve"> FJ said: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“As pointed out by this Court recently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Hong Leong Assurance Sdn. Bhd. v. Wong Yuen Hock  </w:t>
      </w:r>
      <w:r>
        <w:rPr>
          <w:rFonts w:ascii="arial" w:eastAsia="arial" w:hAnsi="arial" w:cs="arial"/>
          <w:b w:val="0"/>
          <w:i w:val="0"/>
          <w:strike w:val="0"/>
          <w:noProof w:val="0"/>
          <w:color w:val="000000"/>
          <w:position w:val="0"/>
          <w:sz w:val="18"/>
          <w:u w:val="none"/>
          <w:vertAlign w:val="baseline"/>
        </w:rPr>
        <w:t>[1995] 3 CLJ 344; ; [1995] 2 MLJ 753</w:t>
      </w:r>
      <w:r>
        <w:rPr>
          <w:rFonts w:ascii="arial" w:eastAsia="arial" w:hAnsi="arial" w:cs="arial"/>
          <w:b w:val="0"/>
          <w:i/>
          <w:strike w:val="0"/>
          <w:noProof w:val="0"/>
          <w:color w:val="000000"/>
          <w:position w:val="0"/>
          <w:sz w:val="18"/>
          <w:u w:val="none"/>
          <w:vertAlign w:val="baseline"/>
        </w:rPr>
        <w:t>, the function in the Industrial Court in dismissal cases on a reference under</w:t>
      </w:r>
      <w:r>
        <w:rPr>
          <w:rFonts w:ascii="arial" w:eastAsia="arial" w:hAnsi="arial" w:cs="arial"/>
          <w:b w:val="0"/>
          <w:i w:val="0"/>
          <w:strike w:val="0"/>
          <w:noProof w:val="0"/>
          <w:color w:val="000000"/>
          <w:position w:val="0"/>
          <w:sz w:val="18"/>
          <w:u w:val="none"/>
          <w:vertAlign w:val="baseline"/>
        </w:rPr>
        <w:t xml:space="preserve"> section 20 </w:t>
      </w:r>
      <w:r>
        <w:rPr>
          <w:rFonts w:ascii="arial" w:eastAsia="arial" w:hAnsi="arial" w:cs="arial"/>
          <w:b w:val="0"/>
          <w:i/>
          <w:strike w:val="0"/>
          <w:noProof w:val="0"/>
          <w:color w:val="000000"/>
          <w:position w:val="0"/>
          <w:sz w:val="18"/>
          <w:u w:val="none"/>
          <w:vertAlign w:val="baseline"/>
        </w:rPr>
        <w:t>is two-fold: first to determine whether the misconduct complained of by the employer has been established and secondly to determine whether the proven misconduct constitutes just cause or excuse for the dismissal of the employee.”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Wong Chee Hong v. Cathay Organisation (Ad) Sdn. Bhd.  </w:t>
      </w:r>
      <w:r>
        <w:rPr>
          <w:rFonts w:ascii="arial" w:eastAsia="arial" w:hAnsi="arial" w:cs="arial"/>
          <w:b w:val="0"/>
          <w:i w:val="0"/>
          <w:strike w:val="0"/>
          <w:noProof w:val="0"/>
          <w:color w:val="000000"/>
          <w:position w:val="0"/>
          <w:sz w:val="24"/>
          <w:u w:val="none"/>
          <w:vertAlign w:val="baseline"/>
        </w:rPr>
        <w:t xml:space="preserve">[1988] 1 CLJ Rep 298 at page 302, the duty of the Industrial Court was firmly stated by his Lordship </w:t>
      </w:r>
      <w:r>
        <w:rPr>
          <w:rFonts w:ascii="arial" w:eastAsia="arial" w:hAnsi="arial" w:cs="arial"/>
          <w:b w:val="0"/>
          <w:i/>
          <w:strike w:val="0"/>
          <w:noProof w:val="0"/>
          <w:color w:val="000000"/>
          <w:position w:val="0"/>
          <w:sz w:val="24"/>
          <w:u w:val="none"/>
          <w:vertAlign w:val="baseline"/>
        </w:rPr>
        <w:t>Salleh Abbas</w:t>
      </w:r>
      <w:r>
        <w:rPr>
          <w:rFonts w:ascii="arial" w:eastAsia="arial" w:hAnsi="arial" w:cs="arial"/>
          <w:b w:val="0"/>
          <w:i w:val="0"/>
          <w:strike w:val="0"/>
          <w:noProof w:val="0"/>
          <w:color w:val="000000"/>
          <w:position w:val="0"/>
          <w:sz w:val="24"/>
          <w:u w:val="none"/>
          <w:vertAlign w:val="baseline"/>
        </w:rPr>
        <w:t xml:space="preserve"> LP:</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section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Burden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Whenever a company has caused the dismissal of the workman, it is then incumbent on part of the company to discharge the burden of proof that the dismissal was with just cause or excuse. This Court will now refer to the case of </w:t>
      </w:r>
      <w:r>
        <w:rPr>
          <w:rFonts w:ascii="arial" w:eastAsia="arial" w:hAnsi="arial" w:cs="arial"/>
          <w:b w:val="0"/>
          <w:i/>
          <w:strike w:val="0"/>
          <w:noProof w:val="0"/>
          <w:color w:val="000000"/>
          <w:position w:val="0"/>
          <w:sz w:val="24"/>
          <w:u w:val="none"/>
          <w:vertAlign w:val="baseline"/>
        </w:rPr>
        <w:t xml:space="preserve">Ireka Construction Berhad v. Chantiravathan Subramaniam James  </w:t>
      </w:r>
      <w:r>
        <w:rPr>
          <w:rFonts w:ascii="arial" w:eastAsia="arial" w:hAnsi="arial" w:cs="arial"/>
          <w:b w:val="0"/>
          <w:i w:val="0"/>
          <w:strike w:val="0"/>
          <w:noProof w:val="0"/>
          <w:color w:val="000000"/>
          <w:position w:val="0"/>
          <w:sz w:val="24"/>
          <w:u w:val="none"/>
          <w:vertAlign w:val="baseline"/>
        </w:rPr>
        <w:t>[1995] 2 ILR 11;  (Award No. 243 of 1995) in which case it was stated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Court of Appeal has laid down the principle that the standard of proof that is required to prove a case in the Industrial Court is one that is on the balance of probabilities wherein His Lordship </w:t>
      </w:r>
      <w:r>
        <w:rPr>
          <w:rFonts w:ascii="arial" w:eastAsia="arial" w:hAnsi="arial" w:cs="arial"/>
          <w:b w:val="0"/>
          <w:i/>
          <w:strike w:val="0"/>
          <w:noProof w:val="0"/>
          <w:color w:val="000000"/>
          <w:position w:val="0"/>
          <w:sz w:val="24"/>
          <w:u w:val="none"/>
          <w:vertAlign w:val="baseline"/>
        </w:rPr>
        <w:t>Abdul Hamid Mohamad</w:t>
      </w:r>
      <w:r>
        <w:rPr>
          <w:rFonts w:ascii="arial" w:eastAsia="arial" w:hAnsi="arial" w:cs="arial"/>
          <w:b w:val="0"/>
          <w:i w:val="0"/>
          <w:strike w:val="0"/>
          <w:noProof w:val="0"/>
          <w:color w:val="000000"/>
          <w:position w:val="0"/>
          <w:sz w:val="24"/>
          <w:u w:val="none"/>
          <w:vertAlign w:val="baseline"/>
        </w:rPr>
        <w:t>, JCA opined: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main issues that the Court has to decide and determine are as follows:</w:t>
      </w:r>
      <w:r>
        <w:t>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Whether the Claimant is a </w:t>
      </w:r>
      <w:r>
        <w:rPr>
          <w:rFonts w:ascii="arial" w:eastAsia="arial" w:hAnsi="arial" w:cs="arial"/>
          <w:b w:val="0"/>
          <w:i/>
          <w:strike w:val="0"/>
          <w:noProof w:val="0"/>
          <w:color w:val="000000"/>
          <w:position w:val="0"/>
          <w:sz w:val="24"/>
          <w:u w:val="none"/>
          <w:vertAlign w:val="baseline"/>
        </w:rPr>
        <w:t>“workman”</w:t>
      </w:r>
      <w:r>
        <w:rPr>
          <w:rFonts w:ascii="arial" w:eastAsia="arial" w:hAnsi="arial" w:cs="arial"/>
          <w:b w:val="0"/>
          <w:i w:val="0"/>
          <w:strike w:val="0"/>
          <w:noProof w:val="0"/>
          <w:color w:val="000000"/>
          <w:position w:val="0"/>
          <w:sz w:val="24"/>
          <w:u w:val="none"/>
          <w:vertAlign w:val="baseline"/>
        </w:rPr>
        <w:t xml:space="preserve"> within the definition of the </w:t>
      </w:r>
      <w:r>
        <w:rPr>
          <w:rFonts w:ascii="arial" w:eastAsia="arial" w:hAnsi="arial" w:cs="arial"/>
          <w:b/>
          <w:i w:val="0"/>
          <w:strike w:val="0"/>
          <w:noProof w:val="0"/>
          <w:color w:val="000000"/>
          <w:position w:val="0"/>
          <w:sz w:val="24"/>
          <w:u w:val="none"/>
          <w:vertAlign w:val="baseline"/>
        </w:rPr>
        <w:t xml:space="preserve">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w:t>
      </w:r>
      <w:r>
        <w:rPr>
          <w:rFonts w:ascii="arial" w:eastAsia="arial" w:hAnsi="arial" w:cs="arial"/>
          <w:b w:val="0"/>
          <w:i w:val="0"/>
          <w:strike w:val="0"/>
          <w:noProof w:val="0"/>
          <w:color w:val="000000"/>
          <w:position w:val="0"/>
          <w:sz w:val="24"/>
          <w:u w:val="none"/>
          <w:vertAlign w:val="baseline"/>
        </w:rPr>
        <w:t>;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dismissal and that dismissal if proven, amounts to dismissal without just cause or excuse.</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Evaluation of Evidence and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It is undisputed facts, that the whole case begun when the Claimant was contacted by telephone by the Respondent on 19/05/2021 when she told the Claimant that she was having an employment issue with her current employer who was victimizing her. After further discussion, the Respondent finally agreed with the Claimant’s proposal for being appointed as her representative or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at the Industrial Relations Department Ampang, Kuala Lumpur with monthly payment of RM2,000.00 as an advisor with immediate effect until the matter is settled. Thereafter, the Claimant purportedly accepted the offer and was asked immediately being his daily full-time job and was required to work from home during Movement Control Order (MCO) at the material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Bear in mind, that the Claimant at that point of time was never being a legally qualified advocate and solicitors to render his legal services as qualified legal practitioner, neither having any certification or recognition whatsoever to represent any employee for any industrial relations matter, such as being a qualified representative of MTUC or UNI-MLC.</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The Claimant on the other hand, only provides services as a representative or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to the Respondent by asking payment for the works done for and on behalf of the Respondent during the negotiation and settlement process at the Industrial Relations Department only. He was never appointed by the Respondent as her permanent or temporary employee during the settlement process with her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Although the Respondent then submitted a constructive dismissal claim against her employer, but the Claimant was only appointed as her representative or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at the IR Department, neither being her legal representative at the material time. Suffice to conclude that there is no letter of offer or letter of employment being issued by any party to the said appointment. There is no conclusive evidence adduced to proof that due to reconciliation meetings at the IR Department which the Claimant conducted as her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leading to the amicable settlement, there was an outstanding wages of RM12,000.00 for six (6) months wages due to the Claimant which was agreed by the parties except it was agreed upon for his advice fee instead.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But before that, there is this nomenclature of the terms </w:t>
      </w:r>
      <w:r>
        <w:rPr>
          <w:rFonts w:ascii="arial" w:eastAsia="arial" w:hAnsi="arial" w:cs="arial"/>
          <w:b w:val="0"/>
          <w:i/>
          <w:strike w:val="0"/>
          <w:noProof w:val="0"/>
          <w:color w:val="000000"/>
          <w:position w:val="0"/>
          <w:sz w:val="24"/>
          <w:u w:val="none"/>
          <w:vertAlign w:val="baseline"/>
        </w:rPr>
        <w:t>“contract of employment”</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“contract of service”</w:t>
      </w:r>
      <w:r>
        <w:rPr>
          <w:rFonts w:ascii="arial" w:eastAsia="arial" w:hAnsi="arial" w:cs="arial"/>
          <w:b w:val="0"/>
          <w:i w:val="0"/>
          <w:strike w:val="0"/>
          <w:noProof w:val="0"/>
          <w:color w:val="000000"/>
          <w:position w:val="0"/>
          <w:sz w:val="24"/>
          <w:u w:val="none"/>
          <w:vertAlign w:val="baseline"/>
        </w:rPr>
        <w:t xml:space="preserve"> to get over with. In the case of </w:t>
      </w:r>
      <w:r>
        <w:rPr>
          <w:rFonts w:ascii="arial" w:eastAsia="arial" w:hAnsi="arial" w:cs="arial"/>
          <w:b w:val="0"/>
          <w:i/>
          <w:strike w:val="0"/>
          <w:noProof w:val="0"/>
          <w:color w:val="000000"/>
          <w:position w:val="0"/>
          <w:sz w:val="24"/>
          <w:u w:val="none"/>
          <w:vertAlign w:val="baseline"/>
        </w:rPr>
        <w:t xml:space="preserve">Mary Colete John v. South East Asian Insurance Bhd.  </w:t>
      </w:r>
      <w:r>
        <w:rPr>
          <w:rFonts w:ascii="arial" w:eastAsia="arial" w:hAnsi="arial" w:cs="arial"/>
          <w:b w:val="0"/>
          <w:i w:val="0"/>
          <w:strike w:val="0"/>
          <w:noProof w:val="0"/>
          <w:color w:val="000000"/>
          <w:position w:val="0"/>
          <w:sz w:val="24"/>
          <w:u w:val="none"/>
          <w:vertAlign w:val="baseline"/>
        </w:rPr>
        <w:t xml:space="preserve">[2010] 8 CLJ 129 on the interchangeable use of the terms </w:t>
      </w:r>
      <w:r>
        <w:rPr>
          <w:rFonts w:ascii="arial" w:eastAsia="arial" w:hAnsi="arial" w:cs="arial"/>
          <w:b w:val="0"/>
          <w:i/>
          <w:strike w:val="0"/>
          <w:noProof w:val="0"/>
          <w:color w:val="000000"/>
          <w:position w:val="0"/>
          <w:sz w:val="24"/>
          <w:u w:val="none"/>
          <w:vertAlign w:val="baseline"/>
        </w:rPr>
        <w:t>“contract of employment”</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“contract of service”</w:t>
      </w:r>
      <w:r>
        <w:rPr>
          <w:rFonts w:ascii="arial" w:eastAsia="arial" w:hAnsi="arial" w:cs="arial"/>
          <w:b w:val="0"/>
          <w:i w:val="0"/>
          <w:strike w:val="0"/>
          <w:noProof w:val="0"/>
          <w:color w:val="000000"/>
          <w:position w:val="0"/>
          <w:sz w:val="24"/>
          <w:u w:val="none"/>
          <w:vertAlign w:val="baseline"/>
        </w:rPr>
        <w:t>, the Federal Court ruled at p. 151:</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[31]</w:t>
      </w:r>
      <w:r>
        <w:rPr>
          <w:rFonts w:ascii="arial" w:eastAsia="arial" w:hAnsi="arial" w:cs="arial"/>
          <w:b w:val="0"/>
          <w:i/>
          <w:strike w:val="0"/>
          <w:noProof w:val="0"/>
          <w:color w:val="000000"/>
          <w:position w:val="0"/>
          <w:sz w:val="18"/>
          <w:u w:val="none"/>
          <w:vertAlign w:val="baseline"/>
        </w:rPr>
        <w:t xml:space="preserve"> It is apparent that in Malaysia, the term “contract of employment” is used interchangeably with “contract of service” as noted above in the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1955 and the </w:t>
      </w:r>
      <w:r>
        <w:rPr>
          <w:rFonts w:ascii="arial" w:eastAsia="arial" w:hAnsi="arial" w:cs="arial"/>
          <w:b/>
          <w:i/>
          <w:strike w:val="0"/>
          <w:noProof w:val="0"/>
          <w:color w:val="000000"/>
          <w:position w:val="0"/>
          <w:sz w:val="18"/>
          <w:u w:val="none"/>
          <w:vertAlign w:val="baseline"/>
        </w:rPr>
        <w:t xml:space="preserve">Industrial Relations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none"/>
          <w:vertAlign w:val="baseline"/>
        </w:rPr>
        <w:t xml:space="preserve"> 1967</w:t>
      </w:r>
      <w:r>
        <w:rPr>
          <w:rFonts w:ascii="arial" w:eastAsia="arial" w:hAnsi="arial" w:cs="arial"/>
          <w:b w:val="0"/>
          <w:i/>
          <w:strike w:val="0"/>
          <w:noProof w:val="0"/>
          <w:color w:val="000000"/>
          <w:position w:val="0"/>
          <w:sz w:val="18"/>
          <w:u w:val="none"/>
          <w:vertAlign w:val="baseline"/>
        </w:rPr>
        <w:t xml:space="preserve"> respectively. However, despite the difference in the way in which legislation has defined the term “contract of service” or “contract of employment” the essential characteristic of these definitions is that the contract must be between an employer and employee. It is also to be noted that by statutory definition the term “workman” is used interchangeable with the term “employee.”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[21]</w:t>
      </w:r>
      <w:r>
        <w:rPr>
          <w:rFonts w:ascii="arial" w:eastAsia="arial" w:hAnsi="arial" w:cs="arial"/>
          <w:b w:val="0"/>
          <w:i w:val="0"/>
          <w:strike w:val="0"/>
          <w:noProof w:val="0"/>
          <w:color w:val="000000"/>
          <w:position w:val="0"/>
          <w:sz w:val="18"/>
          <w:u w:val="none"/>
          <w:vertAlign w:val="baseline"/>
        </w:rPr>
        <w:t xml:space="preserve"> Sub-section 20(1) of the  1967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provides the procedure for making a complaint to the Director General of Industrial Relations as follows: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Where a workman, irrespective of whether he is a member of a trade union of workman or otherwise, considers that he has been dismissed without just cause or excuse by his employer, he may make representations in writing to the Director General to be reinstated in his former employment; the representations may be filed at the office of the Director General nearest to the place of employment from which the workman was dismissed.”</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As pointed out by this Court above, the role of this Court is to determine whether there was a dismissal and that dismissal if proven amounts to dismissal without just cause or excuse. This plain and less complicated duty of this Court is now added on with an additional duty of this Court to consider as a primary issue of whether the Claimant herein a workman/employee of the Respondent under a contract of service is or whether he is an independent contractor engaged by the Respondent to provide his services under a contract for services. Both parties had stated their position on this issue and it is incumbent upon this Court to deal with this issue first, as the finding of this Court on this issue will determine whether this Court should proceed further on the issues of dismissal and dismissal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Noor Asilah Abdull Rahman v. Columbia Asia Sdn. Bhd.  </w:t>
      </w:r>
      <w:r>
        <w:rPr>
          <w:rFonts w:ascii="arial" w:eastAsia="arial" w:hAnsi="arial" w:cs="arial"/>
          <w:b w:val="0"/>
          <w:i w:val="0"/>
          <w:strike w:val="0"/>
          <w:noProof w:val="0"/>
          <w:color w:val="000000"/>
          <w:position w:val="0"/>
          <w:sz w:val="24"/>
          <w:u w:val="none"/>
          <w:vertAlign w:val="baseline"/>
        </w:rPr>
        <w:t>[2019] ILRU 2019; ; [2019] 2 LNS 2019;  (Award No. 2019 of 2019): the Industrial Court had decided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“[7] Before this court embarks on its findings of whether the claimant was dismissed with or without just cause or excuse, it is incumbent upon this court to first determine whether the argument put forth by the company on the primary issue that the claimant is not a workman within the definition of</w:t>
      </w:r>
      <w:r>
        <w:rPr>
          <w:rFonts w:ascii="arial" w:eastAsia="arial" w:hAnsi="arial" w:cs="arial"/>
          <w:b w:val="0"/>
          <w:i w:val="0"/>
          <w:strike w:val="0"/>
          <w:noProof w:val="0"/>
          <w:color w:val="000000"/>
          <w:position w:val="0"/>
          <w:sz w:val="18"/>
          <w:u w:val="none"/>
          <w:vertAlign w:val="baseline"/>
        </w:rPr>
        <w:t xml:space="preserve"> s. 2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has any merits considering the facts of this case. In the event this court rules that the claimant is not a workman as defined under</w:t>
      </w:r>
      <w:r>
        <w:rPr>
          <w:rFonts w:ascii="arial" w:eastAsia="arial" w:hAnsi="arial" w:cs="arial"/>
          <w:b w:val="0"/>
          <w:i w:val="0"/>
          <w:strike w:val="0"/>
          <w:noProof w:val="0"/>
          <w:color w:val="000000"/>
          <w:position w:val="0"/>
          <w:sz w:val="18"/>
          <w:u w:val="none"/>
          <w:vertAlign w:val="baseline"/>
        </w:rPr>
        <w:t xml:space="preserve"> s. 2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then the natural course of event will be for this court to conclude that the claimant do not possess the right to make representation under</w:t>
      </w:r>
      <w:r>
        <w:rPr>
          <w:rFonts w:ascii="arial" w:eastAsia="arial" w:hAnsi="arial" w:cs="arial"/>
          <w:b w:val="0"/>
          <w:i w:val="0"/>
          <w:strike w:val="0"/>
          <w:noProof w:val="0"/>
          <w:color w:val="000000"/>
          <w:position w:val="0"/>
          <w:sz w:val="18"/>
          <w:u w:val="none"/>
          <w:vertAlign w:val="baseline"/>
        </w:rPr>
        <w:t xml:space="preserve"> s. 20(1)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xml:space="preserve">  It will be useful for this Court to refer to the judgment of the Federal court in the case of </w:t>
      </w:r>
      <w:r>
        <w:rPr>
          <w:rFonts w:ascii="arial" w:eastAsia="arial" w:hAnsi="arial" w:cs="arial"/>
          <w:b w:val="0"/>
          <w:i/>
          <w:strike w:val="0"/>
          <w:noProof w:val="0"/>
          <w:color w:val="000000"/>
          <w:position w:val="0"/>
          <w:sz w:val="24"/>
          <w:u w:val="none"/>
          <w:vertAlign w:val="baseline"/>
        </w:rPr>
        <w:t xml:space="preserve">Hoh Kiang Ngan v. Mahkamah Perusahaan Malaysia &amp; Anor  </w:t>
      </w:r>
      <w:r>
        <w:rPr>
          <w:rFonts w:ascii="arial" w:eastAsia="arial" w:hAnsi="arial" w:cs="arial"/>
          <w:b w:val="0"/>
          <w:i w:val="0"/>
          <w:strike w:val="0"/>
          <w:noProof w:val="0"/>
          <w:color w:val="000000"/>
          <w:position w:val="0"/>
          <w:sz w:val="24"/>
          <w:u w:val="none"/>
          <w:vertAlign w:val="baseline"/>
        </w:rPr>
        <w:t>[1996] 4 CLJ 687 that is instructive in determining whether a person is employed or hired under a contract of service or contract for services. His Lordship Gopal Sri Ram JCA delivering the judgment of the Federal Court had this to say:</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“In our judgment, the correct test to be applied in determining whether a claimant is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that enunciated by Chang Min Tat FJ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[1981] CLJU 5; ; [1981] 1 LNS 5; ; [1981] 1 MLJ 304</w:t>
      </w:r>
      <w:r>
        <w:rPr>
          <w:rFonts w:ascii="arial" w:eastAsia="arial" w:hAnsi="arial" w:cs="arial"/>
          <w:b/>
          <w:i/>
          <w:strike w:val="0"/>
          <w:noProof w:val="0"/>
          <w:color w:val="000000"/>
          <w:position w:val="0"/>
          <w:sz w:val="18"/>
          <w:u w:val="none"/>
          <w:vertAlign w:val="baseline"/>
        </w:rPr>
        <w:t xml:space="preserve"> at p. 311.</w:t>
      </w:r>
      <w:r>
        <w:rPr>
          <w:rFonts w:ascii="arial" w:eastAsia="arial" w:hAnsi="arial" w:cs="arial"/>
          <w:b w:val="0"/>
          <w:i/>
          <w:strike w:val="0"/>
          <w:noProof w:val="0"/>
          <w:color w:val="000000"/>
          <w:position w:val="0"/>
          <w:sz w:val="18"/>
          <w:u w:val="none"/>
          <w:vertAlign w:val="baseline"/>
        </w:rPr>
        <w:t xml:space="preserve"> We accordingly hold that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one who is engaged under a contract of service. An independent contractor who is engaged under a contract for services is not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We take this view because it provides, as earlier observed, for a flexible approach to the determination of the question. It is fairly plain to see why flexibility is achieved by having resort to this test.”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i/>
          <w:strike w:val="0"/>
          <w:noProof w:val="0"/>
          <w:color w:val="000000"/>
          <w:position w:val="0"/>
          <w:sz w:val="24"/>
          <w:u w:val="none"/>
          <w:vertAlign w:val="baseline"/>
        </w:rPr>
        <w:t>Lee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Ting Sang v. Chung Chi Keung  </w:t>
      </w:r>
      <w:r>
        <w:rPr>
          <w:rFonts w:ascii="arial" w:eastAsia="arial" w:hAnsi="arial" w:cs="arial"/>
          <w:b w:val="0"/>
          <w:i w:val="0"/>
          <w:strike w:val="0"/>
          <w:noProof w:val="0"/>
          <w:color w:val="000000"/>
          <w:position w:val="0"/>
          <w:sz w:val="24"/>
          <w:u w:val="none"/>
          <w:vertAlign w:val="baseline"/>
        </w:rPr>
        <w:t>[1990] 2 AC 374 the Privy Council had the occasion of considering whether the person concerned was working as an employee or as an independent contractor:</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the fundamental test to be applied is this: Is the person who has engaged himself to perform these services performing them as a person in business on his own account?”. If the answer to that question is ‘yes’, then the contract is a contract for service. If the answer is ‘not then the contract is a contract of service. No exhaustive list has been compiled with and perhaps no exhaustive list can be compiled of the considerations which are relevant in determining that question, nor can strict rules be laid down as to the relatives weight which the various considerations should carry in particular cases. The most that can be said is that control will no doubt always have to be considered, although it can no longer be regarded as the sole determining factor; and that factors which may be of importance are such matters as whether the man performing the services provided his own equipment, whether he hires his own helpers, what degree of financial risk he takes, what degree of responsibility for investment and management he has, and whether he has, and whether and how far he has an opportunity of profiting from sound management in the performance of his task.”</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Syarikat Kenderaan Melayu Kelantan Bhd. v. Transport Workers Union  </w:t>
      </w:r>
      <w:r>
        <w:rPr>
          <w:rFonts w:ascii="arial" w:eastAsia="arial" w:hAnsi="arial" w:cs="arial"/>
          <w:b w:val="0"/>
          <w:i w:val="0"/>
          <w:strike w:val="0"/>
          <w:noProof w:val="0"/>
          <w:color w:val="000000"/>
          <w:position w:val="0"/>
          <w:sz w:val="24"/>
          <w:u w:val="none"/>
          <w:vertAlign w:val="baseline"/>
        </w:rPr>
        <w:t>[1995] 2 CLJ 748</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Industrial Court did not therefore exceed its jurisdiction.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“Second, it is clear from the decisions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 xml:space="preserve">[1981] CLJU 5; ; [1981] 1 LNS 5; ; [1981] 1 MLJ 304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Hoh Kiang Ngan V. Mahkamah Perusahaan Malaysia &amp; Anor  </w:t>
      </w:r>
      <w:r>
        <w:rPr>
          <w:rFonts w:ascii="arial" w:eastAsia="arial" w:hAnsi="arial" w:cs="arial"/>
          <w:b w:val="0"/>
          <w:i w:val="0"/>
          <w:strike w:val="0"/>
          <w:noProof w:val="0"/>
          <w:color w:val="000000"/>
          <w:position w:val="0"/>
          <w:sz w:val="18"/>
          <w:u w:val="none"/>
          <w:vertAlign w:val="baseline"/>
        </w:rPr>
        <w:t xml:space="preserve">[1996] 4 CLJ 687 </w:t>
      </w:r>
      <w:r>
        <w:rPr>
          <w:rFonts w:ascii="arial" w:eastAsia="arial" w:hAnsi="arial" w:cs="arial"/>
          <w:b w:val="0"/>
          <w:i/>
          <w:strike w:val="0"/>
          <w:noProof w:val="0"/>
          <w:color w:val="000000"/>
          <w:position w:val="0"/>
          <w:sz w:val="18"/>
          <w:u w:val="none"/>
          <w:vertAlign w:val="baseline"/>
        </w:rPr>
        <w:t>that the question whether a person is a workman is one of mixed law and fact for the Industrial Court to decide. “The fact is the ascertainment of the relevant conduct of the parties under their contract and the inference proper to be drawn therefrom as to the terms of the contract and the question of law, once the terms have been ascertained, is the classification of the contract for services or for (sic) service”: (per Chang Min Tat FJ in Dr A Dutt v. Assunta Hospital (ibid) at p. 310)’.”</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Arun Kumar Bag v. Hospital Pantai Indah Sdn. Bhd.  </w:t>
      </w:r>
      <w:r>
        <w:rPr>
          <w:rFonts w:ascii="arial" w:eastAsia="arial" w:hAnsi="arial" w:cs="arial"/>
          <w:b w:val="0"/>
          <w:i w:val="0"/>
          <w:strike w:val="0"/>
          <w:noProof w:val="0"/>
          <w:color w:val="000000"/>
          <w:position w:val="0"/>
          <w:sz w:val="24"/>
          <w:u w:val="none"/>
          <w:vertAlign w:val="baseline"/>
        </w:rPr>
        <w:t xml:space="preserve">[2015] 3 ILR 580 it was held by the learned Industrial Court Chairman, </w:t>
      </w:r>
      <w:r>
        <w:rPr>
          <w:rFonts w:ascii="arial" w:eastAsia="arial" w:hAnsi="arial" w:cs="arial"/>
          <w:b w:val="0"/>
          <w:i/>
          <w:strike w:val="0"/>
          <w:noProof w:val="0"/>
          <w:color w:val="000000"/>
          <w:position w:val="0"/>
          <w:sz w:val="24"/>
          <w:u w:val="none"/>
          <w:vertAlign w:val="baseline"/>
        </w:rPr>
        <w:t>Gulam Muhiaddeen Abdul Aziz</w:t>
      </w:r>
      <w:r>
        <w:rPr>
          <w:rFonts w:ascii="arial" w:eastAsia="arial" w:hAnsi="arial" w:cs="arial"/>
          <w:b w:val="0"/>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a trite law that in order for this court to have threshold jurisdiction to adjudicate this matter, the claimant must come within the definition of a ‘workman’ as defined in</w:t>
      </w:r>
      <w:r>
        <w:rPr>
          <w:rFonts w:ascii="arial" w:eastAsia="arial" w:hAnsi="arial" w:cs="arial"/>
          <w:b w:val="0"/>
          <w:i w:val="0"/>
          <w:strike w:val="0"/>
          <w:noProof w:val="0"/>
          <w:color w:val="000000"/>
          <w:position w:val="0"/>
          <w:sz w:val="18"/>
          <w:u w:val="none"/>
          <w:vertAlign w:val="baseline"/>
        </w:rPr>
        <w:t xml:space="preserve"> s. 2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courts have declared that while there are different types of employment contracts catering for the various forms of employment, the Industrial Court has jurisdiction over only one type, namely, the contract of service.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Nova Charm Sdn. Bhd. v. Ooi Hock Huat  </w:t>
      </w:r>
      <w:r>
        <w:rPr>
          <w:rFonts w:ascii="arial" w:eastAsia="arial" w:hAnsi="arial" w:cs="arial"/>
          <w:b w:val="0"/>
          <w:i w:val="0"/>
          <w:strike w:val="0"/>
          <w:noProof w:val="0"/>
          <w:color w:val="000000"/>
          <w:position w:val="0"/>
          <w:sz w:val="18"/>
          <w:u w:val="none"/>
          <w:vertAlign w:val="baseline"/>
        </w:rPr>
        <w:t>[2002] 1 ILR 706;  (Award No. 220 of 2002)</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 xml:space="preserve">The IRA protects the security of tenure of a workman engaged under a contract of service. The principle of security of tenure guarantees an employee’s legitimate expectation to continue in his employment and to earn his likelihood unless his employer has just cause or excuse to terminate his services. It is enforceable by recourse to statutory remedies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It would be clear that not all persons performing work or rendering services for another become a ‘workman’ within the meaning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The statutory right to security of tenure is guaranteed only to a ‘workman’ who comes within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and not to any other person performing work or rendering services in some capacity other than as a ‘workman’ employed under a contract of service. The issue in this case simply stated is whether the Claimant was employed under a ‘contract of service’.”</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Similarly in </w:t>
      </w:r>
      <w:r>
        <w:rPr>
          <w:rFonts w:ascii="arial" w:eastAsia="arial" w:hAnsi="arial" w:cs="arial"/>
          <w:b w:val="0"/>
          <w:i/>
          <w:strike w:val="0"/>
          <w:noProof w:val="0"/>
          <w:color w:val="000000"/>
          <w:position w:val="0"/>
          <w:sz w:val="24"/>
          <w:u w:val="none"/>
          <w:vertAlign w:val="baseline"/>
        </w:rPr>
        <w:t xml:space="preserve">American International Assurance Co Ltd. v. Dato’ Lam Peng Chong &amp; Ors  </w:t>
      </w:r>
      <w:r>
        <w:rPr>
          <w:rFonts w:ascii="arial" w:eastAsia="arial" w:hAnsi="arial" w:cs="arial"/>
          <w:b w:val="0"/>
          <w:i w:val="0"/>
          <w:strike w:val="0"/>
          <w:noProof w:val="0"/>
          <w:color w:val="000000"/>
          <w:position w:val="0"/>
          <w:sz w:val="24"/>
          <w:u w:val="none"/>
          <w:vertAlign w:val="baseline"/>
        </w:rPr>
        <w:t>[1999] 2 CLJ 771</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Court of Appeal decided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“First, the issue whether a person is a </w:t>
      </w:r>
      <w:r>
        <w:rPr>
          <w:rFonts w:ascii="arial" w:eastAsia="arial" w:hAnsi="arial" w:cs="arial"/>
          <w:b/>
          <w:i/>
          <w:strike w:val="0"/>
          <w:noProof w:val="0"/>
          <w:color w:val="000000"/>
          <w:position w:val="0"/>
          <w:sz w:val="18"/>
          <w:u w:val="none"/>
          <w:vertAlign w:val="baseline"/>
        </w:rPr>
        <w:t>‘workman’</w:t>
      </w:r>
      <w:r>
        <w:rPr>
          <w:rFonts w:ascii="arial" w:eastAsia="arial" w:hAnsi="arial" w:cs="arial"/>
          <w:b w:val="0"/>
          <w:i/>
          <w:strike w:val="0"/>
          <w:noProof w:val="0"/>
          <w:color w:val="000000"/>
          <w:position w:val="0"/>
          <w:sz w:val="18"/>
          <w:u w:val="none"/>
          <w:vertAlign w:val="baseline"/>
        </w:rPr>
        <w:t xml:space="preserve"> as defined by the IRA depends upon the nature of the engagement in a given case. A person is a </w:t>
      </w:r>
      <w:r>
        <w:rPr>
          <w:rFonts w:ascii="arial" w:eastAsia="arial" w:hAnsi="arial" w:cs="arial"/>
          <w:b/>
          <w:i/>
          <w:strike w:val="0"/>
          <w:noProof w:val="0"/>
          <w:color w:val="000000"/>
          <w:position w:val="0"/>
          <w:sz w:val="18"/>
          <w:u w:val="none"/>
          <w:vertAlign w:val="baseline"/>
        </w:rPr>
        <w:t>‘workman’</w:t>
      </w:r>
      <w:r>
        <w:rPr>
          <w:rFonts w:ascii="arial" w:eastAsia="arial" w:hAnsi="arial" w:cs="arial"/>
          <w:b w:val="0"/>
          <w:i/>
          <w:strike w:val="0"/>
          <w:noProof w:val="0"/>
          <w:color w:val="000000"/>
          <w:position w:val="0"/>
          <w:sz w:val="18"/>
          <w:u w:val="none"/>
          <w:vertAlign w:val="baseline"/>
        </w:rPr>
        <w:t xml:space="preserve"> if he is engaged under a </w:t>
      </w:r>
      <w:r>
        <w:rPr>
          <w:rFonts w:ascii="arial" w:eastAsia="arial" w:hAnsi="arial" w:cs="arial"/>
          <w:b/>
          <w:i/>
          <w:strike w:val="0"/>
          <w:noProof w:val="0"/>
          <w:color w:val="000000"/>
          <w:position w:val="0"/>
          <w:sz w:val="18"/>
          <w:u w:val="none"/>
          <w:vertAlign w:val="baseline"/>
        </w:rPr>
        <w:t>contract of service</w:t>
      </w:r>
      <w:r>
        <w:rPr>
          <w:rFonts w:ascii="arial" w:eastAsia="arial" w:hAnsi="arial" w:cs="arial"/>
          <w:b w:val="0"/>
          <w:i/>
          <w:strike w:val="0"/>
          <w:noProof w:val="0"/>
          <w:color w:val="000000"/>
          <w:position w:val="0"/>
          <w:sz w:val="18"/>
          <w:u w:val="none"/>
          <w:vertAlign w:val="baseline"/>
        </w:rPr>
        <w:t xml:space="preserve">. But he is an independent contractor and therefore not a </w:t>
      </w:r>
      <w:r>
        <w:rPr>
          <w:rFonts w:ascii="arial" w:eastAsia="arial" w:hAnsi="arial" w:cs="arial"/>
          <w:b/>
          <w:i/>
          <w:strike w:val="0"/>
          <w:noProof w:val="0"/>
          <w:color w:val="000000"/>
          <w:position w:val="0"/>
          <w:sz w:val="18"/>
          <w:u w:val="none"/>
          <w:vertAlign w:val="baseline"/>
        </w:rPr>
        <w:t>‘workman’</w:t>
      </w:r>
      <w:r>
        <w:rPr>
          <w:rFonts w:ascii="arial" w:eastAsia="arial" w:hAnsi="arial" w:cs="arial"/>
          <w:b w:val="0"/>
          <w:i/>
          <w:strike w:val="0"/>
          <w:noProof w:val="0"/>
          <w:color w:val="000000"/>
          <w:position w:val="0"/>
          <w:sz w:val="18"/>
          <w:u w:val="none"/>
          <w:vertAlign w:val="baseline"/>
        </w:rPr>
        <w:t xml:space="preserve"> if his engagement is pursuant to a </w:t>
      </w:r>
      <w:r>
        <w:rPr>
          <w:rFonts w:ascii="arial" w:eastAsia="arial" w:hAnsi="arial" w:cs="arial"/>
          <w:b/>
          <w:i/>
          <w:strike w:val="0"/>
          <w:noProof w:val="0"/>
          <w:color w:val="000000"/>
          <w:position w:val="0"/>
          <w:sz w:val="18"/>
          <w:u w:val="none"/>
          <w:vertAlign w:val="baseline"/>
        </w:rPr>
        <w:t>contract for services</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To answer the question whether the eight claimants were ‘workmen’ or not, one has to look at the facts and the various tests that have been applied to determine the nature of the relationship... Broadly speaking, there are three tests for discerning the contract of employment/contract of service, namely:</w:t>
      </w:r>
      <w:r>
        <w:t>
</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‘traditional’ or ‘control’ test;</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‘organization’ or ‘integration’ test; and</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‘mixed’ or ‘multiple’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‘traditional’ or ‘control’ test refers to the control over one person by another not only as to what he must do but also as to how and when he must do. This test, however, has been found to be increasingly difficult to apply in modern industrial relationships. The ‘organization’ or ‘integration’ test, which has been little used and which depends on whether the person is part and parcel of the organization, also does not provide a clear and candid answer to the situation in modern times. This has led the courts in recent times to prefer the more resilient ‘economic reality’, ‘multiple’ or ‘mixed’ test. This test is said to be the ‘common sense’ approach of the ‘reasonable man’. It has been suggested that the ‘multiple’ test should be applied in two stages. First, it must be asked whether there is control, and second it must be asked whether the provisions of the contract are consistent with it being a contract of service. In other words, are there indications that the person is an entrepreneur rather than an employee? For example, has he invested in tools and taken the chance of profit or the risk of loss? On the other hand, the mere fact that he is paid on an incentive basis, or that he is expressly declared to be self-employed is not conclusive.”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xml:space="preserve">  This Court will look into matters in order to determine whether the Claimant is a workman as defined under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or an independent contractor providing services and it will be unnecessary for this Court to repeat them same here. It is the duty of this Court here to analyze all the facts of this case in order determine whether the Claimant can consider himself as the workman as being hired by the Respondent to be her representative </w:t>
      </w:r>
      <w:r>
        <w:rPr>
          <w:rFonts w:ascii="arial" w:eastAsia="arial" w:hAnsi="arial" w:cs="arial"/>
          <w:b w:val="0"/>
          <w:i/>
          <w:strike w:val="0"/>
          <w:noProof w:val="0"/>
          <w:color w:val="000000"/>
          <w:position w:val="0"/>
          <w:sz w:val="24"/>
          <w:u w:val="none"/>
          <w:vertAlign w:val="baseline"/>
        </w:rPr>
        <w:t>(wakil)</w:t>
      </w:r>
      <w:r>
        <w:rPr>
          <w:rFonts w:ascii="arial" w:eastAsia="arial" w:hAnsi="arial" w:cs="arial"/>
          <w:b w:val="0"/>
          <w:i w:val="0"/>
          <w:strike w:val="0"/>
          <w:noProof w:val="0"/>
          <w:color w:val="000000"/>
          <w:position w:val="0"/>
          <w:sz w:val="24"/>
          <w:u w:val="none"/>
          <w:vertAlign w:val="baseline"/>
        </w:rPr>
        <w:t xml:space="preserve"> in the reconciliation stage at the IR Department.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Sub-s. 20(1) of the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provides the procedure for making a complaint to the Director General of Industrial Relations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a workman, irrespective of whether he is a member of a trade union of workman or otherwise, considers that he has been dismissed without just cause or excuse by his employer, he may make representations in writing to the Director General to be reinstated in his former employment; the representations may be filed at the office of the Director General nearest to the place of employment from which the workman was dismissed.”</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Was The Claimant A “Workman” As Defined in The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To determine whether the Claimant herein is a workman pursuant the provisions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it will be useful for this Court to first make reference to s. 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which defines a workman as: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“workman”</w:t>
      </w:r>
      <w:r>
        <w:rPr>
          <w:rFonts w:ascii="arial" w:eastAsia="arial" w:hAnsi="arial" w:cs="arial"/>
          <w:b w:val="0"/>
          <w:i w:val="0"/>
          <w:strike w:val="0"/>
          <w:noProof w:val="0"/>
          <w:color w:val="000000"/>
          <w:position w:val="0"/>
          <w:sz w:val="18"/>
          <w:u w:val="none"/>
          <w:vertAlign w:val="baseline"/>
        </w:rPr>
        <w:t xml:space="preserve"> means </w:t>
      </w:r>
      <w:r>
        <w:rPr>
          <w:rFonts w:ascii="arial" w:eastAsia="arial" w:hAnsi="arial" w:cs="arial"/>
          <w:b w:val="0"/>
          <w:i/>
          <w:strike w:val="0"/>
          <w:noProof w:val="0"/>
          <w:color w:val="000000"/>
          <w:position w:val="0"/>
          <w:sz w:val="18"/>
          <w:u w:val="none"/>
          <w:vertAlign w:val="baseline"/>
        </w:rPr>
        <w:t>any person, including an apprentice, employed by an employer under a contract of employment to work for hire or reward and for the purposes of any proceedings in relation to a trade dispute includes any such person who has been dismissed, discharged or retrenched in connection with or as a consequence of that dispute or whose dismissal, discharge or retrenchment has led to that dispute.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Section 2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also defines </w:t>
      </w:r>
      <w:r>
        <w:rPr>
          <w:rFonts w:ascii="arial" w:eastAsia="arial" w:hAnsi="arial" w:cs="arial"/>
          <w:b/>
          <w:i/>
          <w:strike w:val="0"/>
          <w:noProof w:val="0"/>
          <w:color w:val="000000"/>
          <w:position w:val="0"/>
          <w:sz w:val="18"/>
          <w:u w:val="none"/>
          <w:vertAlign w:val="baseline"/>
        </w:rPr>
        <w:t>‘contract of employment’: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“means any agreement, whether oral or in writing and whether express or implied, whereby one person agrees to employ another as a workman and that other agrees to serve his employer as a workman”.</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xml:space="preserve">  Whether the Claimant is a workman within the definition of s. 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can be determined by simply looking at the facts of the case which will show whether the Claimant was employed under a contract of services making him a workman of the Respondent or hired under a contract for services making him an independent contractor.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“Dismissal from Employment and the Remedies “</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supra</w:t>
      </w:r>
      <w:r>
        <w:rPr>
          <w:rFonts w:ascii="arial" w:eastAsia="arial" w:hAnsi="arial" w:cs="arial"/>
          <w:b w:val="0"/>
          <w:i w:val="0"/>
          <w:strike w:val="0"/>
          <w:noProof w:val="0"/>
          <w:color w:val="000000"/>
          <w:position w:val="0"/>
          <w:sz w:val="24"/>
          <w:u w:val="none"/>
          <w:vertAlign w:val="baseline"/>
        </w:rPr>
        <w:t xml:space="preserve">), Dr. </w:t>
      </w:r>
      <w:r>
        <w:rPr>
          <w:rFonts w:ascii="arial" w:eastAsia="arial" w:hAnsi="arial" w:cs="arial"/>
          <w:b w:val="0"/>
          <w:i/>
          <w:strike w:val="0"/>
          <w:noProof w:val="0"/>
          <w:color w:val="000000"/>
          <w:position w:val="0"/>
          <w:sz w:val="24"/>
          <w:u w:val="none"/>
          <w:vertAlign w:val="baseline"/>
        </w:rPr>
        <w:t>Ashgar Ali</w:t>
      </w:r>
      <w:r>
        <w:rPr>
          <w:rFonts w:ascii="arial" w:eastAsia="arial" w:hAnsi="arial" w:cs="arial"/>
          <w:b w:val="0"/>
          <w:i w:val="0"/>
          <w:strike w:val="0"/>
          <w:noProof w:val="0"/>
          <w:color w:val="000000"/>
          <w:position w:val="0"/>
          <w:sz w:val="24"/>
          <w:u w:val="none"/>
          <w:vertAlign w:val="baseline"/>
        </w:rPr>
        <w:t xml:space="preserve"> stated at p. 14:</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‘right to work’ and ‘right in the work’ are two different concepts. The former deals with the individual right to be employed, which is in conformity with Article 23 of the Universal Declaration of Human rights 1948, which provides that the ‘right to work’ is the natural right of every man to obtain employment’, while the latter implies ‘proprietary right’ in employment. At common law, there is no legally enforceable ‘right to work’. The House of Lords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Allen v. Flood  </w:t>
      </w:r>
      <w:r>
        <w:rPr>
          <w:rFonts w:ascii="arial" w:eastAsia="arial" w:hAnsi="arial" w:cs="arial"/>
          <w:b w:val="0"/>
          <w:i w:val="0"/>
          <w:strike w:val="0"/>
          <w:noProof w:val="0"/>
          <w:color w:val="000000"/>
          <w:position w:val="0"/>
          <w:sz w:val="18"/>
          <w:u w:val="none"/>
          <w:vertAlign w:val="baseline"/>
        </w:rPr>
        <w:t xml:space="preserve">[1898] AC 1 (HL) </w:t>
      </w:r>
      <w:r>
        <w:rPr>
          <w:rFonts w:ascii="arial" w:eastAsia="arial" w:hAnsi="arial" w:cs="arial"/>
          <w:b w:val="0"/>
          <w:i/>
          <w:strike w:val="0"/>
          <w:noProof w:val="0"/>
          <w:color w:val="000000"/>
          <w:position w:val="0"/>
          <w:sz w:val="18"/>
          <w:u w:val="none"/>
          <w:vertAlign w:val="baseline"/>
        </w:rPr>
        <w:t>observed:</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“a man has no right to be employed by any particular employer, and has no right to any particular employment if it depends on the will of another.”</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Chan Soon Lee v. YB Menteri Sumber Manusia Malaysia &amp; Anor  </w:t>
      </w:r>
      <w:r>
        <w:rPr>
          <w:rFonts w:ascii="arial" w:eastAsia="arial" w:hAnsi="arial" w:cs="arial"/>
          <w:b w:val="0"/>
          <w:i w:val="0"/>
          <w:strike w:val="0"/>
          <w:noProof w:val="0"/>
          <w:color w:val="000000"/>
          <w:position w:val="0"/>
          <w:sz w:val="24"/>
          <w:u w:val="none"/>
          <w:vertAlign w:val="baseline"/>
        </w:rPr>
        <w:t>[1998] 5 CLJ 133</w:t>
      </w:r>
      <w:r>
        <w:rPr>
          <w:rFonts w:ascii="arial" w:eastAsia="arial" w:hAnsi="arial" w:cs="arial"/>
          <w:b/>
          <w:i w:val="0"/>
          <w:strike w:val="0"/>
          <w:noProof w:val="0"/>
          <w:color w:val="000000"/>
          <w:position w:val="0"/>
          <w:sz w:val="24"/>
          <w:u w:val="none"/>
          <w:vertAlign w:val="baseline"/>
        </w:rPr>
        <w:t>, at p. 145</w:t>
      </w:r>
      <w:r>
        <w:rPr>
          <w:rFonts w:ascii="arial" w:eastAsia="arial" w:hAnsi="arial" w:cs="arial"/>
          <w:b w:val="0"/>
          <w:i w:val="0"/>
          <w:strike w:val="0"/>
          <w:noProof w:val="0"/>
          <w:color w:val="000000"/>
          <w:position w:val="0"/>
          <w:sz w:val="24"/>
          <w:u w:val="none"/>
          <w:vertAlign w:val="baseline"/>
        </w:rPr>
        <w:t xml:space="preserve"> it was stated that the policy of the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is to strike a balance between the right of a workman to livelihood as against the right of the employer to dismiss his workman upon just cause or excuse (Ashgar, at p. 11). This is the case if there is fact established of a relationship of employer-employee between the disputing parties. In </w:t>
      </w:r>
      <w:r>
        <w:rPr>
          <w:rFonts w:ascii="arial" w:eastAsia="arial" w:hAnsi="arial" w:cs="arial"/>
          <w:b w:val="0"/>
          <w:i/>
          <w:strike w:val="0"/>
          <w:noProof w:val="0"/>
          <w:color w:val="000000"/>
          <w:position w:val="0"/>
          <w:sz w:val="24"/>
          <w:u w:val="none"/>
          <w:vertAlign w:val="baseline"/>
        </w:rPr>
        <w:t xml:space="preserve">Hong Leong Equipment Sdn. Bhd. v. Liew Fook Chuan &amp; Other Appeals  </w:t>
      </w:r>
      <w:r>
        <w:rPr>
          <w:rFonts w:ascii="arial" w:eastAsia="arial" w:hAnsi="arial" w:cs="arial"/>
          <w:b w:val="0"/>
          <w:i w:val="0"/>
          <w:strike w:val="0"/>
          <w:noProof w:val="0"/>
          <w:color w:val="000000"/>
          <w:position w:val="0"/>
          <w:sz w:val="24"/>
          <w:u w:val="none"/>
          <w:vertAlign w:val="baseline"/>
        </w:rPr>
        <w:t xml:space="preserve">[1997] 1 CLJ 665 and </w:t>
      </w:r>
      <w:r>
        <w:rPr>
          <w:rFonts w:ascii="arial" w:eastAsia="arial" w:hAnsi="arial" w:cs="arial"/>
          <w:b w:val="0"/>
          <w:i/>
          <w:strike w:val="0"/>
          <w:noProof w:val="0"/>
          <w:color w:val="000000"/>
          <w:position w:val="0"/>
          <w:sz w:val="24"/>
          <w:u w:val="none"/>
          <w:vertAlign w:val="baseline"/>
        </w:rPr>
        <w:t xml:space="preserve">R Rama Chandran v. Industrial Court of Malaysia &amp; Anor  </w:t>
      </w:r>
      <w:r>
        <w:rPr>
          <w:rFonts w:ascii="arial" w:eastAsia="arial" w:hAnsi="arial" w:cs="arial"/>
          <w:b w:val="0"/>
          <w:i w:val="0"/>
          <w:strike w:val="0"/>
          <w:noProof w:val="0"/>
          <w:color w:val="000000"/>
          <w:position w:val="0"/>
          <w:sz w:val="24"/>
          <w:u w:val="none"/>
          <w:vertAlign w:val="baseline"/>
        </w:rPr>
        <w:t>[1997] 1 CLJ 147 the courts recognize that an employee has a right to work and earn a living and apart from this being a fundamental right, it is also akin to property.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xml:space="preserve">  As set out above, the determination of whether the Claimant was a workman is a mixed question of law and fact. The question of law pertains to the definition of </w:t>
      </w:r>
      <w:r>
        <w:rPr>
          <w:rFonts w:ascii="arial" w:eastAsia="arial" w:hAnsi="arial" w:cs="arial"/>
          <w:b w:val="0"/>
          <w:i/>
          <w:strike w:val="0"/>
          <w:noProof w:val="0"/>
          <w:color w:val="000000"/>
          <w:position w:val="0"/>
          <w:sz w:val="24"/>
          <w:u w:val="none"/>
          <w:vertAlign w:val="baseline"/>
        </w:rPr>
        <w:t>“workman”</w:t>
      </w:r>
      <w:r>
        <w:rPr>
          <w:rFonts w:ascii="arial" w:eastAsia="arial" w:hAnsi="arial" w:cs="arial"/>
          <w:b w:val="0"/>
          <w:i w:val="0"/>
          <w:strike w:val="0"/>
          <w:noProof w:val="0"/>
          <w:color w:val="000000"/>
          <w:position w:val="0"/>
          <w:sz w:val="24"/>
          <w:u w:val="none"/>
          <w:vertAlign w:val="baseline"/>
        </w:rPr>
        <w:t xml:space="preserve"> in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and the facts to its determination must be to establish if that there was a contract of employment in existence. Where there is such a contract between the parties, the Court will then have to determine whether it was a contract of service or a contract for service. What is the distinction between these two phrases? The difference lies in the obligations of the employer to provide employee benefits and is governed by the provisions of the </w:t>
      </w:r>
      <w:r>
        <w:rPr>
          <w:rFonts w:ascii="arial" w:eastAsia="arial" w:hAnsi="arial" w:cs="arial"/>
          <w:b/>
          <w:i w:val="0"/>
          <w:strike w:val="0"/>
          <w:noProof w:val="0"/>
          <w:color w:val="000000"/>
          <w:position w:val="0"/>
          <w:sz w:val="24"/>
          <w:u w:val="none"/>
          <w:vertAlign w:val="baseline"/>
        </w:rPr>
        <w:t xml:space="preserve">Employment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1955</w:t>
      </w:r>
      <w:r>
        <w:rPr>
          <w:rFonts w:ascii="arial" w:eastAsia="arial" w:hAnsi="arial" w:cs="arial"/>
          <w:b w:val="0"/>
          <w:i w:val="0"/>
          <w:strike w:val="0"/>
          <w:noProof w:val="0"/>
          <w:color w:val="000000"/>
          <w:position w:val="0"/>
          <w:sz w:val="24"/>
          <w:u w:val="none"/>
          <w:vertAlign w:val="baseline"/>
        </w:rPr>
        <w:t xml:space="preserve"> because there is an employer-employee relationship in the case of a contract of service. The </w:t>
      </w:r>
      <w:r>
        <w:rPr>
          <w:rFonts w:ascii="arial" w:eastAsia="arial" w:hAnsi="arial" w:cs="arial"/>
          <w:b/>
          <w:i w:val="0"/>
          <w:strike w:val="0"/>
          <w:noProof w:val="0"/>
          <w:color w:val="000000"/>
          <w:position w:val="0"/>
          <w:sz w:val="24"/>
          <w:u w:val="none"/>
          <w:vertAlign w:val="baseline"/>
        </w:rPr>
        <w:t xml:space="preserve">1967 </w:t>
      </w:r>
      <w:r>
        <w:rPr>
          <w:rFonts w:ascii="arial" w:eastAsia="arial" w:hAnsi="arial" w:cs="arial"/>
          <w:b/>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provides for protection of the employee/workman for a reference to be made to the Minister where there is a dismissal claim.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On the contrary, in a contract for service, there is no employee-employer relationship as the person is usually self-employed or an independent contractor who provides his services for a fee and he controls his own work performance. He would be governed by the general laws of contract. Hence, the employer in the case of a contract for service is not obliged to provide any employee benefits for the work performed. Therefore, the Court will look to the intention of the Respondent at the time when the offer for work to the Claimant was made by the parties as well as the duties tasked upon him.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Applying the above test in </w:t>
      </w:r>
      <w:r>
        <w:rPr>
          <w:rFonts w:ascii="arial" w:eastAsia="arial" w:hAnsi="arial" w:cs="arial"/>
          <w:b/>
          <w:i/>
          <w:strike w:val="0"/>
          <w:noProof w:val="0"/>
          <w:color w:val="000000"/>
          <w:position w:val="0"/>
          <w:sz w:val="24"/>
          <w:u w:val="none"/>
          <w:vertAlign w:val="baseline"/>
        </w:rPr>
        <w:t>Hoh Kiang Ngan</w:t>
      </w:r>
      <w:r>
        <w:rPr>
          <w:rFonts w:ascii="arial" w:eastAsia="arial" w:hAnsi="arial" w:cs="arial"/>
          <w:b/>
          <w:i w:val="0"/>
          <w:strike w:val="0"/>
          <w:noProof w:val="0"/>
          <w:color w:val="000000"/>
          <w:position w:val="0"/>
          <w:sz w:val="24"/>
          <w:u w:val="none"/>
          <w:vertAlign w:val="baseline"/>
        </w:rPr>
        <w:t>’s</w:t>
      </w:r>
      <w:r>
        <w:rPr>
          <w:rFonts w:ascii="arial" w:eastAsia="arial" w:hAnsi="arial" w:cs="arial"/>
          <w:b w:val="0"/>
          <w:i w:val="0"/>
          <w:strike w:val="0"/>
          <w:noProof w:val="0"/>
          <w:color w:val="000000"/>
          <w:position w:val="0"/>
          <w:sz w:val="24"/>
          <w:u w:val="none"/>
          <w:vertAlign w:val="baseline"/>
        </w:rPr>
        <w:t xml:space="preserve"> case, that is, in determining the terms of the contract to this case, where there is a written contract of employment, the task is to interpret its terms in order to determine the nature of the latter’s duties and functions. However, where there is no written contract between the parties; then its terms must be established and construed. What were the terms of the purported contract of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It was contended by the Claimant that he was an employee of the Respondent, and he was dismissed due to non-payment of his salary and commissions as agreed by the parties before. Therefore, the Claimant must prove the fact of employment first before he can even proceed to prove his dismissal. He is the party that has to prove the existence of a contract of service or contract of employment, whether it be an oral agreement or in writing, not the Respondent. Needless to say, further, obviously the Claimant bears the burden of proof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Nevertheless, in this case in the first place, there is the disputed issue of employment which the Court must resolve, based on all evidence presented before it. The issue that the Court has to consider first is whether there was a contract of employment between the disputing parties. It was pleaded by the Respondent that the Claimant’s claim of dismissal is not an issue before this Court as no employment had taken place.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After perusing the evidence and documents submitted, the Court finds that there were no documentary or oral evidence of the usual terms in a contract of employment such as benefits, commencement, days and hours of work, annual leave, sick leave, probation, termination of employment and notice period and restrictions of services/trade, to name a few. Even if there was no written contract, these are terms which are important to be made known between the parties so that there would not be confusion in determining such basic terms should there be a dispute on the employment in future. For instance, how long a period does an employee have to give notice in case he wants to leave his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Undoubtedly, this Court finds that there was no contract of service between the Respondent and the Claimant at the material times. Nor was there any letter of offer or letter of confirmation issued by the Respondent to the Claimant to that effect. There was no evidence adduced by the Claimant that the course of employment had taken place to be construed him as the workman or employee of the Respondent at all material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Therefore, it was impossible for the Respondent to simply dismiss the Claimant. It was submitted by the Respondent further that the payments made to the Claimant were for consultation fees on the work he had done in making the negotiation for an amicable settlement process. In light of the dispute on the existence of a contract of employment, it was submitted that the Claimant bears the burden of proof to prove its existence and that there was in fact an employee-employer relationship between them.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On the issue of whether consultation fees had been reflective of monthly salaries in normal employment relationships between the Claimant and the Respondent that could be gauged as consideration, there had not been an express or written contract between the Claimant and the Respondent at any reasonable time. The payments to him had been noted as consultation fees or part consultation fees, in which the Respondent had not controlled his work, although there had been a commission for settlement due to him if the negotiation was successful, but no written agreement entered and signed between them as alleged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Nevertheless, the Court finds that the fact there was some work done by the Claimant for the Respondent does not automatically make him a workman of the Respondent within the context of s. 2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because of the distinction between a contract of service and contract for services. Were the consultation fees reflective of monthly salaries in normal employment relationships between companies and their employees that could be gauged as consideration?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Dr. Ashgar Ali</w:t>
      </w:r>
      <w:r>
        <w:rPr>
          <w:rFonts w:ascii="arial" w:eastAsia="arial" w:hAnsi="arial" w:cs="arial"/>
          <w:b w:val="0"/>
          <w:i w:val="0"/>
          <w:strike w:val="0"/>
          <w:noProof w:val="0"/>
          <w:color w:val="000000"/>
          <w:position w:val="0"/>
          <w:sz w:val="24"/>
          <w:u w:val="none"/>
          <w:vertAlign w:val="baseline"/>
        </w:rPr>
        <w:t xml:space="preserve"> said at p. 76, an employee under a contract of service will be entitled to invoke the jurisdiction of the Industrial Court in the event that his rights under the statute had been violated by the employer and this would include the dismissal without just cause or excuse under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Further in his book, </w:t>
      </w:r>
      <w:r>
        <w:rPr>
          <w:rFonts w:ascii="arial" w:eastAsia="arial" w:hAnsi="arial" w:cs="arial"/>
          <w:b w:val="0"/>
          <w:i/>
          <w:strike w:val="0"/>
          <w:noProof w:val="0"/>
          <w:color w:val="000000"/>
          <w:position w:val="0"/>
          <w:sz w:val="24"/>
          <w:u w:val="none"/>
          <w:vertAlign w:val="baseline"/>
        </w:rPr>
        <w:t>Dr. Ashgar Ali</w:t>
      </w:r>
      <w:r>
        <w:rPr>
          <w:rFonts w:ascii="arial" w:eastAsia="arial" w:hAnsi="arial" w:cs="arial"/>
          <w:b w:val="0"/>
          <w:i w:val="0"/>
          <w:strike w:val="0"/>
          <w:noProof w:val="0"/>
          <w:color w:val="000000"/>
          <w:position w:val="0"/>
          <w:sz w:val="24"/>
          <w:u w:val="none"/>
          <w:vertAlign w:val="baseline"/>
        </w:rPr>
        <w:t xml:space="preserve"> at p. 73 stated: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Gooi Ah Soong v. Kumpulan Simpanan Wang Pekerja &amp; Anor  </w:t>
      </w:r>
      <w:r>
        <w:rPr>
          <w:rFonts w:ascii="arial" w:eastAsia="arial" w:hAnsi="arial" w:cs="arial"/>
          <w:b w:val="0"/>
          <w:i w:val="0"/>
          <w:strike w:val="0"/>
          <w:noProof w:val="0"/>
          <w:color w:val="000000"/>
          <w:position w:val="0"/>
          <w:sz w:val="18"/>
          <w:u w:val="none"/>
          <w:vertAlign w:val="baseline"/>
        </w:rPr>
        <w:t>[2013] 3 ILR 1; ; [2013] 7 MLJ 777</w:t>
      </w:r>
      <w:r>
        <w:rPr>
          <w:rFonts w:ascii="arial" w:eastAsia="arial" w:hAnsi="arial" w:cs="arial"/>
          <w:b/>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 the court in arriving at the conclusion that the applicant’s service was a contract for service and not a contract of service, relied on the following piece of evidence:</w:t>
      </w:r>
      <w:r>
        <w:t>
</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absence of an express written contract or letter of appointment reflect the true intention of the parties that the applicant had never been intended to be employed as an employee but a mere ‘contract for services’ with the second respondent;</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most payments made to the applicant clearly stated that the payments were a ‘caretaker’s allowance’ and ‘one-off ex gratia’;</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increased payments made to the applicant had not automatically been made but was only done upon the applicant’s requests or appeals;</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there was no evidence to show that the second respondent exercised any control over the applicant and the manner in which the applicant performed his tasks;</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that the applicant was entitled to a profit of 10 per cent of the sum charged to patrons of the bungalow on top of the fixed monthly payments is consistent with a contract for services in which no domestic servant would be able to enjoy the same kind of control that the applicant had over the way he performed his tasks and to run the food and drink business liking to a catering business;</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supply of equipment that is kitchen appliances for the applicant’s use was intended to facilitate the applicant’s tasks to provide catering business but does not mean that the second respondent had entered into a contract of service with the applicant; and</w:t>
      </w:r>
    </w:p>
    <w:p>
      <w:pPr>
        <w:keepNext w:val="0"/>
        <w:numPr>
          <w:numId w:val="21"/>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fact that the bungalow was rented and subsequently the lease period was terminated and the services of the applicant was no longer needed and ceased was consistent with the situation that the applicant had not been dismissed but rather his contract for services had come to an end.”</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[61]</w:t>
      </w:r>
      <w:r>
        <w:rPr>
          <w:rFonts w:ascii="arial" w:eastAsia="arial" w:hAnsi="arial" w:cs="arial"/>
          <w:b w:val="0"/>
          <w:i w:val="0"/>
          <w:strike w:val="0"/>
          <w:noProof w:val="0"/>
          <w:color w:val="000000"/>
          <w:position w:val="0"/>
          <w:sz w:val="18"/>
          <w:u w:val="none"/>
          <w:vertAlign w:val="baseline"/>
        </w:rPr>
        <w:t>  Thus, the consultation fee that had been paid to him could not be considered a monthly salary as per the intention of the definition of workman under the IRA and it had not qualified as a contract for service. In a contract for service, the employer is entitled to direct what work is to be done but does not control the manner in which it is done. Since there had not been a contract of employment between the parties, the Respondent had not been under any obligation to respond. In view of the Claimant not being an employee of the Respondent, it did not give him a fixed salary but merely commission on work done basis. The sums were deemed limited to be an advance from the Respondent in the matter of courtesy of his willful assistance and advise in handling the Respondent’s IR matter at the IR Department stage.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[62]</w:t>
      </w:r>
      <w:r>
        <w:rPr>
          <w:rFonts w:ascii="arial" w:eastAsia="arial" w:hAnsi="arial" w:cs="arial"/>
          <w:b w:val="0"/>
          <w:i w:val="0"/>
          <w:strike w:val="0"/>
          <w:noProof w:val="0"/>
          <w:color w:val="000000"/>
          <w:position w:val="0"/>
          <w:sz w:val="18"/>
          <w:u w:val="none"/>
          <w:vertAlign w:val="baseline"/>
        </w:rPr>
        <w:t xml:space="preserve">  Ever since that there was no express/written contract of employment, the payments to the Claimant were noted as consultation fee/part consultation fee, no evidence of the manner in which the Respondent controlled the work of the Claimant and there is no written agreement that there was commission due to him if the negotiation on amicable settlement was successful. Therefore, the Court cannot in good conscience conclude that a consultation fee is a monthly salary as what was intended in definition of </w:t>
      </w:r>
      <w:r>
        <w:rPr>
          <w:rFonts w:ascii="arial" w:eastAsia="arial" w:hAnsi="arial" w:cs="arial"/>
          <w:b w:val="0"/>
          <w:i/>
          <w:strike w:val="0"/>
          <w:noProof w:val="0"/>
          <w:color w:val="000000"/>
          <w:position w:val="0"/>
          <w:sz w:val="18"/>
          <w:u w:val="none"/>
          <w:vertAlign w:val="baseline"/>
        </w:rPr>
        <w:t>“workman”</w:t>
      </w:r>
      <w:r>
        <w:rPr>
          <w:rFonts w:ascii="arial" w:eastAsia="arial" w:hAnsi="arial" w:cs="arial"/>
          <w:b w:val="0"/>
          <w:i w:val="0"/>
          <w:strike w:val="0"/>
          <w:noProof w:val="0"/>
          <w:color w:val="000000"/>
          <w:position w:val="0"/>
          <w:sz w:val="18"/>
          <w:u w:val="none"/>
          <w:vertAlign w:val="baseline"/>
        </w:rPr>
        <w:t xml:space="preserve"> in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The consultancy services given by the Claimant as </w:t>
      </w:r>
      <w:r>
        <w:rPr>
          <w:rFonts w:ascii="arial" w:eastAsia="arial" w:hAnsi="arial" w:cs="arial"/>
          <w:b w:val="0"/>
          <w:i/>
          <w:strike w:val="0"/>
          <w:noProof w:val="0"/>
          <w:color w:val="000000"/>
          <w:position w:val="0"/>
          <w:sz w:val="18"/>
          <w:u w:val="none"/>
          <w:vertAlign w:val="baseline"/>
        </w:rPr>
        <w:t>“wakil”</w:t>
      </w:r>
      <w:r>
        <w:rPr>
          <w:rFonts w:ascii="arial" w:eastAsia="arial" w:hAnsi="arial" w:cs="arial"/>
          <w:b w:val="0"/>
          <w:i w:val="0"/>
          <w:strike w:val="0"/>
          <w:noProof w:val="0"/>
          <w:color w:val="000000"/>
          <w:position w:val="0"/>
          <w:sz w:val="18"/>
          <w:u w:val="none"/>
          <w:vertAlign w:val="baseline"/>
        </w:rPr>
        <w:t xml:space="preserve"> do not qualify as a contract of service and hence, it is not a contract of employment. In a contract for services, the employer is entitled to direct what work is to be done but does not control the manner of doing the work.</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[63]</w:t>
      </w:r>
      <w:r>
        <w:rPr>
          <w:rFonts w:ascii="arial" w:eastAsia="arial" w:hAnsi="arial" w:cs="arial"/>
          <w:b w:val="0"/>
          <w:i w:val="0"/>
          <w:strike w:val="0"/>
          <w:noProof w:val="0"/>
          <w:color w:val="000000"/>
          <w:position w:val="0"/>
          <w:sz w:val="18"/>
          <w:u w:val="none"/>
          <w:vertAlign w:val="baseline"/>
        </w:rPr>
        <w:t xml:space="preserve">  In the present case, the fact of dismissal was in dispute as the Respondent claimed dismissal did not take place because the Claimant was not her employee. Hence, it is for the Claimant to prove that he was an employee of the Respondent within the meaning of s. 2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and that there was dismissal from employment before the Court can go any further in determining that if dismissal had taken place, then it was done without just cause or excuse. The basic principle of the burden of proof is that he who asserts must prove; in this regard, the Claimant must prove his assertion on a balance of probabilities that he was offered a contract of employment by the Respondent. The legal burden is on the Claimant and not the Respondent that there was a contract of employment and dismissal had taken place.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[64]</w:t>
      </w:r>
      <w:r>
        <w:rPr>
          <w:rFonts w:ascii="arial" w:eastAsia="arial" w:hAnsi="arial" w:cs="arial"/>
          <w:b w:val="0"/>
          <w:i w:val="0"/>
          <w:strike w:val="0"/>
          <w:noProof w:val="0"/>
          <w:color w:val="000000"/>
          <w:position w:val="0"/>
          <w:sz w:val="18"/>
          <w:u w:val="none"/>
          <w:vertAlign w:val="baseline"/>
        </w:rPr>
        <w:t xml:space="preserve">  In this regard, his allegation that he had not been paid for some of his consultation fees, commissions and expenses incurred, his recourse would be with the Civil Courts. This Industrial Court did not have the jurisdiction to consider such matters as the remedy sought had been for reinstatement to his former employment, a fact which had not been proven by him. In </w:t>
      </w:r>
      <w:r>
        <w:rPr>
          <w:rFonts w:ascii="arial" w:eastAsia="arial" w:hAnsi="arial" w:cs="arial"/>
          <w:b w:val="0"/>
          <w:i/>
          <w:strike w:val="0"/>
          <w:noProof w:val="0"/>
          <w:color w:val="000000"/>
          <w:position w:val="0"/>
          <w:sz w:val="18"/>
          <w:u w:val="none"/>
          <w:vertAlign w:val="baseline"/>
        </w:rPr>
        <w:t xml:space="preserve">Elizabeth Voo Sook Ling v. Kuala Lumpur City Securities Sdn. Bhd.  </w:t>
      </w:r>
      <w:r>
        <w:rPr>
          <w:rFonts w:ascii="arial" w:eastAsia="arial" w:hAnsi="arial" w:cs="arial"/>
          <w:b w:val="0"/>
          <w:i w:val="0"/>
          <w:strike w:val="0"/>
          <w:noProof w:val="0"/>
          <w:color w:val="000000"/>
          <w:position w:val="0"/>
          <w:sz w:val="18"/>
          <w:u w:val="none"/>
          <w:vertAlign w:val="baseline"/>
        </w:rPr>
        <w:t xml:space="preserve">[2003] 2 ILR 570;  (Award No. 481 of 2003), the Industrial Court,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held:</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“The claimant may have a remedy for breach of contract in a Civil Court. In the Industrial Court, in order for the claimant to succeed, the claimant must have been employed by the company....”</w:t>
      </w:r>
      <w:r>
        <w:t>
</w:t>
      </w:r>
    </w:p>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xml:space="preserve">  The Court is not satisfied that the Claimant has been able to discharge this burden of proof on the balance of probabilities that he was a </w:t>
      </w:r>
      <w:r>
        <w:rPr>
          <w:rFonts w:ascii="arial" w:eastAsia="arial" w:hAnsi="arial" w:cs="arial"/>
          <w:b w:val="0"/>
          <w:i/>
          <w:strike w:val="0"/>
          <w:noProof w:val="0"/>
          <w:color w:val="000000"/>
          <w:position w:val="0"/>
          <w:sz w:val="24"/>
          <w:u w:val="none"/>
          <w:vertAlign w:val="baseline"/>
        </w:rPr>
        <w:t>“workman”</w:t>
      </w:r>
      <w:r>
        <w:rPr>
          <w:rFonts w:ascii="arial" w:eastAsia="arial" w:hAnsi="arial" w:cs="arial"/>
          <w:b w:val="0"/>
          <w:i w:val="0"/>
          <w:strike w:val="0"/>
          <w:noProof w:val="0"/>
          <w:color w:val="000000"/>
          <w:position w:val="0"/>
          <w:sz w:val="24"/>
          <w:u w:val="none"/>
          <w:vertAlign w:val="baseline"/>
        </w:rPr>
        <w:t xml:space="preserve"> within the ambit of s.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Court has applied the principles of equity and good conscience to the case for both parties, and justice must be meted out without fear or favour. Bearing in mind that the </w:t>
      </w:r>
      <w:r>
        <w:rPr>
          <w:rFonts w:ascii="arial" w:eastAsia="arial" w:hAnsi="arial" w:cs="arial"/>
          <w:b/>
          <w:i w:val="0"/>
          <w:strike w:val="0"/>
          <w:noProof w:val="0"/>
          <w:color w:val="000000"/>
          <w:position w:val="0"/>
          <w:sz w:val="24"/>
          <w:u w:val="none"/>
          <w:vertAlign w:val="baseline"/>
        </w:rPr>
        <w:t xml:space="preserve">1967 </w:t>
      </w:r>
      <w:r>
        <w:rPr>
          <w:rFonts w:ascii="arial" w:eastAsia="arial" w:hAnsi="arial" w:cs="arial"/>
          <w:b/>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is a piece of social welfare legislation, the Court had considered all the circumstances of the case and could only conclude that there was a contract for services but no contract of service to culminate in a contract of employment as defined in s. 2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between the Claimant and the Respondent. Therefore, there was no dismissal from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In the absence of a contract of employment, it is hardly possible for the Court to evaluate the terms and conditions therein and in the process. Hence, the Court could not determine that the Claimant was dismissed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xml:space="preserve">  In conclusion, based on the facts and evidence before the Court, this Court finds that the Claimant had failed to prove on a balance of probabilities that he is a </w:t>
      </w:r>
      <w:r>
        <w:rPr>
          <w:rFonts w:ascii="arial" w:eastAsia="arial" w:hAnsi="arial" w:cs="arial"/>
          <w:b w:val="0"/>
          <w:i/>
          <w:strike w:val="0"/>
          <w:noProof w:val="0"/>
          <w:color w:val="000000"/>
          <w:position w:val="0"/>
          <w:sz w:val="24"/>
          <w:u w:val="none"/>
          <w:vertAlign w:val="baseline"/>
        </w:rPr>
        <w:t>“workman”</w:t>
      </w:r>
      <w:r>
        <w:rPr>
          <w:rFonts w:ascii="arial" w:eastAsia="arial" w:hAnsi="arial" w:cs="arial"/>
          <w:b w:val="0"/>
          <w:i w:val="0"/>
          <w:strike w:val="0"/>
          <w:noProof w:val="0"/>
          <w:color w:val="000000"/>
          <w:position w:val="0"/>
          <w:sz w:val="24"/>
          <w:u w:val="none"/>
          <w:vertAlign w:val="baseline"/>
        </w:rPr>
        <w:t xml:space="preserve"> within the definition of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therefore not covered under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single"/>
          <w:vertAlign w:val="baseline"/>
        </w:rPr>
        <w:t xml:space="preserve">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Nova Charm Sdn. Bhd. v. Ooi Hock Huat  </w:t>
      </w:r>
      <w:r>
        <w:rPr>
          <w:rFonts w:ascii="arial" w:eastAsia="arial" w:hAnsi="arial" w:cs="arial"/>
          <w:b w:val="0"/>
          <w:i w:val="0"/>
          <w:strike w:val="0"/>
          <w:noProof w:val="0"/>
          <w:color w:val="000000"/>
          <w:position w:val="0"/>
          <w:sz w:val="24"/>
          <w:u w:val="none"/>
          <w:vertAlign w:val="baseline"/>
        </w:rPr>
        <w:t>[2002] 1 ILR 706</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Industrial Court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The court is of the view that the conduct of the parties in the performance of the services point to an arrangement for the rendition of delivery services by the claimant on an ad hoc and casual basis rather than one where there a contract of service between an employer and employee. Indeed, the only element in this case that is the slightest indication of an employment relationship is the fact that the claimant used the company’s van to perform the services. This sole factor is clearly not determinative of the character of the relationship when the entire facts and circumstances of the case are viewed in totality.</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For the reasons above, the court holds that the claimant has failed to discharge the burden of proving that he was workman within the meaning of the </w:t>
      </w:r>
      <w:r>
        <w:rPr>
          <w:rFonts w:ascii="arial" w:eastAsia="arial" w:hAnsi="arial" w:cs="arial"/>
          <w:b/>
          <w:i/>
          <w:strike w:val="0"/>
          <w:noProof w:val="0"/>
          <w:color w:val="000000"/>
          <w:position w:val="0"/>
          <w:sz w:val="18"/>
          <w:u w:val="none"/>
          <w:vertAlign w:val="baseline"/>
        </w:rPr>
        <w:t xml:space="preserve">Industrial Relations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none"/>
          <w:vertAlign w:val="baseline"/>
        </w:rPr>
        <w:t xml:space="preserve"> 1967.</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[69]</w:t>
      </w:r>
      <w:r>
        <w:rPr>
          <w:rFonts w:ascii="arial" w:eastAsia="arial" w:hAnsi="arial" w:cs="arial"/>
          <w:b w:val="0"/>
          <w:i w:val="0"/>
          <w:strike w:val="0"/>
          <w:noProof w:val="0"/>
          <w:color w:val="000000"/>
          <w:position w:val="0"/>
          <w:sz w:val="24"/>
          <w:u w:val="none"/>
          <w:vertAlign w:val="baseline"/>
        </w:rPr>
        <w:t>  Based on the foregoing reasons as above, the second issue on whether the Claimant had been dismissed by the Respondent and whether the said dismissal was with just cause or excuse, does not arise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[70]</w:t>
      </w:r>
      <w:r>
        <w:rPr>
          <w:rFonts w:ascii="arial" w:eastAsia="arial" w:hAnsi="arial" w:cs="arial"/>
          <w:b w:val="0"/>
          <w:i w:val="0"/>
          <w:strike w:val="0"/>
          <w:noProof w:val="0"/>
          <w:color w:val="000000"/>
          <w:position w:val="0"/>
          <w:sz w:val="24"/>
          <w:u w:val="none"/>
          <w:vertAlign w:val="baseline"/>
        </w:rPr>
        <w:t xml:space="preserve">  In arriving at this decision, this Court have taken into consideration the totality of the facts and evidence adduced by both parties and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 to the principles of equity, good conscience and substantial merits of the case without regard to technicalities and legal form.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[71]</w:t>
      </w:r>
      <w:r>
        <w:rPr>
          <w:rFonts w:ascii="arial" w:eastAsia="arial" w:hAnsi="arial" w:cs="arial"/>
          <w:b w:val="0"/>
          <w:i w:val="0"/>
          <w:strike w:val="0"/>
          <w:noProof w:val="0"/>
          <w:color w:val="000000"/>
          <w:position w:val="0"/>
          <w:sz w:val="24"/>
          <w:u w:val="none"/>
          <w:vertAlign w:val="baseline"/>
        </w:rPr>
        <w:t>  Accordingly, the Claimant’s claim is hereby dismissed.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Gurdeep Singh a/l Charan Singh v How Peck Hwa  [2024] ILJU 148</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18"/>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Gurdeep Singh a/l Charan Singh v How Peck Hwa  [2024] ILJU 148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2-CXR3-MCP4-0371-00000-00">
    <vt:lpwstr>Doc::/shared/document|contextualFeaturePermID::1522468</vt:lpwstr>
  </property>
  <property fmtid="{D5CDD505-2E9C-101B-9397-08002B2CF9AE}" pid="4" name="LNDeliveryID">
    <vt:lpwstr>283274771</vt:lpwstr>
  </property>
  <property fmtid="{D5CDD505-2E9C-101B-9397-08002B2CF9AE}" pid="5" name="UserPermID">
    <vt:lpwstr>urn:user:PA196491919</vt:lpwstr>
  </property>
</Properties>
</file>