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keepNext w:val="0"/>
        <w:spacing w:after="0" w:line="34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7" o:title=""/>
          </v:shape>
        </w:pict>
      </w:r>
      <w:r>
        <w:t xml:space="preserve">  </w:t>
      </w:r>
      <w:r>
        <w:t> </w:t>
      </w:r>
      <w:r>
        <w:rPr>
          <w:rFonts w:ascii="arial" w:eastAsia="arial" w:hAnsi="arial" w:cs="arial"/>
          <w:b w:val="0"/>
          <w:i w:val="0"/>
          <w:strike w:val="0"/>
          <w:noProof w:val="0"/>
          <w:color w:val="000000"/>
          <w:position w:val="0"/>
          <w:sz w:val="28"/>
          <w:u w:val="none"/>
          <w:vertAlign w:val="baseline"/>
        </w:rPr>
        <w:t xml:space="preserve">               HANIFAH BT HAMZAH &amp; ORS v SYARIKAT UTUSAN MELAYU (M) BHD (VOLUNTARY WINDING UP OF DEBTORS) AND ANOTHER CASE</w:t>
      </w:r>
    </w:p>
    <w:p>
      <w:pPr>
        <w:spacing w:line="240" w:lineRule="exact"/>
      </w:pPr>
    </w:p>
    <w:p>
      <w:pPr>
        <w:keepNext w:val="0"/>
        <w:spacing w:after="0" w:line="240" w:lineRule="atLeast"/>
        <w:ind w:right="0"/>
        <w:jc w:val="center"/>
      </w:pPr>
      <w:r>
        <w:rPr>
          <w:rFonts w:ascii="arial" w:eastAsia="arial" w:hAnsi="arial" w:cs="arial"/>
          <w:b/>
          <w:i w:val="0"/>
          <w:strike w:val="0"/>
          <w:noProof w:val="0"/>
          <w:color w:val="BE161D"/>
          <w:position w:val="0"/>
          <w:sz w:val="24"/>
          <w:u w:val="none"/>
          <w:vertAlign w:val="baseline"/>
        </w:rPr>
        <w:t>CaseAnalysis</w:t>
      </w:r>
      <w:r>
        <w:rPr>
          <w:rFonts w:ascii="arial" w:eastAsia="arial" w:hAnsi="arial" w:cs="arial"/>
          <w:b w:val="0"/>
          <w:i w:val="0"/>
          <w:strike w:val="0"/>
          <w:noProof w:val="0"/>
          <w:color w:val="000000"/>
          <w:position w:val="0"/>
          <w:sz w:val="24"/>
          <w:u w:val="none"/>
          <w:vertAlign w:val="baseline"/>
        </w:rPr>
        <w:t xml:space="preserve">                                                                                                                                                                                                                                                                                       </w:t>
      </w:r>
      <w:r>
        <w:t xml:space="preserve"> </w:t>
      </w:r>
      <w:r>
        <w:t xml:space="preserve"> </w:t>
      </w:r>
      <w:r>
        <w:t xml:space="preserve"> </w:t>
      </w:r>
      <w:r>
        <w:rPr>
          <w:rFonts w:ascii="arial" w:eastAsia="arial" w:hAnsi="arial" w:cs="arial"/>
          <w:b w:val="0"/>
          <w:i w:val="0"/>
          <w:strike w:val="0"/>
          <w:noProof w:val="0"/>
          <w:color w:val="D9D9D9"/>
          <w:position w:val="0"/>
          <w:sz w:val="24"/>
          <w:u w:val="none"/>
          <w:vertAlign w:val="baseline"/>
        </w:rPr>
        <w:t>|</w:t>
      </w:r>
      <w:r>
        <w:t xml:space="preserve"> </w:t>
      </w:r>
      <w:r>
        <w:t xml:space="preserve"> </w:t>
      </w:r>
      <w:r>
        <w:t xml:space="preserve"> </w:t>
      </w:r>
      <w:r>
        <w:rPr>
          <w:rFonts w:ascii="arial" w:eastAsia="arial" w:hAnsi="arial" w:cs="arial"/>
          <w:b w:val="0"/>
          <w:i w:val="0"/>
          <w:strike w:val="0"/>
          <w:noProof w:val="0"/>
          <w:color w:val="000000"/>
          <w:position w:val="0"/>
          <w:sz w:val="24"/>
          <w:u w:val="none"/>
          <w:vertAlign w:val="baseline"/>
        </w:rPr>
        <w:t xml:space="preserve">[2024] MLJU 1649                                                                  </w:t>
      </w:r>
      <w:r>
        <w:cr/>
      </w:r>
    </w:p>
    <w:p>
      <w:r>
        <w:pict>
          <v:line id="_x0000_s1026" style="position:absolute;z-index:251658240" from="0,2pt" to="512pt,2pt" strokecolor="gray">
            <v:stroke linestyle="single"/>
          </v:line>
        </w:pict>
      </w:r>
    </w:p>
    <w:p>
      <w:pPr>
        <w:pStyle w:val="Heading1"/>
        <w:keepNext w:val="0"/>
        <w:spacing w:before="0" w:after="60" w:line="340" w:lineRule="atLeast"/>
        <w:ind w:left="120" w:right="0" w:firstLine="0"/>
        <w:jc w:val="center"/>
      </w:pPr>
      <w:r>
        <w:br/>
      </w:r>
      <w:r>
        <w:pict>
          <v:shape id="_x0000_i1027" type="#_x0000_t75" style="width:12.75pt;height:12.75pt">
            <v:imagedata r:id="rId7" o:title=""/>
          </v:shape>
        </w:pict>
      </w:r>
      <w:r>
        <w:rPr>
          <w:rFonts w:ascii="arial" w:eastAsia="arial" w:hAnsi="arial" w:cs="arial"/>
          <w:b/>
          <w:i w:val="0"/>
          <w:strike w:val="0"/>
          <w:noProof w:val="0"/>
          <w:color w:val="0077CC"/>
          <w:position w:val="0"/>
          <w:sz w:val="28"/>
          <w:u w:val="none"/>
          <w:vertAlign w:val="baseline"/>
        </w:rPr>
        <w:t xml:space="preserve">               HANIFAH BT HAMZAH &amp; ORS v SYARIKAT UTUSAN MELAYU (M) BHD (VOLUNTARY WINDING UP OF DEBTORS) AND ANOTHER CASE</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 xml:space="preserve">                                                                                                                                                                                                                                                                                       [2024] MLJU 1649                                                                  </w:t>
      </w:r>
    </w:p>
    <w:p/>
    <w:p>
      <w:pPr>
        <w:spacing w:line="200" w:lineRule="exact"/>
      </w:pP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Court:</w:t>
      </w:r>
      <w:r>
        <w:rPr>
          <w:rFonts w:ascii="arial" w:eastAsia="arial" w:hAnsi="arial" w:cs="arial"/>
          <w:b w:val="0"/>
          <w:i w:val="0"/>
          <w:strike w:val="0"/>
          <w:noProof w:val="0"/>
          <w:color w:val="000000"/>
          <w:position w:val="0"/>
          <w:sz w:val="24"/>
          <w:u w:val="none"/>
          <w:vertAlign w:val="baseline"/>
        </w:rPr>
        <w:t> MALAYSIA COURT OF APPEAL</w:t>
      </w:r>
    </w:p>
    <w:p>
      <w:pPr>
        <w:keepNext w:val="0"/>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Judges:</w:t>
      </w:r>
      <w:r>
        <w:rPr>
          <w:rFonts w:ascii="arial" w:eastAsia="arial" w:hAnsi="arial" w:cs="arial"/>
          <w:b w:val="0"/>
          <w:i w:val="0"/>
          <w:strike w:val="0"/>
          <w:noProof w:val="0"/>
          <w:color w:val="000000"/>
          <w:position w:val="0"/>
          <w:sz w:val="24"/>
          <w:u w:val="none"/>
          <w:vertAlign w:val="baseline"/>
        </w:rPr>
        <w:t xml:space="preserve">                   HANIPAH FARIKULLAH, AZIMAH OMAR AND KOMATHY SUPPIAH JJCA               </w:t>
      </w:r>
    </w:p>
    <w:p>
      <w:pPr>
        <w:keepNext w:val="0"/>
        <w:spacing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Judgment Date:</w:t>
      </w:r>
      <w:r>
        <w:rPr>
          <w:rFonts w:ascii="arial" w:eastAsia="arial" w:hAnsi="arial" w:cs="arial"/>
          <w:b w:val="0"/>
          <w:i w:val="0"/>
          <w:strike w:val="0"/>
          <w:noProof w:val="0"/>
          <w:color w:val="000000"/>
          <w:position w:val="0"/>
          <w:sz w:val="24"/>
          <w:u w:val="none"/>
          <w:vertAlign w:val="baseline"/>
        </w:rPr>
        <w:t xml:space="preserve">                   15/7/2024               </w:t>
      </w:r>
    </w:p>
    <w:p>
      <w:pPr>
        <w:keepNext/>
        <w:spacing w:before="120" w:after="0" w:line="340" w:lineRule="atLeast"/>
        <w:ind w:left="0" w:right="0" w:firstLine="0"/>
        <w:jc w:val="left"/>
      </w:pPr>
      <w:bookmarkStart w:id="0" w:name="Catchwords &amp; Digest"/>
      <w:bookmarkEnd w:id="0"/>
      <w:r>
        <w:rPr>
          <w:rFonts w:ascii="arial" w:eastAsia="arial" w:hAnsi="arial" w:cs="arial"/>
          <w:b/>
          <w:i w:val="0"/>
          <w:strike w:val="0"/>
          <w:noProof w:val="0"/>
          <w:color w:val="000000"/>
          <w:position w:val="0"/>
          <w:sz w:val="28"/>
          <w:u w:val="none"/>
          <w:vertAlign w:val="baseline"/>
        </w:rPr>
        <w:t>Catchwords &amp; Digest</w:t>
      </w:r>
    </w:p>
    <w:p>
      <w:pPr>
        <w:spacing w:line="60" w:lineRule="exact"/>
      </w:pPr>
      <w:r>
        <w:pict>
          <v:line id="_x0000_s1028" style="position:absolute;z-index:251659264" from="0,2pt" to="512pt,2pt" strokecolor="#009ddb" strokeweight="2pt">
            <v:stroke linestyle="single"/>
          </v:line>
        </w:pict>
      </w:r>
    </w:p>
    <w:p>
      <w:pPr>
        <w:spacing w:line="240" w:lineRule="exact"/>
      </w:pPr>
    </w:p>
    <w:p>
      <w:pPr>
        <w:keepNext w:val="0"/>
        <w:pBdr>
          <w:top w:val="single" w:sz="8" w:space="5" w:color="DCDCDC"/>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Held</w:t>
      </w:r>
      <w:r>
        <w:rPr>
          <w:rFonts w:ascii="arial" w:eastAsia="arial" w:hAnsi="arial" w:cs="arial"/>
          <w:b w:val="0"/>
          <w:i/>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dismissing the appeals with costs of RM10,000 to be paid by the appellants to each respondent:</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Section 451(2)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was couched in mandatory language. It stipulated that no action or proceedings could be brought against the company in liquidation except with the leave of the court. It required all claimants against a company under liquidation to recover their monetary claims in the winding up only, except with the leave of the court (see para 13).                  </w:t>
      </w:r>
      <w:r>
        <w:rPr>
          <w:rFonts w:ascii="arial" w:eastAsia="arial" w:hAnsi="arial" w:cs="arial"/>
          <w:b w:val="0"/>
          <w:i w:val="0"/>
          <w:strike w:val="0"/>
          <w:noProof w:val="0"/>
          <w:color w:val="000000"/>
          <w:position w:val="0"/>
          <w:sz w:val="24"/>
          <w:u w:val="none"/>
          <w:vertAlign w:val="baseline"/>
        </w:rPr>
        <w:t xml:space="preserve">                  </w:t>
      </w:r>
    </w:p>
    <w:p>
      <w:pPr>
        <w:keepNext w:val="0"/>
        <w:numPr>
          <w:numId w:val="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court agreed with trial judge’s view that that s 451(2)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must be read together with s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 former being a more specific provision which dealt with when proceedings could be instituted against a company when a winding up order had been made, prevailed over s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 general provision. The court was in agreement with the trial judge that the minister erred in law and exceeded the power given to him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referring the appellants’ claims to the Industrial Court without ensuring that the appellants had first obtained leave from the winding up court. The court therefore held that the trial judge was correct in holding that pursuant to s 451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the appellants’ claims could only be recovered in the winding up proceedings and could not be recovered by other means except with leave of the court (see paras 16–17).                  </w:t>
      </w:r>
      <w:r>
        <w:rPr>
          <w:rFonts w:ascii="arial" w:eastAsia="arial" w:hAnsi="arial" w:cs="arial"/>
          <w:b w:val="0"/>
          <w:i w:val="0"/>
          <w:strike w:val="0"/>
          <w:noProof w:val="0"/>
          <w:color w:val="000000"/>
          <w:position w:val="0"/>
          <w:sz w:val="24"/>
          <w:u w:val="none"/>
          <w:vertAlign w:val="baseline"/>
        </w:rPr>
        <w:t xml:space="preserve">                  </w:t>
      </w:r>
    </w:p>
    <w:p>
      <w:pPr>
        <w:keepNext w:val="0"/>
        <w:numPr>
          <w:numId w:val="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By lodging their proofs of debt, the appellants had lost their right to go to the Industrial Court. The appellants had, in their claims to the liquidator, sought for many reliefs, including termination benefits and compensation in lieu of termination. As these claims were capable of being proved in the liquidation, and were pending adjudication at the time, the appellants were bound by the liquidation process. Their remedy if they were dissatisfied with the decision of the liquidator, was to appeal against the liquidator’s decision to the High Court as provided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The court thus rejected the appellants’ contention that they were entitled to refer their dispute to the Industrial Court regardless of whether or not they had submitted proofs of debts. Having chosen to enforce their claim by submitting proofs of debt, they were bound by the liquidation process (see paras 21 &amp; 23).                  </w:t>
      </w:r>
      <w:r>
        <w:rPr>
          <w:rFonts w:ascii="arial" w:eastAsia="arial" w:hAnsi="arial" w:cs="arial"/>
          <w:b w:val="0"/>
          <w:i w:val="0"/>
          <w:strike w:val="0"/>
          <w:noProof w:val="0"/>
          <w:color w:val="000000"/>
          <w:position w:val="0"/>
          <w:sz w:val="24"/>
          <w:u w:val="none"/>
          <w:vertAlign w:val="baseline"/>
        </w:rPr>
        <w:t xml:space="preserve">                  </w:t>
      </w:r>
    </w:p>
    <w:p>
      <w:pPr>
        <w:keepNext w:val="0"/>
        <w:numPr>
          <w:numId w:val="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circumstances, there was no reason for the court to disturb the decisions which were being appealed against. The court agreed with the High Court’s reasons for quashing the decision of the minister and holding that the appellants were bound by the liquidation process and could not have their claims addressed in the Industrial Court without the prior leave of the court (see para 24).                  </w:t>
      </w:r>
      <w:r>
        <w:rPr>
          <w:rFonts w:ascii="arial" w:eastAsia="arial" w:hAnsi="arial" w:cs="arial"/>
          <w:b w:val="0"/>
          <w:i w:val="0"/>
          <w:strike w:val="0"/>
          <w:noProof w:val="0"/>
          <w:color w:val="000000"/>
          <w:position w:val="0"/>
          <w:sz w:val="24"/>
          <w:u w:val="none"/>
          <w:vertAlign w:val="baseline"/>
        </w:rPr>
        <w:t xml:space="preserve">               </w:t>
      </w:r>
    </w:p>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Summary :</w:t>
      </w:r>
      <w:r>
        <w:rPr>
          <w:rFonts w:ascii="arial" w:eastAsia="arial" w:hAnsi="arial" w:cs="arial"/>
          <w:b w:val="0"/>
          <w:i w:val="0"/>
          <w:strike w:val="0"/>
          <w:noProof w:val="0"/>
          <w:color w:val="000000"/>
          <w:position w:val="0"/>
          <w:sz w:val="24"/>
          <w:u w:val="none"/>
          <w:vertAlign w:val="baseline"/>
        </w:rPr>
        <w:t xml:space="preserve">               </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When the respondent company ceased business as it was placed under creditor’s voluntary liquidation, the appellants’ employments with the respondent were terminated. The appellants then lodged representations to the Director General of Industrial Relations (‘the DGIR’) regarding their termination from the respondent. The DGIR had called for reconciliation meetings between the appellants and the liquidator of the respondent but the effort was in vain. The DGIR then referred the matter to the Minister of Human Resources (‘the minister’) and the minister subsequently decided to refer the appellants’ representations to the Industrial Court under s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respondent disputed the action taken by the minister in referring the appellants’ claims for unfair dismissal to the Industrial Court when the appellants had not obtained the prior leave of the court under s 451(2) of the Companies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2016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In addressing the respondent’s grievance, the High Court held that the appellants were bound by the liquidation process and could not have their claims addressed in the Industrial Court without the prior leave of the court. Aggrieved by the High Court’s decision, the appellants filed the present appeals. The issues to be determined were: (a) whether the minister exercised his discretion in accordance with the law when he referred the appellants’ claims for unfair dismissal to the Industrial Court under s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when the latter had not obtained the prior leave of the court under s 451(2)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and (b) whether the appellants having lodged proofs of debt with the liquidator were barred from instituting proceedings in the Industrial Court against the respondent. </w:t>
      </w:r>
      <w:r>
        <w:t>
</w:t>
      </w:r>
    </w:p>
    <w:p>
      <w:pPr>
        <w:keepNext w:val="0"/>
        <w:pBdr>
          <w:left w:val="single" w:sz="8" w:space="2" w:color="DCDCDC"/>
          <w:right w:val="single" w:sz="8" w:space="2" w:color="DCDCDC"/>
        </w:pBdr>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pBdr>
          <w:left w:val="single" w:sz="8" w:space="2" w:color="DCDCDC"/>
          <w:bottom w:val="single" w:sz="8" w:space="5" w:color="DCDCDC"/>
          <w:right w:val="single" w:sz="8" w:space="2" w:color="DCDCDC"/>
        </w:pBdr>
      </w:pPr>
    </w:p>
    <w:p/>
    <w:p>
      <w:pPr>
        <w:keepNext/>
        <w:spacing w:before="120" w:after="0" w:line="340" w:lineRule="atLeast"/>
        <w:ind w:left="0" w:right="0" w:firstLine="0"/>
        <w:jc w:val="left"/>
      </w:pPr>
      <w:bookmarkStart w:id="1" w:name="Cases considered by this case"/>
      <w:bookmarkEnd w:id="1"/>
      <w:r>
        <w:rPr>
          <w:rFonts w:ascii="arial" w:eastAsia="arial" w:hAnsi="arial" w:cs="arial"/>
          <w:b/>
          <w:i w:val="0"/>
          <w:strike w:val="0"/>
          <w:noProof w:val="0"/>
          <w:color w:val="000000"/>
          <w:position w:val="0"/>
          <w:sz w:val="28"/>
          <w:u w:val="none"/>
          <w:vertAlign w:val="baseline"/>
        </w:rPr>
        <w:t>Cases considered by this case</w:t>
      </w:r>
    </w:p>
    <w:p>
      <w:pPr>
        <w:spacing w:line="60" w:lineRule="exact"/>
      </w:pPr>
      <w:r>
        <w:pict>
          <v:line id="_x0000_s1029" style="position:absolute;z-index:251660288" from="0,2pt" to="512pt,2pt" strokecolor="#009ddb" strokeweight="2pt">
            <v:stroke linestyle="single"/>
          </v:line>
        </w:pict>
      </w:r>
    </w:p>
    <w:p>
      <w:pPr>
        <w:spacing w:line="240" w:lineRule="exact"/>
      </w:pP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3137"/>
      </w:tblGrid>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0"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UTUSAN MELAYU (M) BHD (IN v OLUNTARY WINDING UP) V MENTERI SUMBER MANUSIA &amp; ORS AND ANOTHER APPLICATION</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[2023] 8 MLJ 131;                               [2022] MLJU 3123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Referred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27/10/2022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MYHC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1"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MALAYSIAN MOTOR INSURANCE POOL v TIRUMENIYAR SINGARA VELOO</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[2019] 10 CLJ 731;                               [2020] 1 MLJ 440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15/10/2019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2"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VISHNU A/L TELAGAN v TIMBALAN MENTERI DALAM NEGERI MALAYSIA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[2019] 6 MLJ 1;                               2019 FC Unreported CRIMINAL APPEAL NO 05(HC)-132–05 OF 2018(B)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17/6/2019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MYFC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3"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MINISTER OF LABOUR MALAYSIA v LIE SENG FATT</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[1990] 2 MLJ 9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3/3/1990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MYSC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4" type="#_x0000_t75" style="width:14.25pt;height:14.25pt">
                  <v:imagedata r:id="rId9" o:title=""/>
                </v:shape>
              </w:pict>
            </w:r>
            <w:r>
              <w:t xml:space="preserve">  </w:t>
            </w:r>
            <w:r>
              <w:rPr>
                <w:rFonts w:ascii="arial" w:eastAsia="arial" w:hAnsi="arial" w:cs="arial"/>
                <w:b/>
                <w:i w:val="0"/>
                <w:strike w:val="0"/>
                <w:noProof w:val="0"/>
                <w:color w:val="000000"/>
                <w:position w:val="0"/>
                <w:sz w:val="28"/>
                <w:u w:val="none"/>
                <w:vertAlign w:val="baseline"/>
              </w:rPr>
              <w:t>MOSBERT BERHAD (IN LIQUIDATION) v STELLA D’ CRUZ</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[1985] 2 MLJ 446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13/7/1985                     </w:t>
            </w:r>
          </w:p>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MYSC</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5" type="#_x0000_t75" style="width:14.25pt;height:14.25pt">
                  <v:imagedata r:id="rId9" o:title=""/>
                </v:shape>
              </w:pict>
            </w:r>
            <w:r>
              <w:t xml:space="preserve">  </w:t>
            </w:r>
            <w:r>
              <w:rPr>
                <w:rFonts w:ascii="arial" w:eastAsia="arial" w:hAnsi="arial" w:cs="arial"/>
                <w:b/>
                <w:i w:val="0"/>
                <w:strike w:val="0"/>
                <w:noProof w:val="0"/>
                <w:color w:val="000000"/>
                <w:position w:val="0"/>
                <w:sz w:val="28"/>
                <w:u w:val="none"/>
                <w:vertAlign w:val="baseline"/>
              </w:rPr>
              <w:t>CRA v EN V BLACKPOOL GREYHOUND STADIUM &amp; RACECOURSE LTD</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[1936] 3 All ER 513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B9C00"/>
                <w:vertAlign w:val="baseline"/>
              </w:rPr>
              <w:t>(folld)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6"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ISUTA INTERNATIONAL SDN BHD &amp; ORS v MAHKAMAH PERUSAHAAN MALAYSIA &amp; ANOR</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[2013] 8 CLJ 1040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bottom w:val="single" w:sz="2" w:space="0" w:color="BCBEC0"/>
              <w:right w:val="nil"/>
            </w:tcBorders>
            <w:tcMar>
              <w:top w:w="100" w:type="dxa"/>
              <w:bottom w:w="100" w:type="dxa"/>
            </w:tcMar>
            <w:vAlign w:val="top"/>
          </w:tcPr>
          <w:p>
            <w:pPr>
              <w:keepNext w:val="0"/>
              <w:spacing w:after="60" w:line="340" w:lineRule="atLeast"/>
              <w:ind w:left="0" w:right="0"/>
              <w:jc w:val="left"/>
            </w:pPr>
            <w:r>
              <w:pict>
                <v:shape id="_x0000_i1037" type="#_x0000_t75" style="width:12.75pt;height:12.75pt">
                  <v:imagedata r:id="rId8" o:title=""/>
                </v:shape>
              </w:pict>
            </w:r>
            <w:r>
              <w:t xml:space="preserve">  </w:t>
            </w:r>
            <w:r>
              <w:rPr>
                <w:rFonts w:ascii="arial" w:eastAsia="arial" w:hAnsi="arial" w:cs="arial"/>
                <w:b/>
                <w:i w:val="0"/>
                <w:strike w:val="0"/>
                <w:noProof w:val="0"/>
                <w:color w:val="000000"/>
                <w:position w:val="0"/>
                <w:sz w:val="28"/>
                <w:u w:val="none"/>
                <w:vertAlign w:val="baseline"/>
              </w:rPr>
              <w:t>MARIANA GHAZALI &amp; ORS v CO-OPERATIVE CENTRAL BANK LTD (IN RECEIVERSHIP)</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[1989] 2 ILR 497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E98310"/>
                <w:vertAlign w:val="baseline"/>
              </w:rPr>
              <w:t>(distd)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Borders>
              <w:bottom w:val="single" w:sz="2" w:space="0" w:color="BCBEC0"/>
            </w:tcBorders>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5000" w:type="pct"/>
          <w:tblLayout w:type="fixed"/>
        </w:tblPrEx>
        <w:tc>
          <w:tcPr>
            <w:tcW w:w="7168" w:type="dxa"/>
            <w:tcBorders>
              <w:right w:val="nil"/>
            </w:tcBorders>
            <w:tcMar>
              <w:top w:w="100" w:type="dxa"/>
              <w:bottom w:w="100" w:type="dxa"/>
            </w:tcMar>
            <w:vAlign w:val="top"/>
          </w:tcPr>
          <w:p>
            <w:pPr>
              <w:keepNext w:val="0"/>
              <w:spacing w:after="60" w:line="340" w:lineRule="atLeast"/>
              <w:ind w:left="0" w:right="0"/>
              <w:jc w:val="left"/>
            </w:pPr>
            <w:r>
              <w:pict>
                <v:shape id="_x0000_i1038" type="#_x0000_t75" style="width:12.75pt;height:12.75pt">
                  <v:imagedata r:id="rId7" o:title=""/>
                </v:shape>
              </w:pict>
            </w:r>
            <w:r>
              <w:t xml:space="preserve">  </w:t>
            </w:r>
            <w:r>
              <w:rPr>
                <w:rFonts w:ascii="arial" w:eastAsia="arial" w:hAnsi="arial" w:cs="arial"/>
                <w:b/>
                <w:i w:val="0"/>
                <w:strike w:val="0"/>
                <w:noProof w:val="0"/>
                <w:color w:val="000000"/>
                <w:position w:val="0"/>
                <w:sz w:val="28"/>
                <w:u w:val="none"/>
                <w:vertAlign w:val="baseline"/>
              </w:rPr>
              <w:t>VISHNU A/L TELAGAN v TIMBALAN MENTERI DALAM NEGERI MALAYSIA &amp; ORS</w:t>
            </w:r>
            <w:r>
              <w:br/>
            </w:r>
          </w:p>
          <w:p>
            <w:pPr>
              <w:spacing w:after="20" w:line="240" w:lineRule="atLeast"/>
              <w:ind w:left="0"/>
              <w:jc w:val="left"/>
            </w:pPr>
            <w:r>
              <w:rPr>
                <w:rFonts w:ascii="arial" w:eastAsia="arial" w:hAnsi="arial" w:cs="arial"/>
                <w:b w:val="0"/>
                <w:i w:val="0"/>
                <w:strike w:val="0"/>
                <w:noProof w:val="0"/>
                <w:color w:val="000000"/>
                <w:position w:val="0"/>
                <w:sz w:val="18"/>
                <w:u w:val="none"/>
                <w:vertAlign w:val="baseline"/>
              </w:rPr>
              <w:t xml:space="preserve">                                                                                                                                                                                                                                                                                                                                                                                                                     [2019] 9 CLJ </w:t>
            </w:r>
            <w:r>
              <w:rPr>
                <w:rFonts w:ascii="arial" w:eastAsia="arial" w:hAnsi="arial" w:cs="arial"/>
                <w:b w:val="0"/>
                <w:i/>
                <w:strike w:val="0"/>
                <w:noProof w:val="0"/>
                <w:color w:val="000000"/>
                <w:position w:val="0"/>
                <w:sz w:val="18"/>
                <w:u w:val="single"/>
                <w:vertAlign w:val="baseline"/>
              </w:rPr>
              <w:t>177</w:t>
            </w:r>
            <w:r>
              <w:rPr>
                <w:rFonts w:ascii="arial" w:eastAsia="arial" w:hAnsi="arial" w:cs="arial"/>
                <w:b w:val="0"/>
                <w:i w:val="0"/>
                <w:strike w:val="0"/>
                <w:noProof w:val="0"/>
                <w:color w:val="000000"/>
                <w:position w:val="0"/>
                <w:sz w:val="18"/>
                <w:u w:val="none"/>
                <w:vertAlign w:val="baseline"/>
              </w:rPr>
              <w:t xml:space="preserve">                                                                                                         </w:t>
            </w:r>
          </w:p>
          <w:p>
            <w:pPr>
              <w:spacing w:before="12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FFFFFF"/>
                <w:position w:val="0"/>
                <w:sz w:val="18"/>
                <w:u w:val="none"/>
                <w:shd w:val="clear" w:color="auto" w:fill="009DDB"/>
                <w:vertAlign w:val="baseline"/>
              </w:rPr>
              <w:t>(refd)</w:t>
            </w:r>
            <w:r>
              <w:t xml:space="preserve">  </w:t>
            </w:r>
            <w:r>
              <w:rPr>
                <w:rFonts w:ascii="arial" w:eastAsia="arial" w:hAnsi="arial" w:cs="arial"/>
                <w:b w:val="0"/>
                <w:i w:val="0"/>
                <w:strike w:val="0"/>
                <w:noProof w:val="0"/>
                <w:color w:val="000000"/>
                <w:position w:val="0"/>
                <w:sz w:val="18"/>
                <w:u w:val="none"/>
                <w:vertAlign w:val="baseline"/>
              </w:rPr>
              <w:t xml:space="preserve">               </w:t>
            </w:r>
          </w:p>
        </w:tc>
        <w:tc>
          <w:tcPr>
            <w:tcW w:w="3072" w:type="dxa"/>
            <w:tcMar>
              <w:top w:w="100" w:type="dxa"/>
              <w:bottom w:w="10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 xml:space="preserve"> </w:t>
            </w:r>
          </w:p>
        </w:tc>
      </w:tr>
    </w:tbl>
    <w:p>
      <w:pPr>
        <w:pBdr>
          <w:left w:val="single" w:sz="8" w:space="2" w:color="DCDCDC"/>
          <w:bottom w:val="single" w:sz="8" w:space="5" w:color="DCDCDC"/>
          <w:right w:val="single" w:sz="8" w:space="2" w:color="DCDCDC"/>
        </w:pBdr>
      </w:pPr>
    </w:p>
    <w:p/>
    <w:p>
      <w:pPr>
        <w:keepNext/>
        <w:spacing w:before="120" w:after="0" w:line="340" w:lineRule="atLeast"/>
        <w:ind w:left="0" w:right="0" w:firstLine="0"/>
        <w:jc w:val="left"/>
      </w:pPr>
      <w:bookmarkStart w:id="2" w:name="Legislation considered by this case"/>
      <w:bookmarkEnd w:id="2"/>
      <w:r>
        <w:rPr>
          <w:rFonts w:ascii="arial" w:eastAsia="arial" w:hAnsi="arial" w:cs="arial"/>
          <w:b/>
          <w:i w:val="0"/>
          <w:strike w:val="0"/>
          <w:noProof w:val="0"/>
          <w:color w:val="000000"/>
          <w:position w:val="0"/>
          <w:sz w:val="28"/>
          <w:u w:val="none"/>
          <w:vertAlign w:val="baseline"/>
        </w:rPr>
        <w:t>Legislation considered by this case</w:t>
      </w:r>
    </w:p>
    <w:p>
      <w:pPr>
        <w:spacing w:line="60" w:lineRule="exact"/>
      </w:pPr>
      <w:r>
        <w:pict>
          <v:line id="_x0000_s1039" style="position:absolute;z-index:251661312" from="0,2pt" to="512pt,2pt" strokecolor="#009ddb" strokeweight="2pt">
            <v:stroke linestyle="single"/>
          </v:line>
        </w:pict>
      </w:r>
    </w:p>
    <w:p>
      <w:pPr>
        <w:spacing w:line="240" w:lineRule="exact"/>
      </w:pP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6274"/>
        <w:gridCol w:w="4182"/>
      </w:tblGrid>
      <w:tr>
        <w:tblPrEx>
          <w:tblW w:w="5000" w:type="pct"/>
          <w:tblLayout w:type="fixed"/>
        </w:tblPrEx>
        <w:trPr>
          <w:tblHeader/>
        </w:trPr>
        <w:tc>
          <w:tcPr>
            <w:tcW w:w="6144"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Legislation Name &amp; Jurisdiction</w:t>
            </w:r>
          </w:p>
        </w:tc>
        <w:tc>
          <w:tcPr>
            <w:tcW w:w="4096"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Provisions</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CA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Eleventh Schedu, Part I, II, Twelfth Schedul</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Companies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1965 (repealed by Companies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2016)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226(3), s 263(2)</w:t>
            </w:r>
          </w:p>
        </w:tc>
      </w:tr>
      <w:tr>
        <w:tblPrEx>
          <w:tblW w:w="5000" w:type="pct"/>
          <w:tblLayout w:type="fixed"/>
        </w:tblPrEx>
        <w:tc>
          <w:tcPr>
            <w:tcW w:w="6144"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Companies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2016                                                                                                               </w:t>
            </w:r>
          </w:p>
        </w:tc>
        <w:tc>
          <w:tcPr>
            <w:tcW w:w="4096"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ss 451, 456, Eleventh Schedu, Twelfth Schedul, Parts I, II</w:t>
            </w:r>
          </w:p>
        </w:tc>
      </w:tr>
      <w:tr>
        <w:tblPrEx>
          <w:tblW w:w="5000" w:type="pct"/>
          <w:tblLayout w:type="fixed"/>
        </w:tblPrEx>
        <w:tc>
          <w:tcPr>
            <w:tcW w:w="6144"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w:t>
            </w:r>
          </w:p>
        </w:tc>
        <w:tc>
          <w:tcPr>
            <w:tcW w:w="4096"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 20(3)</w:t>
            </w:r>
          </w:p>
        </w:tc>
      </w:tr>
    </w:tbl>
    <w:p/>
    <w:p>
      <w:pPr>
        <w:ind w:left="200"/>
      </w:pPr>
      <w:r>
        <w:br/>
      </w:r>
      <w:r>
        <w:pict>
          <v:line id="_x0000_s104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 xml:space="preserve">               HANIFAH BT HAMZAH &amp; ORS v SYARIKAT UTUSAN MELAYU (M) BHD (VOLUNTARY WINDING UP OF DEBTORS) AND ANOTHER CASE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HANIFAH BT HAMZAH &amp; ORS v SYARIKAT UTUSAN MELAYU (M) BHD (VOLUNTARY WINDING UP OF DEBTORS) AND ANOTHER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R0-KKG3-MB84-N05P-00000-00">
    <vt:lpwstr>Doc::/shared/document|contextualFeaturePermID::1522468</vt:lpwstr>
  </property>
  <property fmtid="{D5CDD505-2E9C-101B-9397-08002B2CF9AE}" pid="4" name="LNDeliveryID">
    <vt:lpwstr>286221094</vt:lpwstr>
  </property>
  <property fmtid="{D5CDD505-2E9C-101B-9397-08002B2CF9AE}" pid="5" name="UserPermID">
    <vt:lpwstr>urn:user:PA196491919</vt:lpwstr>
  </property>
</Properties>
</file>