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Hanizah bt Ahmad Jamaluddin v Scomi KMC Sdn Bhd  [2024] ILJU 127</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410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18 March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Peter Kandiah (Malaysian Trades Union Congress (MTUC))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James Joshua Paulraj (with Kavitharini) (Tanes, Khoo &amp; Paulraj)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C"/>
            <w:bookmarkEnd w:id="1"/>
            <w:r>
              <w:rPr>
                <w:rFonts w:ascii="arial" w:eastAsia="arial" w:hAnsi="arial" w:cs="arial"/>
                <w:b/>
                <w:i w:val="0"/>
                <w:strike w:val="0"/>
                <w:noProof w:val="0"/>
                <w:color w:val="000000"/>
                <w:position w:val="0"/>
                <w:sz w:val="30"/>
                <w:u w:val="none"/>
                <w:vertAlign w:val="baseline"/>
              </w:rPr>
              <w:t>Salahudin Hidayat Shariff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matter is based on the referral dated 4 August 2021 by the Director General of Industrial Relations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Hanizah Binti Ahmad Jamaluddin</w:t>
      </w:r>
      <w:r>
        <w:rPr>
          <w:rFonts w:ascii="arial" w:eastAsia="arial" w:hAnsi="arial" w:cs="arial"/>
          <w:b w:val="0"/>
          <w:i w:val="0"/>
          <w:strike w:val="0"/>
          <w:noProof w:val="0"/>
          <w:color w:val="000000"/>
          <w:position w:val="0"/>
          <w:sz w:val="24"/>
          <w:u w:val="none"/>
          <w:vertAlign w:val="baseline"/>
        </w:rPr>
        <w:t xml:space="preserve"> (“the First Claimant) by </w:t>
      </w:r>
      <w:r>
        <w:rPr>
          <w:rFonts w:ascii="arial" w:eastAsia="arial" w:hAnsi="arial" w:cs="arial"/>
          <w:b/>
          <w:i w:val="0"/>
          <w:strike w:val="0"/>
          <w:noProof w:val="0"/>
          <w:color w:val="000000"/>
          <w:position w:val="0"/>
          <w:sz w:val="24"/>
          <w:u w:val="none"/>
          <w:vertAlign w:val="baseline"/>
        </w:rPr>
        <w:t>Scomi KMC Sdn Bhd</w:t>
      </w:r>
      <w:r>
        <w:rPr>
          <w:rFonts w:ascii="arial" w:eastAsia="arial" w:hAnsi="arial" w:cs="arial"/>
          <w:b w:val="0"/>
          <w:i w:val="0"/>
          <w:strike w:val="0"/>
          <w:noProof w:val="0"/>
          <w:color w:val="000000"/>
          <w:position w:val="0"/>
          <w:sz w:val="24"/>
          <w:u w:val="none"/>
          <w:vertAlign w:val="baseline"/>
        </w:rPr>
        <w:t xml:space="preserve"> (“the Company”) on 16 January 2021.</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The matter was heard together with another case namely case number 3/4-2761-21 and the referral is also dated 4 August 2021 by the Director General of Industrial Relations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Nor Asiah Binti Mohd Noor</w:t>
      </w:r>
      <w:r>
        <w:rPr>
          <w:rFonts w:ascii="arial" w:eastAsia="arial" w:hAnsi="arial" w:cs="arial"/>
          <w:b w:val="0"/>
          <w:i w:val="0"/>
          <w:strike w:val="0"/>
          <w:noProof w:val="0"/>
          <w:color w:val="000000"/>
          <w:position w:val="0"/>
          <w:sz w:val="24"/>
          <w:u w:val="none"/>
          <w:vertAlign w:val="baseline"/>
        </w:rPr>
        <w:t xml:space="preserve"> (“the Second Claimant”) by </w:t>
      </w:r>
      <w:r>
        <w:rPr>
          <w:rFonts w:ascii="arial" w:eastAsia="arial" w:hAnsi="arial" w:cs="arial"/>
          <w:b/>
          <w:i w:val="0"/>
          <w:strike w:val="0"/>
          <w:noProof w:val="0"/>
          <w:color w:val="000000"/>
          <w:position w:val="0"/>
          <w:sz w:val="24"/>
          <w:u w:val="none"/>
          <w:vertAlign w:val="baseline"/>
        </w:rPr>
        <w:t>Scomi KMC Sdn Bhd</w:t>
      </w:r>
      <w:r>
        <w:rPr>
          <w:rFonts w:ascii="arial" w:eastAsia="arial" w:hAnsi="arial" w:cs="arial"/>
          <w:b w:val="0"/>
          <w:i w:val="0"/>
          <w:strike w:val="0"/>
          <w:noProof w:val="0"/>
          <w:color w:val="000000"/>
          <w:position w:val="0"/>
          <w:sz w:val="24"/>
          <w:u w:val="none"/>
          <w:vertAlign w:val="baseline"/>
        </w:rPr>
        <w:t xml:space="preserve"> (“the Company”) on 16 January 2021.</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First Claimant joined the SCOMI Sdn Bhd as a probationary Clerk/Typist on 30 April 1993 via letter dated 28 April 1993. Subsequently the next submitted document was a Letter of Offer dated 12 February 2018 for the post of ‘Executive - Tender &amp; Contract’ in Scomi Oiltools Sdn Bhd. The First Claimant was given the assurance that there was no break in her service with Scomi Special Vehicles Bhd which is assumed was her previous posting. Later on 1 October 2019, the First Claimant was transferred from Scomi Oiltools Sdn Bhd to the Company via letter dated 10 October 2019.</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Second Claimant joined the Kota Minerals &amp; Chemicals Sdn Bhd, which is a subsidiary of Scomi Group Bhd, as an Accounts Assistant on 1 May 2004 via letter dated 21 April 2004. In 2007, the letters addressing the Second Claimant was using the Scomi letterhead and signed off by Group Chief Executive Officer. The said letter also had imprinted at the bottom of the letter is Scomi Oiltools Sdn Bhd (formerly known as Kota Minerals &amp; Chemicals Sdn Bhd). The next change based on the Company’s bundle came in 2011, where the letterhead was entitled Scomi but at the bottom of the letter it was now Scomi KMC Sdn Bhd, the Company, with a different company registration number. As compared to the First Claimant, there was no transfer letter given.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The Company is almost entirely owned by Scomi Oiltools Sdn Bhd at 99.6% of the shares, based on SSM Corporate Information submitted by the Company in pages 1 to 6 at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 xml:space="preserve"> These companies are all under the group of companies headed by Scomi Energy Services Bhd (“SESB”), which is itself based on the Corporate Structure provided by the Company in pages 7 to 8 at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 xml:space="preserve"> Although, according to the Statement in Reply from the Company states that the Company is a subsidiary of SESB where it was claimed to own 52% stake and a further 4% through Scomi Oiltools Sdn Bhd. However, the evidence provided is an organisation chart in the Company’s bundles which will be discussed later in this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evidence in Court by the Company’s witnesses had stated that the Company’s ownership structure has changed but not supported by any documentary evidence. Upon further examination, not all the witnesses that came to give evidence could actually furnish the Court with sufficient evidence that reflects some of the questions that were raised regarding the Company. The crux of the Company’s witnesses was to state that the Company was indebted and that it was under judicial management at the time of the termination of the Claimants.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xml:space="preserve">  In support of the indebtedness of the Company, the Company’s Counsel submitted volumes of agreements, debentures and letters, namely pages 9 of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 xml:space="preserve"> to pages 1683 of </w:t>
      </w:r>
      <w:r>
        <w:rPr>
          <w:rFonts w:ascii="arial" w:eastAsia="arial" w:hAnsi="arial" w:cs="arial"/>
          <w:b w:val="0"/>
          <w:i/>
          <w:strike w:val="0"/>
          <w:noProof w:val="0"/>
          <w:color w:val="000000"/>
          <w:position w:val="0"/>
          <w:sz w:val="24"/>
          <w:u w:val="none"/>
          <w:vertAlign w:val="baseline"/>
        </w:rPr>
        <w:t>COB-5</w:t>
      </w:r>
      <w:r>
        <w:rPr>
          <w:rFonts w:ascii="arial" w:eastAsia="arial" w:hAnsi="arial" w:cs="arial"/>
          <w:b w:val="0"/>
          <w:i w:val="0"/>
          <w:strike w:val="0"/>
          <w:noProof w:val="0"/>
          <w:color w:val="000000"/>
          <w:position w:val="0"/>
          <w:sz w:val="24"/>
          <w:u w:val="none"/>
          <w:vertAlign w:val="baseline"/>
        </w:rPr>
        <w:t xml:space="preserve"> which have highlighted the fact that the loan taken by one of the companies in the group specifically KMCOB Capital Berhad. Initially it was from three banks but later the debt was taken over by other banks with guarantees from other companies within the group. This included the Company guaranteeing a part or the entire loan on behalf of the other companies within the group. The Court has no intention to go in-depth into the inner workings of the group of companies because this Court is only focused on the issue at hand, namely the termination of the Claimants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Company never claimed that the Claimants were not working for the Company or at the very least with one of the companies within the group. However, the Company was claiming the Claimants years of service should only be considered in the Company and not the Group of Companies. The Claimants were finally working in the Company today before their termination. The Claimants were retrenched by the Company via a letter dated 14 December 2020 and effective 16 January 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Company claims that the Claimants were terminated on instruction by the Judicial Manager or at the very least with the judicial manager’s approval. However, there is no specific document to support this other than the High Court’s Order giving powers to the Judicial Manager and listing the scope of his powers. This will also be discussed later in the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Court has gone through the evidence as given through testimony in Court and the documents and submission that have been filed. Those documents and submissions are listed for ease of reference as follows: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of the First Claimant dated 20 December 2021;</w:t>
      </w:r>
    </w:p>
    <w:p>
      <w:pPr>
        <w:keepNext w:val="0"/>
        <w:numPr>
          <w:numId w:val="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Pernyataan Balas</w:t>
      </w:r>
      <w:r>
        <w:rPr>
          <w:rFonts w:ascii="arial" w:eastAsia="arial" w:hAnsi="arial" w:cs="arial"/>
          <w:b w:val="0"/>
          <w:i w:val="0"/>
          <w:strike w:val="0"/>
          <w:noProof w:val="0"/>
          <w:color w:val="000000"/>
          <w:position w:val="0"/>
          <w:sz w:val="24"/>
          <w:u w:val="none"/>
          <w:vertAlign w:val="baseline"/>
        </w:rPr>
        <w:t xml:space="preserve"> for 3/4-2760/21 dated 14 February 2022;</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23 March 2022;</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First Claimant’s Bundle of Documents submitted on 17 January 2023 marked as exhibit </w:t>
      </w:r>
      <w:r>
        <w:rPr>
          <w:rFonts w:ascii="arial" w:eastAsia="arial" w:hAnsi="arial" w:cs="arial"/>
          <w:b w:val="0"/>
          <w:i/>
          <w:strike w:val="0"/>
          <w:noProof w:val="0"/>
          <w:color w:val="000000"/>
          <w:position w:val="0"/>
          <w:sz w:val="24"/>
          <w:u w:val="none"/>
          <w:vertAlign w:val="baseline"/>
        </w:rPr>
        <w:t>CLB-1;</w:t>
      </w:r>
    </w:p>
    <w:p>
      <w:pPr>
        <w:keepNext w:val="0"/>
        <w:numPr>
          <w:numId w:val="5"/>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1)</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COB-1;</w:t>
      </w:r>
    </w:p>
    <w:p>
      <w:pPr>
        <w:keepNext w:val="0"/>
        <w:numPr>
          <w:numId w:val="6"/>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2)</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COB-2;</w:t>
      </w:r>
    </w:p>
    <w:p>
      <w:pPr>
        <w:keepNext w:val="0"/>
        <w:numPr>
          <w:numId w:val="7"/>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3)</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COB-3;</w:t>
      </w:r>
    </w:p>
    <w:p>
      <w:pPr>
        <w:keepNext w:val="0"/>
        <w:numPr>
          <w:numId w:val="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4)</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COB-4;</w:t>
      </w:r>
    </w:p>
    <w:p>
      <w:pPr>
        <w:keepNext w:val="0"/>
        <w:numPr>
          <w:numId w:val="9"/>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5)</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COB-5;</w:t>
      </w:r>
    </w:p>
    <w:p>
      <w:pPr>
        <w:keepNext w:val="0"/>
        <w:numPr>
          <w:numId w:val="10"/>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1)</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COB-6;</w:t>
      </w:r>
    </w:p>
    <w:p>
      <w:pPr>
        <w:keepNext w:val="0"/>
        <w:numPr>
          <w:numId w:val="11"/>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2)</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COB-7;</w:t>
      </w:r>
    </w:p>
    <w:p>
      <w:pPr>
        <w:keepNext w:val="0"/>
        <w:numPr>
          <w:numId w:val="1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3)</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COB-8;</w:t>
      </w:r>
    </w:p>
    <w:p>
      <w:pPr>
        <w:keepNext w:val="0"/>
        <w:numPr>
          <w:numId w:val="13"/>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4)</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COB-9;</w:t>
      </w:r>
    </w:p>
    <w:p>
      <w:pPr>
        <w:keepNext w:val="0"/>
        <w:numPr>
          <w:numId w:val="14"/>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Ikatan Dokumen Syarikat (Jilid 5)</w:t>
      </w:r>
      <w:r>
        <w:rPr>
          <w:rFonts w:ascii="arial" w:eastAsia="arial" w:hAnsi="arial" w:cs="arial"/>
          <w:b w:val="0"/>
          <w:i w:val="0"/>
          <w:strike w:val="0"/>
          <w:noProof w:val="0"/>
          <w:color w:val="000000"/>
          <w:position w:val="0"/>
          <w:sz w:val="24"/>
          <w:u w:val="none"/>
          <w:vertAlign w:val="baseline"/>
        </w:rPr>
        <w:t xml:space="preserve"> filed on 25 February 2022 marked as exhibit </w:t>
      </w:r>
      <w:r>
        <w:rPr>
          <w:rFonts w:ascii="arial" w:eastAsia="arial" w:hAnsi="arial" w:cs="arial"/>
          <w:b w:val="0"/>
          <w:i/>
          <w:strike w:val="0"/>
          <w:noProof w:val="0"/>
          <w:color w:val="000000"/>
          <w:position w:val="0"/>
          <w:sz w:val="24"/>
          <w:u w:val="none"/>
          <w:vertAlign w:val="baseline"/>
        </w:rPr>
        <w:t>COB-10;</w:t>
      </w:r>
    </w:p>
    <w:p>
      <w:pPr>
        <w:keepNext w:val="0"/>
        <w:numPr>
          <w:numId w:val="15"/>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Penyata Saksi (2)</w:t>
      </w:r>
      <w:r>
        <w:rPr>
          <w:rFonts w:ascii="arial" w:eastAsia="arial" w:hAnsi="arial" w:cs="arial"/>
          <w:b w:val="0"/>
          <w:i w:val="0"/>
          <w:strike w:val="0"/>
          <w:noProof w:val="0"/>
          <w:color w:val="000000"/>
          <w:position w:val="0"/>
          <w:sz w:val="24"/>
          <w:u w:val="none"/>
          <w:vertAlign w:val="baseline"/>
        </w:rPr>
        <w:t xml:space="preserve"> Razeim Azfar Mohd Bashir for the case 2760/21 signed on 17 January 2023 marked as exhibit </w:t>
      </w:r>
      <w:r>
        <w:rPr>
          <w:rFonts w:ascii="arial" w:eastAsia="arial" w:hAnsi="arial" w:cs="arial"/>
          <w:b w:val="0"/>
          <w:i/>
          <w:strike w:val="0"/>
          <w:noProof w:val="0"/>
          <w:color w:val="000000"/>
          <w:position w:val="0"/>
          <w:sz w:val="24"/>
          <w:u w:val="none"/>
          <w:vertAlign w:val="baseline"/>
        </w:rPr>
        <w:t>COWS-1A;</w:t>
      </w:r>
    </w:p>
    <w:p>
      <w:pPr>
        <w:keepNext w:val="0"/>
        <w:numPr>
          <w:numId w:val="16"/>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Penyata Saksi (2)</w:t>
      </w:r>
      <w:r>
        <w:rPr>
          <w:rFonts w:ascii="arial" w:eastAsia="arial" w:hAnsi="arial" w:cs="arial"/>
          <w:b w:val="0"/>
          <w:i w:val="0"/>
          <w:strike w:val="0"/>
          <w:noProof w:val="0"/>
          <w:color w:val="000000"/>
          <w:position w:val="0"/>
          <w:sz w:val="24"/>
          <w:u w:val="none"/>
          <w:vertAlign w:val="baseline"/>
        </w:rPr>
        <w:t xml:space="preserve"> Razeim Azfar Mohd Bashir for the case 2761/21 signed on 17 January 2023 marked as exhibit </w:t>
      </w:r>
      <w:r>
        <w:rPr>
          <w:rFonts w:ascii="arial" w:eastAsia="arial" w:hAnsi="arial" w:cs="arial"/>
          <w:b w:val="0"/>
          <w:i/>
          <w:strike w:val="0"/>
          <w:noProof w:val="0"/>
          <w:color w:val="000000"/>
          <w:position w:val="0"/>
          <w:sz w:val="24"/>
          <w:u w:val="none"/>
          <w:vertAlign w:val="baseline"/>
        </w:rPr>
        <w:t>COWS-1B;</w:t>
      </w:r>
    </w:p>
    <w:p>
      <w:pPr>
        <w:keepNext w:val="0"/>
        <w:numPr>
          <w:numId w:val="17"/>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Penyata Saksi (1)</w:t>
      </w:r>
      <w:r>
        <w:rPr>
          <w:rFonts w:ascii="arial" w:eastAsia="arial" w:hAnsi="arial" w:cs="arial"/>
          <w:b w:val="0"/>
          <w:i w:val="0"/>
          <w:strike w:val="0"/>
          <w:noProof w:val="0"/>
          <w:color w:val="000000"/>
          <w:position w:val="0"/>
          <w:sz w:val="24"/>
          <w:u w:val="none"/>
          <w:vertAlign w:val="baseline"/>
        </w:rPr>
        <w:t xml:space="preserve"> Shyawaludden Bin Mahmad for the case 2760/21 signed on 4 August 2023 marked as exhibit </w:t>
      </w:r>
      <w:r>
        <w:rPr>
          <w:rFonts w:ascii="arial" w:eastAsia="arial" w:hAnsi="arial" w:cs="arial"/>
          <w:b w:val="0"/>
          <w:i/>
          <w:strike w:val="0"/>
          <w:noProof w:val="0"/>
          <w:color w:val="000000"/>
          <w:position w:val="0"/>
          <w:sz w:val="24"/>
          <w:u w:val="none"/>
          <w:vertAlign w:val="baseline"/>
        </w:rPr>
        <w:t>COWS-2A;</w:t>
      </w:r>
    </w:p>
    <w:p>
      <w:pPr>
        <w:keepNext w:val="0"/>
        <w:numPr>
          <w:numId w:val="1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Penyata Saksi (1)</w:t>
      </w:r>
      <w:r>
        <w:rPr>
          <w:rFonts w:ascii="arial" w:eastAsia="arial" w:hAnsi="arial" w:cs="arial"/>
          <w:b w:val="0"/>
          <w:i w:val="0"/>
          <w:strike w:val="0"/>
          <w:noProof w:val="0"/>
          <w:color w:val="000000"/>
          <w:position w:val="0"/>
          <w:sz w:val="24"/>
          <w:u w:val="none"/>
          <w:vertAlign w:val="baseline"/>
        </w:rPr>
        <w:t xml:space="preserve"> Shyawaludden Bin Mahmad for the case 2761/21 signed on 4 August 2023 marked as exhibit </w:t>
      </w:r>
      <w:r>
        <w:rPr>
          <w:rFonts w:ascii="arial" w:eastAsia="arial" w:hAnsi="arial" w:cs="arial"/>
          <w:b w:val="0"/>
          <w:i/>
          <w:strike w:val="0"/>
          <w:noProof w:val="0"/>
          <w:color w:val="000000"/>
          <w:position w:val="0"/>
          <w:sz w:val="24"/>
          <w:u w:val="none"/>
          <w:vertAlign w:val="baseline"/>
        </w:rPr>
        <w:t>COWS-2B;</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Witness Statement of Hanizah Binti Ahmad Jamaluddin signed on 4 August 2023 marked as exhibit </w:t>
      </w:r>
      <w:r>
        <w:rPr>
          <w:rFonts w:ascii="arial" w:eastAsia="arial" w:hAnsi="arial" w:cs="arial"/>
          <w:b w:val="0"/>
          <w:i/>
          <w:strike w:val="0"/>
          <w:noProof w:val="0"/>
          <w:color w:val="000000"/>
          <w:position w:val="0"/>
          <w:sz w:val="24"/>
          <w:u w:val="none"/>
          <w:vertAlign w:val="baseline"/>
        </w:rPr>
        <w:t>CLWS-1;</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Witness Statement of Nor Asiah Binti Mohd Noor signed on 4 August 2023 marked as exhibit </w:t>
      </w:r>
      <w:r>
        <w:rPr>
          <w:rFonts w:ascii="arial" w:eastAsia="arial" w:hAnsi="arial" w:cs="arial"/>
          <w:b w:val="0"/>
          <w:i/>
          <w:strike w:val="0"/>
          <w:noProof w:val="0"/>
          <w:color w:val="000000"/>
          <w:position w:val="0"/>
          <w:sz w:val="24"/>
          <w:u w:val="none"/>
          <w:vertAlign w:val="baseline"/>
        </w:rPr>
        <w:t>CLWS-2;</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Written Submissions dated 4 October 2023;</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filed on 4 October 2023;</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Submissions dated 3 September 2023;</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Authorities filed on 8 September 2023;</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Written Submissions in Reply dated 1 November 2023; and</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(2) filed on 1 November 2023.</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DECISION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Chair and the Role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Before proceeding with the full award, it should be expressly stated that the original Chairperson of the Court has been transferred. The new Chair took over the case and proceeded to give this award. This Court has already decided in earlier cases its position regarding the issue of taking over from another Chair, some of those cases are the cases of </w:t>
      </w:r>
      <w:r>
        <w:rPr>
          <w:rFonts w:ascii="arial" w:eastAsia="arial" w:hAnsi="arial" w:cs="arial"/>
          <w:b w:val="0"/>
          <w:i/>
          <w:strike w:val="0"/>
          <w:noProof w:val="0"/>
          <w:color w:val="000000"/>
          <w:position w:val="0"/>
          <w:sz w:val="24"/>
          <w:u w:val="none"/>
          <w:vertAlign w:val="baseline"/>
        </w:rPr>
        <w:t xml:space="preserve">Badariah Abdullah Iwn. Malaysia Airports (Sepang) Sdn Bhd  </w:t>
      </w:r>
      <w:r>
        <w:rPr>
          <w:rFonts w:ascii="arial" w:eastAsia="arial" w:hAnsi="arial" w:cs="arial"/>
          <w:b w:val="0"/>
          <w:i w:val="0"/>
          <w:strike w:val="0"/>
          <w:noProof w:val="0"/>
          <w:color w:val="000000"/>
          <w:position w:val="0"/>
          <w:sz w:val="24"/>
          <w:u w:val="none"/>
          <w:vertAlign w:val="baseline"/>
        </w:rPr>
        <w:t>[2023] 2 LNS 1546</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and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 xml:space="preserve">[2023] 3 ILR 204 In those awards this Court referred to the case of </w:t>
      </w:r>
      <w:r>
        <w:rPr>
          <w:rFonts w:ascii="arial" w:eastAsia="arial" w:hAnsi="arial" w:cs="arial"/>
          <w:b w:val="0"/>
          <w:i/>
          <w:strike w:val="0"/>
          <w:noProof w:val="0"/>
          <w:color w:val="000000"/>
          <w:position w:val="0"/>
          <w:sz w:val="24"/>
          <w:u w:val="none"/>
          <w:vertAlign w:val="baseline"/>
        </w:rPr>
        <w:t xml:space="preserve">Bax Global (Malaysia) Sdn Bhd V. Sukhdev Singh Pritam Singh &amp; Anor  </w:t>
      </w:r>
      <w:r>
        <w:rPr>
          <w:rFonts w:ascii="arial" w:eastAsia="arial" w:hAnsi="arial" w:cs="arial"/>
          <w:b w:val="0"/>
          <w:i w:val="0"/>
          <w:strike w:val="0"/>
          <w:noProof w:val="0"/>
          <w:color w:val="000000"/>
          <w:position w:val="0"/>
          <w:sz w:val="24"/>
          <w:u w:val="none"/>
          <w:vertAlign w:val="baseline"/>
        </w:rPr>
        <w:t xml:space="preserve">[2011] 2 CLJ 534 and subsection 23(6)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It would not be prudent to repeat the same and as such, parties are welcome to view the said case for an explanation why the Chair proceeded in completing this case. Suffice that the Chair was confident in the belief that the Award would not be prejudiced by the change of the chairman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Similarly, the Court reiterates its stand in all three of the above cases of </w:t>
      </w:r>
      <w:r>
        <w:rPr>
          <w:rFonts w:ascii="arial" w:eastAsia="arial" w:hAnsi="arial" w:cs="arial"/>
          <w:b/>
          <w:i/>
          <w:strike w:val="0"/>
          <w:noProof w:val="0"/>
          <w:color w:val="000000"/>
          <w:position w:val="0"/>
          <w:sz w:val="24"/>
          <w:u w:val="none"/>
          <w:vertAlign w:val="baseline"/>
        </w:rPr>
        <w:t>Badariah, Nor Azlina</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Chong Jee Fatt</w:t>
      </w:r>
      <w:r>
        <w:rPr>
          <w:rFonts w:ascii="arial" w:eastAsia="arial" w:hAnsi="arial" w:cs="arial"/>
          <w:b w:val="0"/>
          <w:i w:val="0"/>
          <w:strike w:val="0"/>
          <w:noProof w:val="0"/>
          <w:color w:val="000000"/>
          <w:position w:val="0"/>
          <w:sz w:val="24"/>
          <w:u w:val="none"/>
          <w:vertAlign w:val="baseline"/>
        </w:rPr>
        <w:t xml:space="preserve"> regarding the role of the Court in a matter referred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where the Court refers to the oft-cited Supreme Court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and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accepted principles in those cases are clear and needs no further elaboration.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case at hand is an application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mentioned earlier and above as well as in this case specifically it is a clear case of retrenchment due to redundancy. It has been this Court’s norm that in cases of retrenchment that both retrenchment and redundancy are used interchangeably. As in today’s case, the retrenchment or the redundancy was due to restructuring or reorganisation exercise within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Nonetheless, before going into the issue of retrenchment or redundancy, another of the Court’s duty is to emphasis the level of proof required in cases in the Industrial Court.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Burden and Onus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The Court also refers to its previous cases with regards the burden of proof as well as adducing evidence in a case. The specific case referred is the case of </w:t>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 xml:space="preserve">[2023] MELRU 2317 whereby this Court refers to the Court of Appeal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[2002] 3 CLJ 314 and the case of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Both the cases cited in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above are the standard and burden of proof required by the Court and will be used when scrutinising this case. It is important to emphasise these factors because the entire case is beholden to adjudicate the evidence submitted based on the burden and standard of the proof of cases cited above. The Court has referred to this case despite the fact that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has been referred from judicial review. The Court awaits the outcome and until then, the Courts position remains.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It is encumbered on the parties asserting the facts that it must be proven based on the balance of probabilities. This obligation has to be proven by both parties. So now, the Court will look into the crux of the case today, which is the issue of dismissal was due to retrenchment and/or redundancy.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Locus Standi</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Besides the above, the Court will touch on an issue that has been raised in several cases before this Court, namely the issue is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In this case, there are two areas where the </w:t>
      </w:r>
      <w:r>
        <w:rPr>
          <w:rFonts w:ascii="arial" w:eastAsia="arial" w:hAnsi="arial" w:cs="arial"/>
          <w:b w:val="0"/>
          <w:i/>
          <w:strike w:val="0"/>
          <w:noProof w:val="0"/>
          <w:color w:val="000000"/>
          <w:position w:val="0"/>
          <w:sz w:val="24"/>
          <w:u w:val="none"/>
          <w:vertAlign w:val="baseline"/>
        </w:rPr>
        <w:t>locus</w:t>
      </w:r>
      <w:r>
        <w:rPr>
          <w:rFonts w:ascii="arial" w:eastAsia="arial" w:hAnsi="arial" w:cs="arial"/>
          <w:b w:val="0"/>
          <w:i w:val="0"/>
          <w:strike w:val="0"/>
          <w:noProof w:val="0"/>
          <w:color w:val="000000"/>
          <w:position w:val="0"/>
          <w:sz w:val="24"/>
          <w:u w:val="none"/>
          <w:vertAlign w:val="baseline"/>
        </w:rPr>
        <w:t xml:space="preserve"> was an issue. The first is regarding whether since the Company was under judicial management and the judicial manager ought to be brought to task besides the Company. The second, although not really raised by the Company in this case but the Court mentions as a grounds for future cases which is regarding the status of the Claimants who were transferred within the companies of the group.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There are several perspectives that could be taken in determining who is the actual party that ought to have been brought before the Court or the proceedings. In a recent case, where the Court had to determine an interim award on the question of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of the company namely the Interim Award No. 323/2024. The company had claimed that it was not the company that employed the employee. However, the Court had decided in favour of the Claimant and stated that since the Industrial Court is an arbitrative tribunal exercising principles of equity through a social legislation.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This would entail parties coming to the Court with not only clean hands but also to be more forthcoming. The Court has decided in the above mentioned award that if the parties itself were being questioned, it should have been raised at the Department of Industrial Relations stage during the negotiation process. This would have allowed the Claimants time to refile an action against the correct party within the statutory time limit. Therefore, this Court believes that the parties that come to the Industrial Court have proper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because they had gone through the necessary negotiation process at the Department of Industrial Relations and there were no objections or if there were, it was rejected administratively. This Court will only consider it necessary to determine this issue if the situation was the latter.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There is no evidence that the Company had raised the issue of the proper party was the Judicial Manager at the negotiation stage and that it was rejected by the Department of Industrial Relations. The Court is acutely aware that the negotiations process should be done on a without prejudice basis, however, this Court believes the if parties merely stated that the issue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was raised, is not a contravention of subsection 54(2)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The Company ought to have raised the issue of </w:t>
      </w:r>
      <w:r>
        <w:rPr>
          <w:rFonts w:ascii="arial" w:eastAsia="arial" w:hAnsi="arial" w:cs="arial"/>
          <w:b w:val="0"/>
          <w:i/>
          <w:strike w:val="0"/>
          <w:noProof w:val="0"/>
          <w:color w:val="000000"/>
          <w:position w:val="0"/>
          <w:sz w:val="24"/>
          <w:u w:val="none"/>
          <w:vertAlign w:val="baseline"/>
        </w:rPr>
        <w:t>locus standi</w:t>
      </w:r>
      <w:r>
        <w:rPr>
          <w:rFonts w:ascii="arial" w:eastAsia="arial" w:hAnsi="arial" w:cs="arial"/>
          <w:b w:val="0"/>
          <w:i w:val="0"/>
          <w:strike w:val="0"/>
          <w:noProof w:val="0"/>
          <w:color w:val="000000"/>
          <w:position w:val="0"/>
          <w:sz w:val="24"/>
          <w:u w:val="none"/>
          <w:vertAlign w:val="baseline"/>
        </w:rPr>
        <w:t xml:space="preserve"> at that stage at the Department of Industrial Relations and not at this stage of the proceedings. The Court also notes that the Claimants have worked at other companies within the same group of companies. On this issue, the Court also feels that if the parties were not the correct party, the matter should have been raised at the negotiations stage and should not be raised after the matter has been referred to the Industrial Courts.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Position of the Judicial Manager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At the outset, as the Court has mentioned above, the parties asserting the facts must provide the said evidence to prove its case on the balance of probabilities. The case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has always been that the Company must prove that the termination was with just cause and excuse. This case entails retrenchment after the Company had entered into financial distress requiring it to enter judicial management. The fact that the Company was under judicial management is not contested. What is contested is that the termination was done under the instruction of the judicial manager. This can be seen in the Company’s witness statement marked as </w:t>
      </w:r>
      <w:r>
        <w:rPr>
          <w:rFonts w:ascii="arial" w:eastAsia="arial" w:hAnsi="arial" w:cs="arial"/>
          <w:b w:val="0"/>
          <w:i/>
          <w:strike w:val="0"/>
          <w:noProof w:val="0"/>
          <w:color w:val="000000"/>
          <w:position w:val="0"/>
          <w:sz w:val="24"/>
          <w:u w:val="none"/>
          <w:vertAlign w:val="baseline"/>
        </w:rPr>
        <w:t>COWS-1A</w:t>
      </w:r>
      <w:r>
        <w:rPr>
          <w:rFonts w:ascii="arial" w:eastAsia="arial" w:hAnsi="arial" w:cs="arial"/>
          <w:b w:val="0"/>
          <w:i w:val="0"/>
          <w:strike w:val="0"/>
          <w:noProof w:val="0"/>
          <w:color w:val="000000"/>
          <w:position w:val="0"/>
          <w:sz w:val="24"/>
          <w:u w:val="none"/>
          <w:vertAlign w:val="baseline"/>
        </w:rPr>
        <w:t xml:space="preserve"> which states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“S3: Adakah anda tahu tindakan yang telah difailkan oleh Hanizah Binti Ahmad Jamaluddin terhadap Syarikat?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J3: Ya, tindakan ini adalah berkaitan dengan pemberhentian kerja Hanizah Binti Ahmad Jamaluddin daripada Syarikat berkuatkuasa 15 Januari 2012 akibat daripada satu </w:t>
      </w:r>
      <w:r>
        <w:rPr>
          <w:rFonts w:ascii="arial" w:eastAsia="arial" w:hAnsi="arial" w:cs="arial"/>
          <w:b w:val="0"/>
          <w:i/>
          <w:strike w:val="0"/>
          <w:noProof w:val="0"/>
          <w:color w:val="000000"/>
          <w:position w:val="0"/>
          <w:sz w:val="18"/>
          <w:u w:val="none"/>
          <w:vertAlign w:val="baseline"/>
        </w:rPr>
        <w:t>rightsizing exercise</w:t>
      </w:r>
      <w:r>
        <w:rPr>
          <w:rFonts w:ascii="arial" w:eastAsia="arial" w:hAnsi="arial" w:cs="arial"/>
          <w:b w:val="0"/>
          <w:i w:val="0"/>
          <w:strike w:val="0"/>
          <w:noProof w:val="0"/>
          <w:color w:val="000000"/>
          <w:position w:val="0"/>
          <w:sz w:val="18"/>
          <w:u w:val="none"/>
          <w:vertAlign w:val="baseline"/>
        </w:rPr>
        <w:t xml:space="preserve"> dan </w:t>
      </w:r>
      <w:r>
        <w:rPr>
          <w:rFonts w:ascii="arial" w:eastAsia="arial" w:hAnsi="arial" w:cs="arial"/>
          <w:b w:val="0"/>
          <w:i/>
          <w:strike w:val="0"/>
          <w:noProof w:val="0"/>
          <w:color w:val="000000"/>
          <w:position w:val="0"/>
          <w:sz w:val="18"/>
          <w:u w:val="none"/>
          <w:vertAlign w:val="baseline"/>
        </w:rPr>
        <w:t>manpower optimization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(“Arahan tersebut”)</w:t>
      </w:r>
      <w:r>
        <w:rPr>
          <w:rFonts w:ascii="arial" w:eastAsia="arial" w:hAnsi="arial" w:cs="arial"/>
          <w:b w:val="0"/>
          <w:i w:val="0"/>
          <w:strike w:val="0"/>
          <w:noProof w:val="0"/>
          <w:color w:val="000000"/>
          <w:position w:val="0"/>
          <w:sz w:val="18"/>
          <w:u w:val="none"/>
          <w:vertAlign w:val="baseline"/>
        </w:rPr>
        <w:t xml:space="preserve"> yang telah dilakukan oleh Syarikat.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S4: Kenapa satu</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rightsizing exercise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dan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manpower optimization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terpaksa dilakukan di Syarikat?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J4.1: Sepanjang pengetahuan saya, Arahan tersebut telah dilakukan oleh kerana penurunan harga minyak dan gas serta kelembapan ekonomi global.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J4.2: Arahan tersebut merupakan salah satu daripada langkah-langkah yang telah diambil oleh Syarikat dan Kumpulan Scomi Energy untuk memperbaiki kedudukan kewangan Syarikat. Namun, Arahan tersebut diperlukan untuk melaraskan semula modal kerja dan penilaian semula struktur organisasi mengikut kesesuaian dan keperluan semasa, dan oleh itu, beberapa jabatan dan/atau posisi di dalam Syarikat telah dikenalpasti sebagai tidak diperlukan </w:t>
      </w:r>
      <w:r>
        <w:rPr>
          <w:rFonts w:ascii="arial" w:eastAsia="arial" w:hAnsi="arial" w:cs="arial"/>
          <w:b w:val="0"/>
          <w:i/>
          <w:strike w:val="0"/>
          <w:noProof w:val="0"/>
          <w:color w:val="000000"/>
          <w:position w:val="0"/>
          <w:sz w:val="18"/>
          <w:u w:val="none"/>
          <w:vertAlign w:val="baseline"/>
        </w:rPr>
        <w:t>(redundant).</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The above clearly states that there was some sort of Directive or Order issued. Although in the first question, the witness admitted that the Directive refers to the rightsizing exercise and not any specific instruction from the Judicial Manager. However, the second part of the answer tries to harmonise the High Court Order as the reason for the Directive. This Court agrees that the High Court Order dated 14 August 2020 by YA Azmi bin Ariffin does state the parameters of the Judicial Manager’s authority.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The Court acknowledges that the authority is far and wide as well as includes the power to restructure the Company. Nonetheless, the Order does not supersede the normal rules of evidence whereby any assertion must be supported by evidence as clearly highlighted several times in the Company’s submission.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The Company’s Counsel had also referred to the question and answer after the above, specifically question and answer 5 in </w:t>
      </w:r>
      <w:r>
        <w:rPr>
          <w:rFonts w:ascii="arial" w:eastAsia="arial" w:hAnsi="arial" w:cs="arial"/>
          <w:b w:val="0"/>
          <w:i/>
          <w:strike w:val="0"/>
          <w:noProof w:val="0"/>
          <w:color w:val="000000"/>
          <w:position w:val="0"/>
          <w:sz w:val="24"/>
          <w:u w:val="none"/>
          <w:vertAlign w:val="baseline"/>
        </w:rPr>
        <w:t>COWS-1A,</w:t>
      </w:r>
      <w:r>
        <w:rPr>
          <w:rFonts w:ascii="arial" w:eastAsia="arial" w:hAnsi="arial" w:cs="arial"/>
          <w:b w:val="0"/>
          <w:i w:val="0"/>
          <w:strike w:val="0"/>
          <w:noProof w:val="0"/>
          <w:color w:val="000000"/>
          <w:position w:val="0"/>
          <w:sz w:val="24"/>
          <w:u w:val="none"/>
          <w:vertAlign w:val="baseline"/>
        </w:rPr>
        <w:t xml:space="preserve"> where the witness had referred to a plan by the Company’s Judicial Manager. However, the situation is the same, since there is absolutely no proof of the Directive given and it was again related or tried to harmonise with the High Court Order mentioned above.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The Company must show the Directive was actually given by the Judicial Manager since this was the grounds of the Company’s justification or as submitted by the Company’s Counsel “was conducted by the Judicial Manager during the Judicial Management Period”. There was no minutes or resolution submitted to support this assertion. The Company’s witness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during cross examination stated clearly that the “Arahan” came from Judicial Manager. However, there is nothing submitted to support this statement.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Further adding to the confusion is the testimony of </w:t>
      </w:r>
      <w:r>
        <w:rPr>
          <w:rFonts w:ascii="arial" w:eastAsia="arial" w:hAnsi="arial" w:cs="arial"/>
          <w:b w:val="0"/>
          <w:i/>
          <w:strike w:val="0"/>
          <w:noProof w:val="0"/>
          <w:color w:val="000000"/>
          <w:position w:val="0"/>
          <w:sz w:val="24"/>
          <w:u w:val="none"/>
          <w:vertAlign w:val="baseline"/>
        </w:rPr>
        <w:t>COW-2,</w:t>
      </w:r>
      <w:r>
        <w:rPr>
          <w:rFonts w:ascii="arial" w:eastAsia="arial" w:hAnsi="arial" w:cs="arial"/>
          <w:b w:val="0"/>
          <w:i w:val="0"/>
          <w:strike w:val="0"/>
          <w:noProof w:val="0"/>
          <w:color w:val="000000"/>
          <w:position w:val="0"/>
          <w:sz w:val="24"/>
          <w:u w:val="none"/>
          <w:vertAlign w:val="baseline"/>
        </w:rPr>
        <w:t xml:space="preserve"> the Director of the Company, who during cross examination stated that the order to terminate the Claimants from the parent company, SESB. During re-examination, the witness repeated the same that it was SESB that ordered the termination but did not know why it was SESB that gave the orders. No mention of the Judicial Manager at all. Although during the re-examination he later stated that he did not know who terminated the Claimants.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The only rational conclusion that this Court can adduce based on the above is that there was no specific Directive issued by the Judicial Manager. However, the actions of the Company was done in the normal course of its business operations and subsequently ratified by the Judicial Manager. Clearly, the authority is there but no documentary evidence to support the said instruction. This is in no means challenging or questioning the High Court Order and the appointment of the Judicial Manager, but rather it should be pointed out that it was the Company’s position that that the termination was due to the instruction of the Judicial Manager. Nevertheless, the justification by the Company must be supported by evidence.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Had the Company just admitted that it was part of their actions to fulfil the High Court Order and subsequently agreed by the Judicial Manager. This is an equitable Court of arbitration and he who comes to equity must come with clean hands. Based on this the Court is off the view that there was no instruction for the Judicial Manager and that the Company is merely transferring the accountability to another.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 Company must now prove that the termination was done with just cause and excuse without referring to the so-called instructions of the Judicial Manager that has been proven to be non-existent. The Court notes that the absence of the Directive does not automatically mean that the Claimants were dismissed without just cause. The Court must look into other factors which are usual for the retrenchment or redundancy cases.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Retrenchment and Redundancy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xml:space="preserve">  Before, going into that argument, the Court looks into the definition of both retrenchment and redundancy. This Court has referred to the definitions in an earlier decided case of </w:t>
      </w:r>
      <w:r>
        <w:rPr>
          <w:rFonts w:ascii="arial" w:eastAsia="arial" w:hAnsi="arial" w:cs="arial"/>
          <w:b w:val="0"/>
          <w:i/>
          <w:strike w:val="0"/>
          <w:noProof w:val="0"/>
          <w:color w:val="000000"/>
          <w:position w:val="0"/>
          <w:sz w:val="24"/>
          <w:u w:val="none"/>
          <w:vertAlign w:val="baseline"/>
        </w:rPr>
        <w:t xml:space="preserve">Ooi Lay Khuan v. Inti International Education Sdn Bhd  </w:t>
      </w:r>
      <w:r>
        <w:rPr>
          <w:rFonts w:ascii="arial" w:eastAsia="arial" w:hAnsi="arial" w:cs="arial"/>
          <w:b w:val="0"/>
          <w:i w:val="0"/>
          <w:strike w:val="0"/>
          <w:noProof w:val="0"/>
          <w:color w:val="000000"/>
          <w:position w:val="0"/>
          <w:sz w:val="24"/>
          <w:u w:val="none"/>
          <w:vertAlign w:val="baseline"/>
        </w:rPr>
        <w:t>[2024] MELRU 186</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This Court had referred to two cases on the definition namely the Court of Appeal case of </w:t>
      </w:r>
      <w:r>
        <w:rPr>
          <w:rFonts w:ascii="arial" w:eastAsia="arial" w:hAnsi="arial" w:cs="arial"/>
          <w:b w:val="0"/>
          <w:i/>
          <w:strike w:val="0"/>
          <w:noProof w:val="0"/>
          <w:color w:val="000000"/>
          <w:position w:val="0"/>
          <w:sz w:val="24"/>
          <w:u w:val="none"/>
          <w:vertAlign w:val="baseline"/>
        </w:rPr>
        <w:t xml:space="preserve">William Jacks &amp; Co. (M) Sdn. Bhd. v. S. Balasingam  </w:t>
      </w:r>
      <w:r>
        <w:rPr>
          <w:rFonts w:ascii="arial" w:eastAsia="arial" w:hAnsi="arial" w:cs="arial"/>
          <w:b w:val="0"/>
          <w:i w:val="0"/>
          <w:strike w:val="0"/>
          <w:noProof w:val="0"/>
          <w:color w:val="000000"/>
          <w:position w:val="0"/>
          <w:sz w:val="24"/>
          <w:u w:val="none"/>
          <w:vertAlign w:val="baseline"/>
        </w:rPr>
        <w:t xml:space="preserve">[1997] 3 CLJ 235 and the High Court case of </w:t>
      </w:r>
      <w:r>
        <w:rPr>
          <w:rFonts w:ascii="arial" w:eastAsia="arial" w:hAnsi="arial" w:cs="arial"/>
          <w:b w:val="0"/>
          <w:i/>
          <w:strike w:val="0"/>
          <w:noProof w:val="0"/>
          <w:color w:val="000000"/>
          <w:position w:val="0"/>
          <w:sz w:val="24"/>
          <w:u w:val="none"/>
          <w:vertAlign w:val="baseline"/>
        </w:rPr>
        <w:t xml:space="preserve">Stephen Bong v. FCB (M) Sdn Bhd &amp; Anor  </w:t>
      </w:r>
      <w:r>
        <w:rPr>
          <w:rFonts w:ascii="arial" w:eastAsia="arial" w:hAnsi="arial" w:cs="arial"/>
          <w:b w:val="0"/>
          <w:i w:val="0"/>
          <w:strike w:val="0"/>
          <w:noProof w:val="0"/>
          <w:color w:val="000000"/>
          <w:position w:val="0"/>
          <w:sz w:val="24"/>
          <w:u w:val="none"/>
          <w:vertAlign w:val="baseline"/>
        </w:rPr>
        <w:t>[1999] 3 MLJ 411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The Court does not wish to repeat the same so parties can refer to the said case for a better understanding on this Courts approach on retrenchment and redundancy. The term redundancy or retrenchment can be used interchangeably but, the Court wishes to illustrate the fundamental issue, notwithstanding whether it is either of the terms, occurs when a company has made a decision to reduce or downsize its workforce, for whatever reason it may be. In the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case, the Court had also referred to another Industrial Court case of </w:t>
      </w:r>
      <w:r>
        <w:rPr>
          <w:rFonts w:ascii="arial" w:eastAsia="arial" w:hAnsi="arial" w:cs="arial"/>
          <w:b w:val="0"/>
          <w:i/>
          <w:strike w:val="0"/>
          <w:noProof w:val="0"/>
          <w:color w:val="000000"/>
          <w:position w:val="0"/>
          <w:sz w:val="24"/>
          <w:u w:val="none"/>
          <w:vertAlign w:val="baseline"/>
        </w:rPr>
        <w:t xml:space="preserve">Mohd Nor Hassan &amp; Ors v. Continental Sime Tyre PJ Sdn. Bhd.  </w:t>
      </w:r>
      <w:r>
        <w:rPr>
          <w:rFonts w:ascii="arial" w:eastAsia="arial" w:hAnsi="arial" w:cs="arial"/>
          <w:b w:val="0"/>
          <w:i w:val="0"/>
          <w:strike w:val="0"/>
          <w:noProof w:val="0"/>
          <w:color w:val="000000"/>
          <w:position w:val="0"/>
          <w:sz w:val="24"/>
          <w:u w:val="none"/>
          <w:vertAlign w:val="baseline"/>
        </w:rPr>
        <w:t>[2014] 3 ILR 144 where the Court repeated three tests that needed to be fulfilled are as follows:</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there was a genuine need for the reorganisation exercise by the Company:</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a genuine redundancy situation had arisen which led to the retrenchment of the Claimant; and</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Company had complied with the accepted standards and procedure when selecting and retrenching the Claimant.</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The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case also referred to the Court of Appeal cases of </w:t>
      </w:r>
      <w:r>
        <w:rPr>
          <w:rFonts w:ascii="arial" w:eastAsia="arial" w:hAnsi="arial" w:cs="arial"/>
          <w:b w:val="0"/>
          <w:i/>
          <w:strike w:val="0"/>
          <w:noProof w:val="0"/>
          <w:color w:val="000000"/>
          <w:position w:val="0"/>
          <w:sz w:val="24"/>
          <w:u w:val="none"/>
          <w:vertAlign w:val="baseline"/>
        </w:rPr>
        <w:t xml:space="preserve">Harris Solid State (M) Sdn. Bhd. &amp; Ors. V. Bruno Gentil Pereira &amp; Ors.  </w:t>
      </w:r>
      <w:r>
        <w:rPr>
          <w:rFonts w:ascii="arial" w:eastAsia="arial" w:hAnsi="arial" w:cs="arial"/>
          <w:b w:val="0"/>
          <w:i w:val="0"/>
          <w:strike w:val="0"/>
          <w:noProof w:val="0"/>
          <w:color w:val="000000"/>
          <w:position w:val="0"/>
          <w:sz w:val="24"/>
          <w:u w:val="none"/>
          <w:vertAlign w:val="baseline"/>
        </w:rPr>
        <w:t xml:space="preserve">[1996] 4 CLJ 747 and </w:t>
      </w:r>
      <w:r>
        <w:rPr>
          <w:rFonts w:ascii="arial" w:eastAsia="arial" w:hAnsi="arial" w:cs="arial"/>
          <w:b w:val="0"/>
          <w:i/>
          <w:strike w:val="0"/>
          <w:noProof w:val="0"/>
          <w:color w:val="000000"/>
          <w:position w:val="0"/>
          <w:sz w:val="24"/>
          <w:u w:val="none"/>
          <w:vertAlign w:val="baseline"/>
        </w:rPr>
        <w:t xml:space="preserve">Bayer (M) Sdn. Bhd. V. Ng Hong Pau  </w:t>
      </w:r>
      <w:r>
        <w:rPr>
          <w:rFonts w:ascii="arial" w:eastAsia="arial" w:hAnsi="arial" w:cs="arial"/>
          <w:b w:val="0"/>
          <w:i w:val="0"/>
          <w:strike w:val="0"/>
          <w:noProof w:val="0"/>
          <w:color w:val="000000"/>
          <w:position w:val="0"/>
          <w:sz w:val="24"/>
          <w:u w:val="none"/>
          <w:vertAlign w:val="baseline"/>
        </w:rPr>
        <w:t>[1999] 4 CLJ 155 The latter case was also quoted by the Company’s Counsel in submission. Both these cases also provide the grounds for this Court to construe when determining what is deemed retrenchment and redundancy.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The decisions above illustrates that the Company has to prove that the functions of the Claimants’ post had been reduced significantly to be considered redundant. It has not been objected in this case that the Company’s physical activities had to be curtailed especially during the MCO. However, there must be actual evidence that the Claimant’s jobs were redundant. The Company did not actually provide evidence to support this contention.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xml:space="preserve">  Coming back to the case law above, the Company stated that it had done a reorganization of the Company, but the requirement was that it has to be genuine. In the </w:t>
      </w:r>
      <w:r>
        <w:rPr>
          <w:rFonts w:ascii="arial" w:eastAsia="arial" w:hAnsi="arial" w:cs="arial"/>
          <w:b/>
          <w:i/>
          <w:strike w:val="0"/>
          <w:noProof w:val="0"/>
          <w:color w:val="000000"/>
          <w:position w:val="0"/>
          <w:sz w:val="24"/>
          <w:u w:val="none"/>
          <w:vertAlign w:val="baseline"/>
        </w:rPr>
        <w:t>Bayer</w:t>
      </w:r>
      <w:r>
        <w:rPr>
          <w:rFonts w:ascii="arial" w:eastAsia="arial" w:hAnsi="arial" w:cs="arial"/>
          <w:b w:val="0"/>
          <w:i w:val="0"/>
          <w:strike w:val="0"/>
          <w:noProof w:val="0"/>
          <w:color w:val="000000"/>
          <w:position w:val="0"/>
          <w:sz w:val="24"/>
          <w:u w:val="none"/>
          <w:vertAlign w:val="baseline"/>
        </w:rPr>
        <w:t xml:space="preserve"> case and as stated by the Court earlier, it is quite clear that the Company had to show evidence that the Claimant’s post was truly redundant. In this case the Company has showed that there were signs that the Company needed to restructure and reorganise to settle the loan. A loan that was encumbered on them through their group of companies. This was the entire focus of the Company’s case. There was not enough evidence provided regarding the reorganisation and restructuring of the work in the Company that led to the redundancy of the Claimants posts.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xml:space="preserve">  This Court has decided in another case namely </w:t>
      </w:r>
      <w:r>
        <w:rPr>
          <w:rFonts w:ascii="arial" w:eastAsia="arial" w:hAnsi="arial" w:cs="arial"/>
          <w:b w:val="0"/>
          <w:i/>
          <w:strike w:val="0"/>
          <w:noProof w:val="0"/>
          <w:color w:val="000000"/>
          <w:position w:val="0"/>
          <w:sz w:val="24"/>
          <w:u w:val="none"/>
          <w:vertAlign w:val="baseline"/>
        </w:rPr>
        <w:t xml:space="preserve">Zulika Atika binti Khamis v. Nice Paradise Sdn. Bhd.,  </w:t>
      </w:r>
      <w:r>
        <w:rPr>
          <w:rFonts w:ascii="arial" w:eastAsia="arial" w:hAnsi="arial" w:cs="arial"/>
          <w:b w:val="0"/>
          <w:i w:val="0"/>
          <w:strike w:val="0"/>
          <w:noProof w:val="0"/>
          <w:color w:val="000000"/>
          <w:position w:val="0"/>
          <w:sz w:val="24"/>
          <w:u w:val="none"/>
          <w:vertAlign w:val="baseline"/>
        </w:rPr>
        <w:t>[2023] MELRU 2194</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In that case, the Company had gone through great lengths to show which posts were deemed redundant and the departments involved. Even then the Court felt was not done in just cause and excuse. The Court is of the view that the Company has to provide substantive evidence that the duties and tasks of the Claimants were deemed redundant due to the reorganisation such as the termination of excess staff from specific departments.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The Court has stated above that the Company has focused its attention on the fact that the Company had a lot of loans to settle. This Court has no intention to look into the details or actions taken to settle the loan through the various companies within the group. However, the Court does intend to relate the fact that the loan was redistributed and guaranteed between the companies within the group. The actions are perfectly legal but the Court notes that this illustrates the fact that the group almost acts as one entity so the loan distribution and movement of employees merely solidifies this fact.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Despite all of this, the question before this Court remains the same, that is whether the termination of the Claimants was done with just cause and excuse. If it was purely on the basis that the Company has incurred to much debt, thence it can be argued in the affirmative. Nonetheless, the transferring of debts between the companies should not, through no fault of the Company in the eyes of the Court, be borne by the employees.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xml:space="preserve">  The appointment of the Judicial Manager, by the Company itself, also illustrates the dire situation faced by the Company at that time.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restructuring and reorganisation was therefore necessary to ensure that the Company maintains its solvency and existence. However, this does not absolve the obligations of the Company to prove that the selection process was done fairly and that the number of years of service was taken into consideration.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The Claimants, both have lengthy years of service, despite the Counsel for the Company trying to paint a picture that both were only recently appointed in the Company. This Court has always been of the view that whenever an employee has a clause in their employment that allows for a transfer to other companies within the group, thence the argument that the Claimants were only recently appointed cannot be accepted.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xml:space="preserve">  Furthermore, both the Claimants in this case have an almost identical clause in their employment agreements which the Court has referred too, namely at page 1906 </w:t>
      </w:r>
      <w:r>
        <w:rPr>
          <w:rFonts w:ascii="arial" w:eastAsia="arial" w:hAnsi="arial" w:cs="arial"/>
          <w:b w:val="0"/>
          <w:i/>
          <w:strike w:val="0"/>
          <w:noProof w:val="0"/>
          <w:color w:val="000000"/>
          <w:position w:val="0"/>
          <w:sz w:val="24"/>
          <w:u w:val="none"/>
          <w:vertAlign w:val="baseline"/>
        </w:rPr>
        <w:t>COB-5</w:t>
      </w:r>
      <w:r>
        <w:rPr>
          <w:rFonts w:ascii="arial" w:eastAsia="arial" w:hAnsi="arial" w:cs="arial"/>
          <w:b w:val="0"/>
          <w:i w:val="0"/>
          <w:strike w:val="0"/>
          <w:noProof w:val="0"/>
          <w:color w:val="000000"/>
          <w:position w:val="0"/>
          <w:sz w:val="24"/>
          <w:u w:val="none"/>
          <w:vertAlign w:val="baseline"/>
        </w:rPr>
        <w:t xml:space="preserve"> for the First Claimant and page 1752 </w:t>
      </w:r>
      <w:r>
        <w:rPr>
          <w:rFonts w:ascii="arial" w:eastAsia="arial" w:hAnsi="arial" w:cs="arial"/>
          <w:b w:val="0"/>
          <w:i/>
          <w:strike w:val="0"/>
          <w:noProof w:val="0"/>
          <w:color w:val="000000"/>
          <w:position w:val="0"/>
          <w:sz w:val="24"/>
          <w:u w:val="none"/>
          <w:vertAlign w:val="baseline"/>
        </w:rPr>
        <w:t>COB-10</w:t>
      </w:r>
      <w:r>
        <w:rPr>
          <w:rFonts w:ascii="arial" w:eastAsia="arial" w:hAnsi="arial" w:cs="arial"/>
          <w:b w:val="0"/>
          <w:i w:val="0"/>
          <w:strike w:val="0"/>
          <w:noProof w:val="0"/>
          <w:color w:val="000000"/>
          <w:position w:val="0"/>
          <w:sz w:val="24"/>
          <w:u w:val="none"/>
          <w:vertAlign w:val="baseline"/>
        </w:rPr>
        <w:t xml:space="preserve"> for the Second Claimant. The clauses have clearly stated that, and taking the latter as an example, “you are liable to be transferred to work in any section, department or division of the Group at the absolute discretion of the Company.”. There should not be any ambiguity on the meaning and relationship of the companies within the group.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The Company had argued that the separate legal entity of the companies must be maintained unless there are grounds to show otherwise. Of course, the Company’s Counsel had argued otherwise. The Court will look into the issue of lifting of the corporate veil.</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Lifting the Corporate Veil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The Court had already looked into the issue the corporate in the above mentioned case of </w:t>
      </w:r>
      <w:r>
        <w:rPr>
          <w:rFonts w:ascii="arial" w:eastAsia="arial" w:hAnsi="arial" w:cs="arial"/>
          <w:b/>
          <w:i/>
          <w:strike w:val="0"/>
          <w:noProof w:val="0"/>
          <w:color w:val="000000"/>
          <w:position w:val="0"/>
          <w:sz w:val="24"/>
          <w:u w:val="none"/>
          <w:vertAlign w:val="baseline"/>
        </w:rPr>
        <w:t>Chong Jee Fat</w:t>
      </w:r>
      <w:r>
        <w:rPr>
          <w:rFonts w:ascii="arial" w:eastAsia="arial" w:hAnsi="arial" w:cs="arial"/>
          <w:b w:val="0"/>
          <w:i/>
          <w:strike w:val="0"/>
          <w:noProof w:val="0"/>
          <w:color w:val="000000"/>
          <w:position w:val="0"/>
          <w:sz w:val="24"/>
          <w:u w:val="none"/>
          <w:vertAlign w:val="baseline"/>
        </w:rPr>
        <w:t>s</w:t>
      </w:r>
      <w:r>
        <w:rPr>
          <w:rFonts w:ascii="arial" w:eastAsia="arial" w:hAnsi="arial" w:cs="arial"/>
          <w:b w:val="0"/>
          <w:i w:val="0"/>
          <w:strike w:val="0"/>
          <w:noProof w:val="0"/>
          <w:color w:val="000000"/>
          <w:position w:val="0"/>
          <w:sz w:val="24"/>
          <w:u w:val="none"/>
          <w:vertAlign w:val="baseline"/>
        </w:rPr>
        <w:t xml:space="preserve"> case. In that case the Court had referred to the Court of Appeal Case </w:t>
      </w:r>
      <w:r>
        <w:rPr>
          <w:rFonts w:ascii="arial" w:eastAsia="arial" w:hAnsi="arial" w:cs="arial"/>
          <w:b w:val="0"/>
          <w:i/>
          <w:strike w:val="0"/>
          <w:noProof w:val="0"/>
          <w:color w:val="000000"/>
          <w:position w:val="0"/>
          <w:sz w:val="24"/>
          <w:u w:val="none"/>
          <w:vertAlign w:val="baseline"/>
        </w:rPr>
        <w:t xml:space="preserve">Law Kam Loy &amp; Anor v. Boltex Sdn Bhd. &amp; Ors  </w:t>
      </w:r>
      <w:r>
        <w:rPr>
          <w:rFonts w:ascii="arial" w:eastAsia="arial" w:hAnsi="arial" w:cs="arial"/>
          <w:b w:val="0"/>
          <w:i w:val="0"/>
          <w:strike w:val="0"/>
          <w:noProof w:val="0"/>
          <w:color w:val="000000"/>
          <w:position w:val="0"/>
          <w:sz w:val="24"/>
          <w:u w:val="none"/>
          <w:vertAlign w:val="baseline"/>
        </w:rPr>
        <w:t>[2005] 3 CLJ 355</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 Court of Appeal had highlighted the possibility of lifting the corporate veil. The Court will now construe whether this case fulfils the requirement to lift the corporate veil.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xml:space="preserve">  The Court answers the assertion by the Company’s Counsel whether the situation in this case is fulfils the requirement for lifting the corporate veil in the affirmative despite the Counsel saying “No.”. The Company referred to the Federal Court case of </w:t>
      </w:r>
      <w:r>
        <w:rPr>
          <w:rFonts w:ascii="arial" w:eastAsia="arial" w:hAnsi="arial" w:cs="arial"/>
          <w:b w:val="0"/>
          <w:i/>
          <w:strike w:val="0"/>
          <w:noProof w:val="0"/>
          <w:color w:val="000000"/>
          <w:position w:val="0"/>
          <w:sz w:val="24"/>
          <w:u w:val="none"/>
          <w:vertAlign w:val="baseline"/>
        </w:rPr>
        <w:t xml:space="preserve">Zahri Mirza Abdul Hamid v. AIMS Cyberjaya Sdn Bhd  </w:t>
      </w:r>
      <w:r>
        <w:rPr>
          <w:rFonts w:ascii="arial" w:eastAsia="arial" w:hAnsi="arial" w:cs="arial"/>
          <w:b w:val="0"/>
          <w:i w:val="0"/>
          <w:strike w:val="0"/>
          <w:noProof w:val="0"/>
          <w:color w:val="000000"/>
          <w:position w:val="0"/>
          <w:sz w:val="24"/>
          <w:u w:val="none"/>
          <w:vertAlign w:val="baseline"/>
        </w:rPr>
        <w:t>[2020] 3 ILR 233</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Looking into the Federal Court case, this Court refers to the following paragraphs in the judgment: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“[15]</w:t>
      </w:r>
      <w:r>
        <w:rPr>
          <w:rFonts w:ascii="arial" w:eastAsia="arial" w:hAnsi="arial" w:cs="arial"/>
          <w:b w:val="0"/>
          <w:i w:val="0"/>
          <w:strike w:val="0"/>
          <w:noProof w:val="0"/>
          <w:color w:val="000000"/>
          <w:position w:val="0"/>
          <w:sz w:val="18"/>
          <w:u w:val="none"/>
          <w:vertAlign w:val="baseline"/>
        </w:rPr>
        <w:t xml:space="preserve"> Courts have recognised a number of factors that may lead to lifting/piercing of the corporate veil. Generally speaking, grounds under general law for lifting/piercing the corporate veil may be grouped into the following categories:</w:t>
      </w:r>
    </w:p>
    <w:p>
      <w:pPr>
        <w:keepNext w:val="0"/>
        <w:numPr>
          <w:numId w:val="30"/>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agency;</w:t>
      </w:r>
    </w:p>
    <w:p>
      <w:pPr>
        <w:keepNext w:val="0"/>
        <w:numPr>
          <w:numId w:val="31"/>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fraud;</w:t>
      </w:r>
    </w:p>
    <w:p>
      <w:pPr>
        <w:keepNext w:val="0"/>
        <w:numPr>
          <w:numId w:val="32"/>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sham or facade;</w:t>
      </w:r>
    </w:p>
    <w:p>
      <w:pPr>
        <w:keepNext w:val="0"/>
        <w:numPr>
          <w:numId w:val="33"/>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group enterprise; and</w:t>
      </w:r>
    </w:p>
    <w:p>
      <w:pPr>
        <w:keepNext w:val="0"/>
        <w:numPr>
          <w:numId w:val="34"/>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unfairness/injustice.</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These categories are probably not exhaustive. For the purpose of this instant appeal, categories (iv) and (v) are relevant.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[16]</w:t>
      </w:r>
      <w:r>
        <w:rPr>
          <w:rFonts w:ascii="arial" w:eastAsia="arial" w:hAnsi="arial" w:cs="arial"/>
          <w:b w:val="0"/>
          <w:i w:val="0"/>
          <w:strike w:val="0"/>
          <w:noProof w:val="0"/>
          <w:color w:val="000000"/>
          <w:position w:val="0"/>
          <w:sz w:val="18"/>
          <w:u w:val="none"/>
          <w:vertAlign w:val="baseline"/>
        </w:rPr>
        <w:t xml:space="preserve"> A court may lift/pierce the corporate veil where the relationship between companies in the same group is so intertwined that they should be treated as a single entity to reflect the economic and commercial realities of the situation. </w:t>
      </w:r>
      <w:r>
        <w:rPr>
          <w:rFonts w:ascii="arial" w:eastAsia="arial" w:hAnsi="arial" w:cs="arial"/>
          <w:b/>
          <w:i w:val="0"/>
          <w:strike w:val="0"/>
          <w:noProof w:val="0"/>
          <w:color w:val="000000"/>
          <w:position w:val="0"/>
          <w:sz w:val="18"/>
          <w:u w:val="none"/>
          <w:vertAlign w:val="baseline"/>
        </w:rPr>
        <w:t>An argument of “group enterprise” is that in certain circumstances a corporate group is operating in such a manner as to make each individual entity indistinguishable, and therefore it is proper to lift/pierce the corporate veil to treat the parent company as liable for the acts of the subsidiary. Lifting/piercing the corporate veil is one way to ensure that a corporate group, which seeks the advantages of limited liability, must also accept the corresponding responsibilities.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[17]</w:t>
      </w:r>
      <w:r>
        <w:rPr>
          <w:rFonts w:ascii="arial" w:eastAsia="arial" w:hAnsi="arial" w:cs="arial"/>
          <w:b w:val="0"/>
          <w:i w:val="0"/>
          <w:strike w:val="0"/>
          <w:noProof w:val="0"/>
          <w:color w:val="000000"/>
          <w:position w:val="0"/>
          <w:sz w:val="18"/>
          <w:u w:val="none"/>
          <w:vertAlign w:val="baseline"/>
        </w:rPr>
        <w:t xml:space="preserve"> In the employment law perspective, the application of the “single economic unit” test or “functional integrality” test is particularly significant in ascertaining the continuity of employment for the scope of dismissal protection (see </w:t>
      </w:r>
      <w:r>
        <w:rPr>
          <w:rFonts w:ascii="arial" w:eastAsia="arial" w:hAnsi="arial" w:cs="arial"/>
          <w:b w:val="0"/>
          <w:i/>
          <w:strike w:val="0"/>
          <w:noProof w:val="0"/>
          <w:color w:val="000000"/>
          <w:position w:val="0"/>
          <w:sz w:val="18"/>
          <w:u w:val="none"/>
          <w:vertAlign w:val="baseline"/>
        </w:rPr>
        <w:t xml:space="preserve">Manley Inc v. Fallis </w:t>
      </w:r>
      <w:r>
        <w:rPr>
          <w:rFonts w:ascii="arial" w:eastAsia="arial" w:hAnsi="arial" w:cs="arial"/>
          <w:b w:val="0"/>
          <w:i w:val="0"/>
          <w:strike w:val="0"/>
          <w:noProof w:val="0"/>
          <w:color w:val="000000"/>
          <w:position w:val="0"/>
          <w:sz w:val="18"/>
          <w:u w:val="none"/>
          <w:vertAlign w:val="baseline"/>
        </w:rPr>
        <w:t xml:space="preserve"> (1977), 2 BLR 277 (Ont CA)]. It recognises the complexity of modern corporate structures and that the corporate veil must only be pierced in exceptional circumstances. On the other hand, such complexity should not be an obstacle to defeat the legitimate entitlements of wrongfully dismissed employees. This approach has its root on the general notions of fairness, equality and proportionality in the treatment of vulnerable employees. It serves to balance fairness with evolving commercial realities.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Based on the above, it is clear that the situation in this case, clearly justifies the lifting of the corporate veil. The group had allowed the decision to transfer the Claimants, it was also the group that allowed that the Company to take on the debts from the other companies within the group. This is clearly what the Federal Court states as “group enterprise” and in this case must also accept the corresponding responsibilities.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xml:space="preserve">  This then leads the Court to the next issue namely, the maxim of last in first out or “LIFO”. The Claimants counsel raised the issue of the principle of LIFO. The Court had already made a decision on this matter in an earlier case of </w:t>
      </w:r>
      <w:r>
        <w:rPr>
          <w:rFonts w:ascii="arial" w:eastAsia="arial" w:hAnsi="arial" w:cs="arial"/>
          <w:b w:val="0"/>
          <w:i/>
          <w:strike w:val="0"/>
          <w:noProof w:val="0"/>
          <w:color w:val="000000"/>
          <w:position w:val="0"/>
          <w:sz w:val="24"/>
          <w:u w:val="none"/>
          <w:vertAlign w:val="baseline"/>
        </w:rPr>
        <w:t xml:space="preserve">Shairazi Aslam Abd Aziz v. Air Asia Berhad  </w:t>
      </w:r>
      <w:r>
        <w:rPr>
          <w:rFonts w:ascii="arial" w:eastAsia="arial" w:hAnsi="arial" w:cs="arial"/>
          <w:b w:val="0"/>
          <w:i w:val="0"/>
          <w:strike w:val="0"/>
          <w:noProof w:val="0"/>
          <w:color w:val="000000"/>
          <w:position w:val="0"/>
          <w:sz w:val="24"/>
          <w:u w:val="none"/>
          <w:vertAlign w:val="baseline"/>
        </w:rPr>
        <w:t xml:space="preserve">[2023] MELRU 2174 and reiterated in the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case. This Court notes that the case has been appealed but until the appeal has been heard then the ratio still stands.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LIFO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xml:space="preserve">  In both the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cases, this Court referred to the Federal Court case of </w:t>
      </w:r>
      <w:r>
        <w:rPr>
          <w:rFonts w:ascii="arial" w:eastAsia="arial" w:hAnsi="arial" w:cs="arial"/>
          <w:b w:val="0"/>
          <w:i/>
          <w:strike w:val="0"/>
          <w:noProof w:val="0"/>
          <w:color w:val="000000"/>
          <w:position w:val="0"/>
          <w:sz w:val="24"/>
          <w:u w:val="none"/>
          <w:vertAlign w:val="baseline"/>
        </w:rPr>
        <w:t xml:space="preserve">Dynacraft Industries Sdn Bhd v. Kamaruddin Kana Mohd Shariff &amp; Ors  </w:t>
      </w:r>
      <w:r>
        <w:rPr>
          <w:rFonts w:ascii="arial" w:eastAsia="arial" w:hAnsi="arial" w:cs="arial"/>
          <w:b w:val="0"/>
          <w:i w:val="0"/>
          <w:strike w:val="0"/>
          <w:noProof w:val="0"/>
          <w:color w:val="000000"/>
          <w:position w:val="0"/>
          <w:sz w:val="24"/>
          <w:u w:val="none"/>
          <w:vertAlign w:val="baseline"/>
        </w:rPr>
        <w:t>[2012] 9 CLJ 21 where it was stated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“[13]</w:t>
      </w:r>
      <w:r>
        <w:rPr>
          <w:rFonts w:ascii="arial" w:eastAsia="arial" w:hAnsi="arial" w:cs="arial"/>
          <w:b w:val="0"/>
          <w:i w:val="0"/>
          <w:strike w:val="0"/>
          <w:noProof w:val="0"/>
          <w:color w:val="000000"/>
          <w:position w:val="0"/>
          <w:sz w:val="18"/>
          <w:u w:val="none"/>
          <w:vertAlign w:val="baseline"/>
        </w:rPr>
        <w:t xml:space="preserve"> We will deal with the first question posed in this appeal. It concerns the correctness of the application of the LIFO principle by the Industrial Court. </w:t>
      </w:r>
      <w:r>
        <w:rPr>
          <w:rFonts w:ascii="arial" w:eastAsia="arial" w:hAnsi="arial" w:cs="arial"/>
          <w:b/>
          <w:i w:val="0"/>
          <w:strike w:val="0"/>
          <w:noProof w:val="0"/>
          <w:color w:val="000000"/>
          <w:position w:val="0"/>
          <w:sz w:val="18"/>
          <w:u w:val="none"/>
          <w:vertAlign w:val="baseline"/>
        </w:rPr>
        <w:t>The LIFO</w:t>
      </w:r>
      <w:r>
        <w:rPr>
          <w:rFonts w:ascii="arial" w:eastAsia="arial" w:hAnsi="arial" w:cs="arial"/>
          <w:b w:val="0"/>
          <w:i w:val="0"/>
          <w:strike w:val="0"/>
          <w:noProof w:val="0"/>
          <w:color w:val="000000"/>
          <w:position w:val="0"/>
          <w:sz w:val="18"/>
          <w:u w:val="none"/>
          <w:vertAlign w:val="baseline"/>
        </w:rPr>
        <w:t xml:space="preserve"> (last in first out) or “last come first go” principle requires the most junior employee to be retrenched before the more senior ones in the same category. The principle is </w:t>
      </w:r>
      <w:r>
        <w:rPr>
          <w:rFonts w:ascii="arial" w:eastAsia="arial" w:hAnsi="arial" w:cs="arial"/>
          <w:b/>
          <w:i w:val="0"/>
          <w:strike w:val="0"/>
          <w:noProof w:val="0"/>
          <w:color w:val="000000"/>
          <w:position w:val="0"/>
          <w:sz w:val="18"/>
          <w:u w:val="none"/>
          <w:vertAlign w:val="baseline"/>
        </w:rPr>
        <w:t>intended to afford a healthy safeguard against discrimination of workmen in the matter of retrenchment</w:t>
      </w:r>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 xml:space="preserve">Swadesamitran Ltd v. Their Workmen, AIR,  </w:t>
      </w:r>
      <w:r>
        <w:rPr>
          <w:rFonts w:ascii="arial" w:eastAsia="arial" w:hAnsi="arial" w:cs="arial"/>
          <w:b w:val="0"/>
          <w:i w:val="0"/>
          <w:strike w:val="0"/>
          <w:noProof w:val="0"/>
          <w:color w:val="000000"/>
          <w:position w:val="0"/>
          <w:sz w:val="18"/>
          <w:u w:val="none"/>
          <w:vertAlign w:val="baseline"/>
        </w:rPr>
        <w:t xml:space="preserve">1960 (SC) 762]. Explaining this principle, in </w:t>
      </w:r>
      <w:r>
        <w:rPr>
          <w:rFonts w:ascii="arial" w:eastAsia="arial" w:hAnsi="arial" w:cs="arial"/>
          <w:b w:val="0"/>
          <w:i/>
          <w:strike w:val="0"/>
          <w:noProof w:val="0"/>
          <w:color w:val="000000"/>
          <w:position w:val="0"/>
          <w:sz w:val="18"/>
          <w:u w:val="none"/>
          <w:vertAlign w:val="baseline"/>
        </w:rPr>
        <w:t xml:space="preserve">Workmen of Sudder Workshop of Jorehaut Tea Co Ltd v. The Management of Jorehaut Tea Co Ltd, AIR 1980, SC 1454 </w:t>
      </w:r>
      <w:r>
        <w:rPr>
          <w:rFonts w:ascii="arial" w:eastAsia="arial" w:hAnsi="arial" w:cs="arial"/>
          <w:b w:val="0"/>
          <w:i w:val="0"/>
          <w:strike w:val="0"/>
          <w:noProof w:val="0"/>
          <w:color w:val="000000"/>
          <w:position w:val="0"/>
          <w:sz w:val="18"/>
          <w:u w:val="none"/>
          <w:vertAlign w:val="baseline"/>
        </w:rPr>
        <w:t>, the Supreme Court said: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The rule is that the employer shall retrench the workman who came last, first, popularly known as ‘last come first go’.</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[14] It is well-established and accepted in Industrial law that in effecting retrenchment, </w:t>
      </w:r>
      <w:r>
        <w:rPr>
          <w:rFonts w:ascii="arial" w:eastAsia="arial" w:hAnsi="arial" w:cs="arial"/>
          <w:b/>
          <w:i w:val="0"/>
          <w:strike w:val="0"/>
          <w:noProof w:val="0"/>
          <w:color w:val="000000"/>
          <w:position w:val="0"/>
          <w:sz w:val="18"/>
          <w:u w:val="none"/>
          <w:vertAlign w:val="baseline"/>
        </w:rPr>
        <w:t>an employer should comply with the principle of last in first out unless there are some valid reasons for departure</w:t>
      </w:r>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 xml:space="preserve">Firex Sdn Bhd v. Ng Shoo Waa  </w:t>
      </w:r>
      <w:r>
        <w:rPr>
          <w:rFonts w:ascii="arial" w:eastAsia="arial" w:hAnsi="arial" w:cs="arial"/>
          <w:b w:val="0"/>
          <w:i w:val="0"/>
          <w:strike w:val="0"/>
          <w:noProof w:val="0"/>
          <w:color w:val="000000"/>
          <w:position w:val="0"/>
          <w:sz w:val="18"/>
          <w:u w:val="none"/>
          <w:vertAlign w:val="baseline"/>
        </w:rPr>
        <w:t>[1990] 1 ILR 226</w:t>
      </w:r>
      <w:r>
        <w:rPr>
          <w:rFonts w:ascii="arial" w:eastAsia="arial" w:hAnsi="arial" w:cs="arial"/>
          <w:b w:val="0"/>
          <w:i/>
          <w:strike w:val="0"/>
          <w:noProof w:val="0"/>
          <w:color w:val="000000"/>
          <w:position w:val="0"/>
          <w:sz w:val="18"/>
          <w:u w:val="single"/>
          <w:vertAlign w:val="baseline"/>
        </w:rPr>
        <w:t>]</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val="0"/>
          <w:i/>
          <w:strike w:val="0"/>
          <w:noProof w:val="0"/>
          <w:color w:val="000000"/>
          <w:position w:val="0"/>
          <w:sz w:val="18"/>
          <w:u w:val="none"/>
          <w:vertAlign w:val="baseline"/>
        </w:rPr>
        <w:t xml:space="preserve">Om Oil and Oil Seeds Exchange Ltd Delhi v. Their Workmen,  </w:t>
      </w:r>
      <w:r>
        <w:rPr>
          <w:rFonts w:ascii="arial" w:eastAsia="arial" w:hAnsi="arial" w:cs="arial"/>
          <w:b w:val="0"/>
          <w:i w:val="0"/>
          <w:strike w:val="0"/>
          <w:noProof w:val="0"/>
          <w:color w:val="000000"/>
          <w:position w:val="0"/>
          <w:sz w:val="18"/>
          <w:u w:val="none"/>
          <w:vertAlign w:val="baseline"/>
        </w:rPr>
        <w:t>1966 AIR (SC) 1657, the Supreme Court said: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(3) It is an accepted principle of industrial law that in ordering retrenchment ordinarily the management should commence with the latest recruit, and progressively retrench employees higher up in the list of seniority. But the rule is not immutable, and for valid reasons may be departed from. It was observed by this Court in </w:t>
      </w:r>
      <w:r>
        <w:rPr>
          <w:rFonts w:ascii="arial" w:eastAsia="arial" w:hAnsi="arial" w:cs="arial"/>
          <w:b w:val="0"/>
          <w:i/>
          <w:strike w:val="0"/>
          <w:noProof w:val="0"/>
          <w:color w:val="000000"/>
          <w:position w:val="0"/>
          <w:sz w:val="18"/>
          <w:u w:val="none"/>
          <w:vertAlign w:val="baseline"/>
        </w:rPr>
        <w:t xml:space="preserve">Swadesamitran Ltd., Madras v. Their Workmen,  </w:t>
      </w:r>
      <w:r>
        <w:rPr>
          <w:rFonts w:ascii="arial" w:eastAsia="arial" w:hAnsi="arial" w:cs="arial"/>
          <w:b w:val="0"/>
          <w:i w:val="0"/>
          <w:strike w:val="0"/>
          <w:noProof w:val="0"/>
          <w:color w:val="000000"/>
          <w:position w:val="0"/>
          <w:sz w:val="18"/>
          <w:u w:val="none"/>
          <w:vertAlign w:val="baseline"/>
        </w:rPr>
        <w:t xml:space="preserve">1960-1 Lab LJ 504: (AIR ; 1960 SC 762), that if a case for retrenchment is made out, </w:t>
      </w:r>
      <w:r>
        <w:rPr>
          <w:rFonts w:ascii="arial" w:eastAsia="arial" w:hAnsi="arial" w:cs="arial"/>
          <w:b/>
          <w:i w:val="0"/>
          <w:strike w:val="0"/>
          <w:noProof w:val="0"/>
          <w:color w:val="000000"/>
          <w:position w:val="0"/>
          <w:sz w:val="18"/>
          <w:u w:val="none"/>
          <w:vertAlign w:val="baseline"/>
        </w:rPr>
        <w:t>it would normally be for the employer to decide which of the employees should be retrenched; but there can be no doubt that the ordinary industrial rule of retrenchment is “first come, last go” and where other things are equal, this rule has to be followed by the employer in effecting retrenchment.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The Court has emphasised some portions of the judgment above which are relevant to this case and notes that the principle was not binding on the Courts but rather ought to be invoked when necessary taking into consideration the facts of the case. In this case, the Court had difficulty in construing the principle due to the fact that there was insufficient information submitted by the parties.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The Company did not give any comparison of the employees within the department that the Claimants were working, only a statement that LIFO was followed because the Claimants literally joined in 2019. The Claimants were never given a choice in the transfer to the new Company. It is not now equitable for the Company to use the justification that the Claimants have recently joined the Company since the group transferred them at the groups discretion and not at the request of the Claimants.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At this point that the Court also notes that the First Claimant has worked within the group for almost twenty-eight years, whilst the Second Claimant has worked within the group for almost seventeen years. These are quite significant lengths of time for any person to serve in an organisation. This form of loyalty ought to be rewarded and not taken advantage off. Clearly, the Company was not equitable on the issue of LIFO. As stated earlier, the Court found it difficult to determine with certainty since the parties have not provided sufficient evidence.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The Court can only decide based on the evidence that has been submitted to the Court. In this case, the Claimants had almost twenty-eight and seventeen years of service in the group of companies. The groups of Companies standard employment agreement has a clause allowing for the transfer of employees within the group of companies and this should not be at a loss of any seniority and privileges for the Claimants. Since the Company has not submitted any specific evidence as to the length of service of other employees within the Company, it would not be correct to say that the termination of the Claimants fulfilled LIFO.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xml:space="preserve">  Another area that was raised by the Claimants representative was the application of the code of Conduct of Industrial Harmony (“Code”). Again this Court had already determined the issue of the implementation of the Code in the cases </w:t>
      </w:r>
      <w:r>
        <w:rPr>
          <w:rFonts w:ascii="arial" w:eastAsia="arial" w:hAnsi="arial" w:cs="arial"/>
          <w:b/>
          <w:i/>
          <w:strike w:val="0"/>
          <w:noProof w:val="0"/>
          <w:color w:val="000000"/>
          <w:position w:val="0"/>
          <w:sz w:val="24"/>
          <w:u w:val="none"/>
          <w:vertAlign w:val="baseline"/>
        </w:rPr>
        <w:t>Shairazi</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The Court does not want to repeat itself by for a further explanation of the position this Court has used.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Code of Conduct of Industrial Harmony (“Code”)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xml:space="preserve">  The Court referred to this principle through the Court of Appeal cases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 xml:space="preserve">[2012] 1 LNS 1296 and </w:t>
      </w:r>
      <w:r>
        <w:rPr>
          <w:rFonts w:ascii="arial" w:eastAsia="arial" w:hAnsi="arial" w:cs="arial"/>
          <w:b w:val="0"/>
          <w:i/>
          <w:strike w:val="0"/>
          <w:noProof w:val="0"/>
          <w:color w:val="000000"/>
          <w:position w:val="0"/>
          <w:sz w:val="24"/>
          <w:u w:val="none"/>
          <w:vertAlign w:val="baseline"/>
        </w:rPr>
        <w:t xml:space="preserve">Ng Chong Seng v Technip Geoproduction (M) Sdn Bhd &amp; Anor  </w:t>
      </w:r>
      <w:r>
        <w:rPr>
          <w:rFonts w:ascii="arial" w:eastAsia="arial" w:hAnsi="arial" w:cs="arial"/>
          <w:b w:val="0"/>
          <w:i w:val="0"/>
          <w:strike w:val="0"/>
          <w:noProof w:val="0"/>
          <w:color w:val="000000"/>
          <w:position w:val="0"/>
          <w:sz w:val="24"/>
          <w:u w:val="none"/>
          <w:vertAlign w:val="baseline"/>
        </w:rPr>
        <w:t>[2021] 1 MLJ 447</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These are two very distinct cases and decisions, one where the Code is binding and another where the Code is not binding. The latest case states that it is binding and this Court is bound by the precedent set. This would mean that the Code is binding, by extension on all the parties in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xml:space="preserve">  The Court is not convinced that the parties have sufficiently submitted on the issue of fulfilling the Code. The Company, through their first witness had in </w:t>
      </w:r>
      <w:r>
        <w:rPr>
          <w:rFonts w:ascii="arial" w:eastAsia="arial" w:hAnsi="arial" w:cs="arial"/>
          <w:b w:val="0"/>
          <w:i/>
          <w:strike w:val="0"/>
          <w:noProof w:val="0"/>
          <w:color w:val="000000"/>
          <w:position w:val="0"/>
          <w:sz w:val="24"/>
          <w:u w:val="none"/>
          <w:vertAlign w:val="baseline"/>
        </w:rPr>
        <w:t>COWS-1A</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val="0"/>
          <w:i/>
          <w:strike w:val="0"/>
          <w:noProof w:val="0"/>
          <w:color w:val="000000"/>
          <w:position w:val="0"/>
          <w:sz w:val="24"/>
          <w:u w:val="none"/>
          <w:vertAlign w:val="baseline"/>
        </w:rPr>
        <w:t>COWS-1B</w:t>
      </w:r>
      <w:r>
        <w:rPr>
          <w:rFonts w:ascii="arial" w:eastAsia="arial" w:hAnsi="arial" w:cs="arial"/>
          <w:b w:val="0"/>
          <w:i w:val="0"/>
          <w:strike w:val="0"/>
          <w:noProof w:val="0"/>
          <w:color w:val="000000"/>
          <w:position w:val="0"/>
          <w:sz w:val="24"/>
          <w:u w:val="none"/>
          <w:vertAlign w:val="baseline"/>
        </w:rPr>
        <w:t xml:space="preserve"> made a list of the actions taken by the group of companies had taken to try and maintain its solvency. On the other hand, the Claimants representative had raised that the Company did not completely fulfil all the requirements of the Code, especially with regards to the following areas:</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Limitation on recruitment;</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Restriction of overtime work;</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Restriction of work on weekly day of rest;</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reduction in number of shifts or days worked a week;</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reduction in the number of hours worked; and</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re-training and and/or transfer to the other department/work.</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The areas mentioned above by the Claimants representative are similarly not supported by any evidence other than the assertions of the Claimants themselves. The company’s witnesses were questioned on some of the issues especially on item (i) and the second limb of item (vi), which the Court believes were answered reasonably. As for items (ii) to (v) of the Code the Court feels that given the financial situation the Company was in reasonably fulfilled by the Company. The only exception is the second limb of item (vi), where the Company’s reply was weak to say the least. The group had transferred the Claimants to the Company, the group and the Company could have tried to look for suitable work at a different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The Court believes that the Company had a duty to try to look for an alternative employment within the group before the termination of employment. The evidence of both the Company’s witnesses, where both had said that there was no suitable employment in other companies within the group being insufficient.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Nonetheless, the order for the appointment of the Judicial Manager has lapsed and the Company is still in operation. This would mean that the restructuring and reorganisation had succeeded in saving the Company. The Company, now could have taken steps now to reappoint the Claimants if the Company was sincere that the restructuring and reorganisation was done purely for the survival of the Company.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Conclusion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Based on all the above, the Court is of the view that the Claimants long service ought to count for something. Despite the fact that the Company had no other alternative but to conduct a restructuring and reorganisation to save the Company. However, this does not absolve the fact that the Company has obligations to perform before conducting the exercise. These obligations, confirmed by the cases mentioned above, with the objective to soften the blow on the employees and the part of the Government’s actions to ensure that there is no abuse of the process.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xml:space="preserve">  Therefore, based on all the factors above, based on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namely equity, good conscience and substantial merits of the case without regard to technicalities and legal form and all the evidence adduced in this Court, this Court finds that the Claimants were dismissed without just cause and excuse because despite the Company proving that the restructuring and reorganisation was necessary but the Company has failed to prove that the Claimants were accommodated the safeguards under the Code and LIFO.</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Since it has been determined above that the Claimants were retrenched without just cause and now the Court will ascertain the Award the Claimants should be given. The Court took into consideration all the factors mentioned earlier above.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[61]</w:t>
      </w:r>
      <w:r>
        <w:rPr>
          <w:rFonts w:ascii="arial" w:eastAsia="arial" w:hAnsi="arial" w:cs="arial"/>
          <w:b w:val="0"/>
          <w:i w:val="0"/>
          <w:strike w:val="0"/>
          <w:noProof w:val="0"/>
          <w:color w:val="000000"/>
          <w:position w:val="0"/>
          <w:sz w:val="24"/>
          <w:u w:val="none"/>
          <w:vertAlign w:val="baseline"/>
        </w:rPr>
        <w:t xml:space="preserve">  The Court believes that despite the Claimants are entitled to some remedy, however, it has always been the Court’s position all awards must fulfil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which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“(4) In making its award in respect of a trade dispute, the Court shall have regard to the public interest, financial implications and the effect of the award on the economy of the country, and on the industry concerned, and also to the probable effect in related or similar industries.”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[62]</w:t>
      </w:r>
      <w:r>
        <w:rPr>
          <w:rFonts w:ascii="arial" w:eastAsia="arial" w:hAnsi="arial" w:cs="arial"/>
          <w:b w:val="0"/>
          <w:i w:val="0"/>
          <w:strike w:val="0"/>
          <w:noProof w:val="0"/>
          <w:color w:val="000000"/>
          <w:position w:val="0"/>
          <w:sz w:val="24"/>
          <w:u w:val="none"/>
          <w:vertAlign w:val="baseline"/>
        </w:rPr>
        <w:t>  The Court has to weigh the above especially when trying to balance the rights of both the Company and the Claimants. Although the general rule is that the Claimants would be entitled for backwages and reinstatement. However, in this case, both these remedies may not be suitable because the Company’s position may not have changed simply because the Company has not reinstated them earlier. Therefore, the Court believes that reinstatement is not applicable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[63]</w:t>
      </w:r>
      <w:r>
        <w:rPr>
          <w:rFonts w:ascii="arial" w:eastAsia="arial" w:hAnsi="arial" w:cs="arial"/>
          <w:b w:val="0"/>
          <w:i w:val="0"/>
          <w:strike w:val="0"/>
          <w:noProof w:val="0"/>
          <w:color w:val="000000"/>
          <w:position w:val="0"/>
          <w:sz w:val="24"/>
          <w:u w:val="none"/>
          <w:vertAlign w:val="baseline"/>
        </w:rPr>
        <w:t>  Whereas, on the issue of backwages, the Court believes the only relevant remedy is that provided under subregulations 3(1) and 6(1) of Employment (Termination and Lay-Off Benefits) Regulations 1980 (PU (A) 278/80). These are benefits that ought to be given for any employee that has been terminated. The amount based on the provided formula takes into consideration the years of service and practicable for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[64]</w:t>
      </w:r>
      <w:r>
        <w:rPr>
          <w:rFonts w:ascii="arial" w:eastAsia="arial" w:hAnsi="arial" w:cs="arial"/>
          <w:b w:val="0"/>
          <w:i w:val="0"/>
          <w:strike w:val="0"/>
          <w:noProof w:val="0"/>
          <w:color w:val="000000"/>
          <w:position w:val="0"/>
          <w:sz w:val="24"/>
          <w:u w:val="none"/>
          <w:vertAlign w:val="baseline"/>
        </w:rPr>
        <w:t xml:space="preserve">  This Court refers to the Court of Appeal case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[2012] 1 LNS 1296 as justification which has stated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“[19]</w:t>
      </w:r>
      <w:r>
        <w:rPr>
          <w:rFonts w:ascii="arial" w:eastAsia="arial" w:hAnsi="arial" w:cs="arial"/>
          <w:b w:val="0"/>
          <w:i w:val="0"/>
          <w:strike w:val="0"/>
          <w:noProof w:val="0"/>
          <w:color w:val="000000"/>
          <w:position w:val="0"/>
          <w:sz w:val="18"/>
          <w:u w:val="none"/>
          <w:vertAlign w:val="baseline"/>
        </w:rPr>
        <w:t xml:space="preserve"> We say so because a compensation of back wages is based on the underlying principle envisaged under the </w:t>
      </w:r>
      <w:r>
        <w:rPr>
          <w:rFonts w:ascii="arial" w:eastAsia="arial" w:hAnsi="arial" w:cs="arial"/>
          <w:b w:val="0"/>
          <w:i w:val="0"/>
          <w:strike w:val="0"/>
          <w:noProof w:val="0"/>
          <w:color w:val="000000"/>
          <w:position w:val="0"/>
          <w:sz w:val="18"/>
          <w:u w:val="single"/>
          <w:vertAlign w:val="baseline"/>
        </w:rPr>
        <w:t>Employment (Termination and LayOffs Benefits) Regulations 1980,</w:t>
      </w:r>
      <w:r>
        <w:rPr>
          <w:rFonts w:ascii="arial" w:eastAsia="arial" w:hAnsi="arial" w:cs="arial"/>
          <w:b w:val="0"/>
          <w:i w:val="0"/>
          <w:strike w:val="0"/>
          <w:noProof w:val="0"/>
          <w:color w:val="000000"/>
          <w:position w:val="0"/>
          <w:sz w:val="18"/>
          <w:u w:val="none"/>
          <w:vertAlign w:val="baseline"/>
        </w:rPr>
        <w:t xml:space="preserve"> made under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is not applicable to the respondent, he not being an employee with less than RM2,000 salary per month. Even under the Regulations, a person employed more than one year would be entitled to ten days wages for one year of service. For others, it would depend on his contract of employment or in a case of unionised employee the term of their respective collective agreements. A standard industry labour practice is to compensate the retrenched employee with a salary of one month to one year of service. The compensation granted in this case far exceeded any of these.”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[65]</w:t>
      </w:r>
      <w:r>
        <w:rPr>
          <w:rFonts w:ascii="arial" w:eastAsia="arial" w:hAnsi="arial" w:cs="arial"/>
          <w:b w:val="0"/>
          <w:i w:val="0"/>
          <w:strike w:val="0"/>
          <w:noProof w:val="0"/>
          <w:color w:val="000000"/>
          <w:position w:val="0"/>
          <w:sz w:val="24"/>
          <w:u w:val="none"/>
          <w:vertAlign w:val="baseline"/>
        </w:rPr>
        <w:t xml:space="preserve">  Based on the Court of Appeal case above, it is quite clear that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is applicable in the Industrial Court but not applicable for this case because the Claimant has crossed the threshold set by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Nonetheless, the Court would still use the amount stated in subregulations 6(1)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Besides that, the Court has also factored in the pay the Claimants received before their reduction of salary.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[66]</w:t>
      </w:r>
      <w:r>
        <w:rPr>
          <w:rFonts w:ascii="arial" w:eastAsia="arial" w:hAnsi="arial" w:cs="arial"/>
          <w:b w:val="0"/>
          <w:i w:val="0"/>
          <w:strike w:val="0"/>
          <w:noProof w:val="0"/>
          <w:color w:val="000000"/>
          <w:position w:val="0"/>
          <w:sz w:val="24"/>
          <w:u w:val="none"/>
          <w:vertAlign w:val="baseline"/>
        </w:rPr>
        <w:t>  The Claimants Award is as follows: First</w:t>
      </w:r>
    </w:p>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3486"/>
        <w:gridCol w:w="3485"/>
        <w:gridCol w:w="3485"/>
      </w:tblGrid>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First Claimant</w:t>
            </w:r>
          </w:p>
        </w:tc>
        <w:tc>
          <w:tcPr>
            <w:tcW w:w="3413" w:type="dxa"/>
            <w:tcBorders>
              <w:bottom w:val="nil"/>
              <w:right w:val="nil"/>
            </w:tcBorders>
          </w:tcPr>
          <w:p/>
        </w:tc>
        <w:tc>
          <w:tcPr>
            <w:tcW w:w="3413" w:type="dxa"/>
            <w:tcBorders>
              <w:bottom w:val="nil"/>
            </w:tcBorders>
          </w:tcPr>
          <w:p/>
        </w:tc>
      </w:tr>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RM4,370.00 x 20/30 days x 28 years</w:t>
            </w:r>
          </w:p>
        </w:tc>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13" w:type="dxa"/>
            <w:tcBorders>
              <w:bottom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RM81,573.33</w:t>
            </w:r>
          </w:p>
        </w:tc>
      </w:tr>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13" w:type="dxa"/>
            <w:tcBorders>
              <w:bottom w:val="nil"/>
            </w:tcBorders>
            <w:tcMar>
              <w:top w:w="100" w:type="dxa"/>
              <w:bottom w:w="10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RM81,573.33</w:t>
            </w:r>
          </w:p>
        </w:tc>
      </w:tr>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Second Claimant</w:t>
            </w:r>
          </w:p>
        </w:tc>
        <w:tc>
          <w:tcPr>
            <w:tcW w:w="3413" w:type="dxa"/>
            <w:tcBorders>
              <w:bottom w:val="nil"/>
              <w:right w:val="nil"/>
            </w:tcBorders>
          </w:tcPr>
          <w:p/>
        </w:tc>
        <w:tc>
          <w:tcPr>
            <w:tcW w:w="3413" w:type="dxa"/>
            <w:tcBorders>
              <w:bottom w:val="nil"/>
            </w:tcBorders>
          </w:tcPr>
          <w:p/>
        </w:tc>
      </w:tr>
      <w:tr>
        <w:tblPrEx>
          <w:tblW w:w="5000" w:type="pct"/>
          <w:tblLayout w:type="fixed"/>
        </w:tblPrEx>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RM3,975.00 x 20/30 days x 17 years</w:t>
            </w:r>
          </w:p>
        </w:tc>
        <w:tc>
          <w:tcPr>
            <w:tcW w:w="3413" w:type="dxa"/>
            <w:tcBorders>
              <w:bottom w:val="nil"/>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13" w:type="dxa"/>
            <w:tcBorders>
              <w:bottom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RM45,050.00</w:t>
            </w:r>
          </w:p>
        </w:tc>
      </w:tr>
      <w:tr>
        <w:tblPrEx>
          <w:tblW w:w="5000" w:type="pct"/>
          <w:tblLayout w:type="fixed"/>
        </w:tblPrEx>
        <w:tc>
          <w:tcPr>
            <w:tcW w:w="3413" w:type="dxa"/>
            <w:tcBorders>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3413" w:type="dxa"/>
            <w:tcBorders>
              <w:right w:val="nil"/>
            </w:tcBorders>
            <w:tcMar>
              <w:top w:w="100" w:type="dxa"/>
              <w:bottom w:w="10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13" w:type="dxa"/>
            <w:tcMar>
              <w:top w:w="100" w:type="dxa"/>
              <w:bottom w:w="100" w:type="dxa"/>
            </w:tcMar>
            <w:vAlign w:val="top"/>
          </w:tcPr>
          <w:p>
            <w:pPr>
              <w:spacing w:after="0" w:line="220" w:lineRule="atLeast"/>
              <w:ind w:left="0"/>
              <w:jc w:val="left"/>
            </w:pPr>
            <w:r>
              <w:rPr>
                <w:rFonts w:ascii="arial" w:eastAsia="arial" w:hAnsi="arial" w:cs="arial"/>
                <w:b/>
                <w:i w:val="0"/>
                <w:strike w:val="0"/>
                <w:noProof w:val="0"/>
                <w:color w:val="000000"/>
                <w:position w:val="0"/>
                <w:sz w:val="20"/>
                <w:u w:val="none"/>
                <w:vertAlign w:val="baseline"/>
              </w:rPr>
              <w:t>RM45,050.00</w:t>
            </w:r>
          </w:p>
        </w:tc>
      </w:tr>
    </w:tbl>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[67]</w:t>
      </w:r>
      <w:r>
        <w:rPr>
          <w:rFonts w:ascii="arial" w:eastAsia="arial" w:hAnsi="arial" w:cs="arial"/>
          <w:b w:val="0"/>
          <w:i w:val="0"/>
          <w:strike w:val="0"/>
          <w:noProof w:val="0"/>
          <w:color w:val="000000"/>
          <w:position w:val="0"/>
          <w:sz w:val="24"/>
          <w:u w:val="none"/>
          <w:vertAlign w:val="baseline"/>
        </w:rPr>
        <w:t>  The Court hereby orders that the Company pay the First Claimant the total sum of Ringgit Malaysia Eighty one thousand five hundred seventy three and thirty three cents (RM81,573.33) only within 30 days from the date of this Award and 8% per annum after thirty one days from the date of this Award if the amount has not been settled.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[68]</w:t>
      </w:r>
      <w:r>
        <w:rPr>
          <w:rFonts w:ascii="arial" w:eastAsia="arial" w:hAnsi="arial" w:cs="arial"/>
          <w:b w:val="0"/>
          <w:i w:val="0"/>
          <w:strike w:val="0"/>
          <w:noProof w:val="0"/>
          <w:color w:val="000000"/>
          <w:position w:val="0"/>
          <w:sz w:val="24"/>
          <w:u w:val="none"/>
          <w:vertAlign w:val="baseline"/>
        </w:rPr>
        <w:t>  The Court hereby orders that the Company pay the Second Claimant the total sum of Ringgit Malaysia Forty five thousand and fifty (RM45,050.00) only within 30 days from the date of this Award and 8% per annum after thirty one days from the date of this Award if the amount has not been settled.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Hanizah bt Ahmad Jamaluddin v Scomi KMC Sdn Bhd  [2024] ILJU 127</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x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x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x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x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x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x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x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x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x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Roman"/>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Hanizah bt Ahmad Jamaluddin v Scomi KMC Sdn Bhd  [2024] ILJU 127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V2-CJ93-MC9N-D11V-00000-00">
    <vt:lpwstr>Doc::/shared/document|contextualFeaturePermID::1522468</vt:lpwstr>
  </property>
  <property fmtid="{D5CDD505-2E9C-101B-9397-08002B2CF9AE}" pid="4" name="LNDeliveryID">
    <vt:lpwstr>283274855</vt:lpwstr>
  </property>
  <property fmtid="{D5CDD505-2E9C-101B-9397-08002B2CF9AE}" pid="5" name="UserPermID">
    <vt:lpwstr>urn:user:PA196491919</vt:lpwstr>
  </property>
</Properties>
</file>