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Jagdeep Kaur a/p Udham Singh v Halal Development Corporation Bhd  [2025] ILJU 312</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NUR FAUZAH MOKHTAR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980 OF 2025</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19 June 2025</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Muhendaran Suppiah (Muhendaran Sri)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Pathma Raj (with R M Murali) (Pathma Raj Ramasamy &amp; Co)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3"/>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Nur Fauzah Mokhtar C"/>
            <w:bookmarkEnd w:id="1"/>
            <w:r>
              <w:rPr>
                <w:rFonts w:ascii="arial" w:eastAsia="arial" w:hAnsi="arial" w:cs="arial"/>
                <w:b/>
                <w:i w:val="0"/>
                <w:strike w:val="0"/>
                <w:noProof w:val="0"/>
                <w:color w:val="000000"/>
                <w:position w:val="0"/>
                <w:sz w:val="30"/>
                <w:u w:val="none"/>
                <w:vertAlign w:val="baseline"/>
              </w:rPr>
              <w:t>Nur Fauzah Mokhtar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single"/>
          <w:vertAlign w:val="baseline"/>
        </w:rPr>
        <w:t>REFERENCE</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This is a reference from the Director General for Industrial Relations to the Industrial Court of Malaysia under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respect of the dismissal of </w:t>
      </w:r>
      <w:r>
        <w:rPr>
          <w:rFonts w:ascii="arial" w:eastAsia="arial" w:hAnsi="arial" w:cs="arial"/>
          <w:b/>
          <w:i w:val="0"/>
          <w:strike w:val="0"/>
          <w:noProof w:val="0"/>
          <w:color w:val="000000"/>
          <w:position w:val="0"/>
          <w:sz w:val="24"/>
          <w:u w:val="none"/>
          <w:vertAlign w:val="baseline"/>
        </w:rPr>
        <w:t>JAGDEEP KAUR A/P UDHAM SINGH</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HALAL DEVELOPMENT CORPORATION BHD</w:t>
      </w:r>
      <w:r>
        <w:rPr>
          <w:rFonts w:ascii="arial" w:eastAsia="arial" w:hAnsi="arial" w:cs="arial"/>
          <w:b w:val="0"/>
          <w:i w:val="0"/>
          <w:strike w:val="0"/>
          <w:noProof w:val="0"/>
          <w:color w:val="000000"/>
          <w:position w:val="0"/>
          <w:sz w:val="24"/>
          <w:u w:val="none"/>
          <w:vertAlign w:val="baseline"/>
        </w:rPr>
        <w:t xml:space="preserve"> (“the Company”) on </w:t>
      </w:r>
      <w:r>
        <w:rPr>
          <w:rFonts w:ascii="arial" w:eastAsia="arial" w:hAnsi="arial" w:cs="arial"/>
          <w:b/>
          <w:i w:val="0"/>
          <w:strike w:val="0"/>
          <w:noProof w:val="0"/>
          <w:color w:val="000000"/>
          <w:position w:val="0"/>
          <w:sz w:val="24"/>
          <w:u w:val="none"/>
          <w:vertAlign w:val="baseline"/>
        </w:rPr>
        <w:t>30th March 2021</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hearing for this matter, which commenced on 18th September 2023, was initially fixed for three (3) days. As both counsels were able to efficiently conduct the proceedings, the hearing was able to be concluded on its second day i.e. on 24th April 2024. The Company called two (2) witnesses i.e. Adly Bin Mohamed (“COW-1”) and Hairol Ariffein Sahari (“COW-2”). Whilst the Claimant gave evidence on her own behalf.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In handing down this Award the following were considered by the Court:</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record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notes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Amended Statement of Case dated 28th July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Amended Statement in Reply dated 11th August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Amended Rejoinder dated 24th August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Witness Statements (“CLWS1”), the Witness Statement of COW-1 (“COWS1”) and the Witness Statement of COW-2 (“COWS2”);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 of Documents marked as CLB1;</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Bundles of Documents marked as COB1, COB2 and COB3;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dated 28th June 2024;</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dated 28th June 2024;</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in Reply dated 29th July 2024;</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in Reply dated 29th July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Further Written Submissions in Reply dated 14th August 2024; and</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Further Written Submissions in Reply dated 31st July 2024.</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Background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Based on the pleadings and bundles of documents, this Court takes note of the following –</w:t>
      </w:r>
      <w:r>
        <w:t>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5th September 2016, the Claimant entered into a contract of employment with Halal Industry Development Corporation Sdn Bhd now known as Halal Development Corporation Bhd i.e. the Company;</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commenced her employment with the Company as a General Manager, Human Capital of the Company and her period of employment was for one (1) year commencing on 5th September 2016;</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contract of employment was renewed for four (4) consecutive years i.e. in 2017, 2018, 2019 and 2020;</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for purposes of the Claimant’s contract of employment renewed in 2020, the terms and conditions provide,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as follows –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period of employment is for “</w:t>
      </w:r>
      <w:r>
        <w:rPr>
          <w:rFonts w:ascii="arial" w:eastAsia="arial" w:hAnsi="arial" w:cs="arial"/>
          <w:b w:val="0"/>
          <w:i/>
          <w:strike w:val="0"/>
          <w:noProof w:val="0"/>
          <w:color w:val="000000"/>
          <w:position w:val="0"/>
          <w:sz w:val="24"/>
          <w:u w:val="none"/>
          <w:vertAlign w:val="baseline"/>
        </w:rPr>
        <w:t>two (2) plus one (1) years</w:t>
      </w:r>
      <w:r>
        <w:rPr>
          <w:rFonts w:ascii="arial" w:eastAsia="arial" w:hAnsi="arial" w:cs="arial"/>
          <w:b w:val="0"/>
          <w:i w:val="0"/>
          <w:strike w:val="0"/>
          <w:noProof w:val="0"/>
          <w:color w:val="000000"/>
          <w:position w:val="0"/>
          <w:sz w:val="24"/>
          <w:u w:val="none"/>
          <w:vertAlign w:val="baseline"/>
        </w:rPr>
        <w:t>”</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 commencing on 6th September 2020 until 5th September 2023;</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employment is in the capacity of General Manager, Human Capital of the Company;</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is directly responsible to the Vice President, Corporate Services of the Company; and</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monthly basic salary is RM16,207.00;</w:t>
      </w:r>
    </w:p>
    <w:p>
      <w:pPr>
        <w:keepNext w:val="0"/>
        <w:numPr>
          <w:numId w:val="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of transfer dated 15th March 2021, the Claimant was informed that the Management has decided to transfer the Claimant to Halal Event Management with immediate effect; and</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of 31st March 2021, the Claimant’s last drawn basic salary per month as agreed between the parties was RM16,207.00.</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Claimant’s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Based on the Amended Statement of Case and Amended Rejoinder, the Claimant avers she was constructively dismissed by the Company. In relation thereto, the Claimant avers as follows –</w:t>
      </w:r>
      <w:r>
        <w:t>
</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has carried out her duties, responsibilities and obligations for the duration of her employment with an unblemished record;</w:t>
      </w:r>
    </w:p>
    <w:p>
      <w:pPr>
        <w:keepNext w:val="0"/>
        <w:numPr>
          <w:numId w:val="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8th March 2021, the Company, without disclosing any reasons, unilaterally transferred the Claimant to the post of General Manager, Halal Event Management with immediate effect. In relation thereto, the Company had published a new organizational structure and announced that the said organizational structure takes effect immediately i.e. starting 8th March 2021;</w:t>
      </w:r>
    </w:p>
    <w:p>
      <w:pPr>
        <w:keepNext w:val="0"/>
        <w:numPr>
          <w:numId w:val="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24th March 2021, the Claimant placed on record her disagreement to the said transfer and took the matter up. However, the Claimant was informed that the Company’s decision was final;</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the Claimant was neither informed nor discussed about the said transfer, the Claimant was completely shocked and caught by surprise relating to the same;</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General Manager of Halal Event Management the Claimant will essentially be responsible for revenue generating as it is a profit centred position as compared to the Claimant’s position as General Manager of Human Capital wherein it is a cost centred position;</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has no experience or skillset or qualification in relation to Event Management;</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throughout her employment with the Company as well as her work experience prior to joining the Company, the job functions, duties and responsibilities of the Claimant were solely in the field of and relating to Human Resources;</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her email dated 24th March 2021, the Claimant further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Another startling development is the new seating arrangement details that was sent to me through email dated 18 March 2021. In this new searing arrangement, I have been placed in a common seating area with other staff in a shared room, in my new position as General Manager, Halal Event Management, whereas the Assistant General Manager is placed in a private room with a closed door all to himself. This is a clear example of the company breaching the implied duty of mutual trust and confidence, by demeaning me in the eyes of my colleagues.</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As such, I hereby place on record my disagreement to this unilateral change, and humbly seek that I be reinstated to my original position as the General Manager of Human Capital, failing which, I shall have no option but to treat myself as constructively dismissed by the company</w:t>
      </w:r>
      <w:r>
        <w:rPr>
          <w:rFonts w:ascii="arial" w:eastAsia="arial" w:hAnsi="arial" w:cs="arial"/>
          <w:b w:val="0"/>
          <w:i w:val="0"/>
          <w:strike w:val="0"/>
          <w:noProof w:val="0"/>
          <w:color w:val="000000"/>
          <w:position w:val="0"/>
          <w:sz w:val="18"/>
          <w:u w:val="none"/>
          <w:vertAlign w:val="baseline"/>
        </w:rPr>
        <w:t>.”;</w:t>
      </w:r>
      <w:r>
        <w:t>
</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whimsically dismissed the Claimant’s protest and ignored her contention;</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action in transferring the Claimant from the position of General Manager, Human Capital to General Manager of Halal Event Management had breached the implied term of mutual trust and confidence which existed in the employer employee relationship between the Company and the Claimant;</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action in transferring the Claimant from the position of General Manager, Human Capital to General Manager of Halal Event Management: </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caused mental distress to the Claimant and frustration of her employment and was a victimization of the Claimant by the Company;</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made it unbearable for the Claimant to carry on working with the Company and eventually had driven the Claimant out of employment; and</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evinced the Company’s intention to no longer be bound by the Claimant’s employment contract;</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was left with no alternative but to treat herself as constructively dismissed by the Company;</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function, description, scope assessment and work generally as a General Manager of Halal Event Management are entirely different from General Manager of Human Capital;</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action in transferring the Claimant to the position of General Manager of Halal Event Management was an action calculated to remove the Claimant from employment and that she was constructively dismissed by the Company;</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duties and responsibilities that the Claimant was performing throughout her employment with the Company prior to the said transfer, namely as the General Manager, Human Capital, were permanent in nature, instead of temporary or seasonal or project-based or on ad hoc basis;</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her employment with the Company was permanent in nature and thus she was in fact a permanent employee of the Company, despite the fact that her employment was couched in the form of various fixed term contracts;</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her dismissal is without any cause or excuse and/or was actuated by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conduct of the Company in relation to the Claimant’s dismissal is contrary to the principles of natural justice, equity, good conscience and constitutes an unfair practice; and</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her dismissal violated her legitimate expectation to be an employee of the Company up to the age of her retirement.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further avers as follows:</w:t>
      </w:r>
      <w:r>
        <w:t>
</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was employed by the Company from 5th September 2016 until her date of dismissal on 31st March 2021 without any break of service;</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was not informed by the CEO of the Company of the reorganization prior to receiving the email dated 8th March 2021;</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was in the position of General Manager, Human Capital since the beginning of her employment with the Company until she was abruptly transferred to a new department of Halal Event Management on 8th March 2021;</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no prior discussion between the Claimant and the Company regarding her transfer to Halal Event Management Department and there was no discussion on reorganization or transfers during the town hall meeting on 24th October 2019;</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was still employed as the General Manager of Human Capital during the HDC Business Plan workshop in 2020;</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was placed in a private room and invited her team to stay in the same room for a smoother workflow since she was first employed by the Company on 5th September 2016 until she was dismissed and she continued to occupy the said room until her dismissal on 31st March 2021 as she disagreed to being transferred to the Halal Event Management Department;</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had verbally protested to the CEO of the Company in the same week that she received the email dated 8th March 2021;</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did not perform the duties and responsibilities of the newly assigned position of General Manager of Halal Event Management due to her protest and disagreement towards the same;</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no prior discussion pertaining to the transfer by the CEO of the Company before the transformational phase was executed;</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has been a committee member of the World Halal Conference 2020 over the years specifically in the usherette and secretariat management team. For purposes of the World Halal Excellence Award Dinner 2020, purchasing two (2) tables for the said dinner is not related to the job scope of a General Manager of Halal Event Management; and</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her experience in Human Resources is almost 20 years including the present day and her educational background is not related to Event Management where she holds a bachelor’s degree in business administration and majored in management.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Written Submissions in Reply and Further Written Submissions in Reply, submits the following –</w:t>
      </w:r>
      <w:r>
        <w:t>
</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constructively dismissed via the Company’s actions in transferring her from a cost-centered position to a profit-centered position, which she has no qualification or experience in, which constituted a breach of the implied term of mutual trust and confidence which existed between the Company and the Claimant as employer and employee;</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law relating to constructive dismissal was established by the Supreme Court in the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[1988] 1 CLJ (Rep) 298 and reaffirmed by the High Court in the case of </w:t>
      </w:r>
      <w:r>
        <w:rPr>
          <w:rFonts w:ascii="arial" w:eastAsia="arial" w:hAnsi="arial" w:cs="arial"/>
          <w:b w:val="0"/>
          <w:i/>
          <w:strike w:val="0"/>
          <w:noProof w:val="0"/>
          <w:color w:val="000000"/>
          <w:position w:val="0"/>
          <w:sz w:val="24"/>
          <w:u w:val="none"/>
          <w:vertAlign w:val="baseline"/>
        </w:rPr>
        <w:t xml:space="preserve">Alan Thomas Bohlsen v Draftworldwide Sdn Bhd  </w:t>
      </w:r>
      <w:r>
        <w:rPr>
          <w:rFonts w:ascii="arial" w:eastAsia="arial" w:hAnsi="arial" w:cs="arial"/>
          <w:b w:val="0"/>
          <w:i w:val="0"/>
          <w:strike w:val="0"/>
          <w:noProof w:val="0"/>
          <w:color w:val="000000"/>
          <w:position w:val="0"/>
          <w:sz w:val="24"/>
          <w:u w:val="none"/>
          <w:vertAlign w:val="baseline"/>
        </w:rPr>
        <w:t xml:space="preserve">[2009] 1 LNS 550 and further elucidated by the Court of Appeal in the case of </w:t>
      </w:r>
      <w:r>
        <w:rPr>
          <w:rFonts w:ascii="arial" w:eastAsia="arial" w:hAnsi="arial" w:cs="arial"/>
          <w:b w:val="0"/>
          <w:i/>
          <w:strike w:val="0"/>
          <w:noProof w:val="0"/>
          <w:color w:val="000000"/>
          <w:position w:val="0"/>
          <w:sz w:val="24"/>
          <w:u w:val="none"/>
          <w:vertAlign w:val="baseline"/>
        </w:rPr>
        <w:t xml:space="preserve">Southern Investment Bank Bhd / Southern Bank &amp; Anor v Yap Fat &amp; Anor  </w:t>
      </w:r>
      <w:r>
        <w:rPr>
          <w:rFonts w:ascii="arial" w:eastAsia="arial" w:hAnsi="arial" w:cs="arial"/>
          <w:b w:val="0"/>
          <w:i w:val="0"/>
          <w:strike w:val="0"/>
          <w:noProof w:val="0"/>
          <w:color w:val="000000"/>
          <w:position w:val="0"/>
          <w:sz w:val="24"/>
          <w:u w:val="none"/>
          <w:vertAlign w:val="baseline"/>
        </w:rPr>
        <w:t>[2017] 3 ILR 433;</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Court of Appeal in the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[2023] 4 ILR 1 laid down the law and principles of constructive dismissal;</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High Court in the case of </w:t>
      </w:r>
      <w:r>
        <w:rPr>
          <w:rFonts w:ascii="arial" w:eastAsia="arial" w:hAnsi="arial" w:cs="arial"/>
          <w:b w:val="0"/>
          <w:i/>
          <w:strike w:val="0"/>
          <w:noProof w:val="0"/>
          <w:color w:val="000000"/>
          <w:position w:val="0"/>
          <w:sz w:val="24"/>
          <w:u w:val="none"/>
          <w:vertAlign w:val="baseline"/>
        </w:rPr>
        <w:t xml:space="preserve">Bayer (M) Sdn Bhd v. Anwar Abd Rahim  </w:t>
      </w:r>
      <w:r>
        <w:rPr>
          <w:rFonts w:ascii="arial" w:eastAsia="arial" w:hAnsi="arial" w:cs="arial"/>
          <w:b w:val="0"/>
          <w:i w:val="0"/>
          <w:strike w:val="0"/>
          <w:noProof w:val="0"/>
          <w:color w:val="000000"/>
          <w:position w:val="0"/>
          <w:sz w:val="24"/>
          <w:u w:val="none"/>
          <w:vertAlign w:val="baseline"/>
        </w:rPr>
        <w:t>[1996] 2 CLJ 49, as upheld by the Court of Appeal, held that the test in a constructive dismissal case is the “contract test” and not the “reasonableness test”;</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recent Federal Court case of </w:t>
      </w:r>
      <w:r>
        <w:rPr>
          <w:rFonts w:ascii="arial" w:eastAsia="arial" w:hAnsi="arial" w:cs="arial"/>
          <w:b w:val="0"/>
          <w:i/>
          <w:strike w:val="0"/>
          <w:noProof w:val="0"/>
          <w:color w:val="000000"/>
          <w:position w:val="0"/>
          <w:sz w:val="24"/>
          <w:u w:val="none"/>
          <w:vertAlign w:val="baseline"/>
        </w:rPr>
        <w:t>Tan Lay Peng v RHB Bank Berhad &amp; Mahkamah Perusahaan, Malaysia</w:t>
      </w:r>
      <w:r>
        <w:rPr>
          <w:rFonts w:ascii="arial" w:eastAsia="arial" w:hAnsi="arial" w:cs="arial"/>
          <w:b w:val="0"/>
          <w:i w:val="0"/>
          <w:strike w:val="0"/>
          <w:noProof w:val="0"/>
          <w:color w:val="000000"/>
          <w:position w:val="0"/>
          <w:sz w:val="24"/>
          <w:u w:val="none"/>
          <w:vertAlign w:val="baseline"/>
        </w:rPr>
        <w:t xml:space="preserve"> (Civil Appeal No.: 01(f)–10–04/2023(P)) a question of law was posed namely “</w:t>
      </w:r>
      <w:r>
        <w:rPr>
          <w:rFonts w:ascii="arial" w:eastAsia="arial" w:hAnsi="arial" w:cs="arial"/>
          <w:b w:val="0"/>
          <w:i/>
          <w:strike w:val="0"/>
          <w:noProof w:val="0"/>
          <w:color w:val="000000"/>
          <w:position w:val="0"/>
          <w:sz w:val="24"/>
          <w:u w:val="none"/>
          <w:vertAlign w:val="baseline"/>
        </w:rPr>
        <w:t>is there a difference in the contract test or reasonable test in light of major developments in industrial jurisprudence?</w:t>
      </w:r>
      <w:r>
        <w:rPr>
          <w:rFonts w:ascii="arial" w:eastAsia="arial" w:hAnsi="arial" w:cs="arial"/>
          <w:b w:val="0"/>
          <w:i w:val="0"/>
          <w:strike w:val="0"/>
          <w:noProof w:val="0"/>
          <w:color w:val="000000"/>
          <w:position w:val="0"/>
          <w:sz w:val="24"/>
          <w:u w:val="none"/>
          <w:vertAlign w:val="baseline"/>
        </w:rPr>
        <w:t xml:space="preserve">”. In delivering the judgment of the Federal Court, Nordin Hassan FCJ answered as follows –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There is a difference between the contract test and the reasonableness test. The appropriate test for determining a constructive dismissal case is the contract test. The reasonableness of the employer’s conduct is a factor that may be taken into consideration in determining whether there is any fundamental breach of the contract of employment or an intention no longer to be bound by the contract.</w:t>
      </w:r>
      <w:r>
        <w:rPr>
          <w:rFonts w:ascii="arial" w:eastAsia="arial" w:hAnsi="arial" w:cs="arial"/>
          <w:b w:val="0"/>
          <w:i w:val="0"/>
          <w:strike w:val="0"/>
          <w:noProof w:val="0"/>
          <w:color w:val="000000"/>
          <w:position w:val="0"/>
          <w:sz w:val="18"/>
          <w:u w:val="none"/>
          <w:vertAlign w:val="baseline"/>
        </w:rPr>
        <w:t>”;</w:t>
      </w:r>
      <w:r>
        <w:t>
</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based on the abovementioned case, the Claimant submits that in determining the present matter, this Court can take into consideration the reasonableness of the Company’s conduct in relation to the Claimant (although the “reasonableness” is not the applicable test per se) in determining whether there is any fundamental breach of the Claimant’s contract of employment by the Company or whether the Company had evinced an intention to no longer be bound by the Claimant’s employment contract;</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series of events as narrated in the Claimant’s email dated 24th March 2021, taken individually and/or cumulatively, fundamentally breached the Claimant’s contract of employment, particularly the implied term of mutual trust and confidence;</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trite law that a constructive dismissal claim can be premised not only on breaches of the fundamental term that is expressly provided for in the contract of employment but also on the breach of mutual trust and confidence which is an implied obligation in employer-employee contracts as per the decision of the Court of Appeal in the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[2023] 4 ILR 1;</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transfer was unreasonable and detrimental to the Claimant. In relation thereto, reference is made to the Court of Appeal case of </w:t>
      </w:r>
      <w:r>
        <w:rPr>
          <w:rFonts w:ascii="arial" w:eastAsia="arial" w:hAnsi="arial" w:cs="arial"/>
          <w:b w:val="0"/>
          <w:i/>
          <w:strike w:val="0"/>
          <w:noProof w:val="0"/>
          <w:color w:val="000000"/>
          <w:position w:val="0"/>
          <w:sz w:val="24"/>
          <w:u w:val="none"/>
          <w:vertAlign w:val="baseline"/>
        </w:rPr>
        <w:t xml:space="preserve">Ladang Holyrood v Ayasamy Manikam &amp; Ors  </w:t>
      </w:r>
      <w:r>
        <w:rPr>
          <w:rFonts w:ascii="arial" w:eastAsia="arial" w:hAnsi="arial" w:cs="arial"/>
          <w:b w:val="0"/>
          <w:i w:val="0"/>
          <w:strike w:val="0"/>
          <w:noProof w:val="0"/>
          <w:color w:val="000000"/>
          <w:position w:val="0"/>
          <w:sz w:val="24"/>
          <w:u w:val="none"/>
          <w:vertAlign w:val="baseline"/>
        </w:rPr>
        <w:t xml:space="preserve">[2004] 2 CLJ 697 wherein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We now turn to the next issue, that is, whether the appellant has any right under the contract of service to transfer the respondents to the main Division.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Soon Seng Cement Products Sdn. Bhd &amp; Anor. v. Non- Metallic Mineral Products Manufacturing Employees’s Union  </w:t>
      </w:r>
      <w:r>
        <w:rPr>
          <w:rFonts w:ascii="arial" w:eastAsia="arial" w:hAnsi="arial" w:cs="arial"/>
          <w:b w:val="0"/>
          <w:i w:val="0"/>
          <w:strike w:val="0"/>
          <w:noProof w:val="0"/>
          <w:color w:val="000000"/>
          <w:position w:val="0"/>
          <w:sz w:val="18"/>
          <w:u w:val="none"/>
          <w:vertAlign w:val="baseline"/>
        </w:rPr>
        <w:t>[1996] 1 ILR 414</w:t>
      </w:r>
      <w:r>
        <w:rPr>
          <w:rFonts w:ascii="arial" w:eastAsia="arial" w:hAnsi="arial" w:cs="arial"/>
          <w:b w:val="0"/>
          <w:i/>
          <w:strike w:val="0"/>
          <w:noProof w:val="0"/>
          <w:color w:val="000000"/>
          <w:position w:val="0"/>
          <w:sz w:val="18"/>
          <w:u w:val="none"/>
          <w:vertAlign w:val="baseline"/>
        </w:rPr>
        <w:t xml:space="preserve"> award no. 107 of 1997 the same issue came to be considered by the Industrial Court. There the court made the following observation which we think is highly pertinent to the issue before us:</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It is well established in Industrial Law that the right to transfer an employee from one department to another or from one post of an establishment to another or from one branch to another or from one company to another within the organisation is the prerogative of the management and the Industrial Court will ordinarily not interfere. But if the transfer is actuated with improper motive, it will attract the jurisdiction of the Court. The power to transfer is, therefore, subject to, according to Ghaiye’s Misconduct in Employment (at pages 254 and 255), the following well recognised restrictions:</w:t>
      </w:r>
    </w:p>
    <w:p>
      <w:pPr>
        <w:keepNext w:val="0"/>
        <w:numPr>
          <w:numId w:val="14"/>
        </w:numPr>
        <w:spacing w:before="120" w:after="0" w:line="240" w:lineRule="atLeast"/>
        <w:ind w:left="1920" w:right="0"/>
        <w:jc w:val="both"/>
      </w:pPr>
      <w:r>
        <w:rPr>
          <w:rFonts w:ascii="arial" w:eastAsia="arial" w:hAnsi="arial" w:cs="arial"/>
          <w:b w:val="0"/>
          <w:i/>
          <w:strike w:val="0"/>
          <w:noProof w:val="0"/>
          <w:color w:val="000000"/>
          <w:position w:val="0"/>
          <w:sz w:val="18"/>
          <w:u w:val="none"/>
          <w:vertAlign w:val="baseline"/>
        </w:rPr>
        <w:t>there is nothing to the contrary in the terms of employment;</w:t>
      </w:r>
    </w:p>
    <w:p>
      <w:pPr>
        <w:keepNext w:val="0"/>
        <w:numPr>
          <w:numId w:val="14"/>
        </w:numPr>
        <w:spacing w:before="120" w:after="0" w:line="240" w:lineRule="atLeast"/>
        <w:ind w:left="1920" w:right="0"/>
        <w:jc w:val="both"/>
      </w:pPr>
      <w:r>
        <w:rPr>
          <w:rFonts w:ascii="arial" w:eastAsia="arial" w:hAnsi="arial" w:cs="arial"/>
          <w:b w:val="0"/>
          <w:i/>
          <w:strike w:val="0"/>
          <w:noProof w:val="0"/>
          <w:color w:val="000000"/>
          <w:position w:val="0"/>
          <w:sz w:val="18"/>
          <w:u w:val="none"/>
          <w:vertAlign w:val="baseline"/>
        </w:rPr>
        <w:t>the management has acted bona fide and in the interests of its business;</w:t>
      </w:r>
    </w:p>
    <w:p>
      <w:pPr>
        <w:keepNext w:val="0"/>
        <w:numPr>
          <w:numId w:val="14"/>
        </w:numPr>
        <w:spacing w:before="120" w:after="0" w:line="240" w:lineRule="atLeast"/>
        <w:ind w:left="1920" w:right="0"/>
        <w:jc w:val="both"/>
      </w:pPr>
      <w:r>
        <w:rPr>
          <w:rFonts w:ascii="arial" w:eastAsia="arial" w:hAnsi="arial" w:cs="arial"/>
          <w:b w:val="0"/>
          <w:i/>
          <w:strike w:val="0"/>
          <w:noProof w:val="0"/>
          <w:color w:val="000000"/>
          <w:position w:val="0"/>
          <w:sz w:val="18"/>
          <w:u w:val="none"/>
          <w:vertAlign w:val="baseline"/>
        </w:rPr>
        <w:t>the management is not actuated by any indirect motive or any kind of mala fide;</w:t>
      </w:r>
    </w:p>
    <w:p>
      <w:pPr>
        <w:keepNext w:val="0"/>
        <w:numPr>
          <w:numId w:val="14"/>
        </w:numPr>
        <w:spacing w:before="120" w:after="0" w:line="240" w:lineRule="atLeast"/>
        <w:ind w:left="1920" w:right="0"/>
        <w:jc w:val="both"/>
      </w:pPr>
      <w:r>
        <w:rPr>
          <w:rFonts w:ascii="arial" w:eastAsia="arial" w:hAnsi="arial" w:cs="arial"/>
          <w:b w:val="0"/>
          <w:i/>
          <w:strike w:val="0"/>
          <w:noProof w:val="0"/>
          <w:color w:val="000000"/>
          <w:position w:val="0"/>
          <w:sz w:val="18"/>
          <w:u w:val="none"/>
          <w:vertAlign w:val="baseline"/>
        </w:rPr>
        <w:t>the transfer is not made for the purpose of harassing and victimising the workmen; and</w:t>
      </w:r>
    </w:p>
    <w:p>
      <w:pPr>
        <w:keepNext w:val="0"/>
        <w:numPr>
          <w:numId w:val="14"/>
        </w:numPr>
        <w:spacing w:before="120" w:after="0" w:line="240" w:lineRule="atLeast"/>
        <w:ind w:left="1920" w:right="0"/>
        <w:jc w:val="both"/>
      </w:pPr>
      <w:r>
        <w:rPr>
          <w:rFonts w:ascii="arial" w:eastAsia="arial" w:hAnsi="arial" w:cs="arial"/>
          <w:b w:val="0"/>
          <w:i/>
          <w:strike w:val="0"/>
          <w:noProof w:val="0"/>
          <w:color w:val="000000"/>
          <w:position w:val="0"/>
          <w:sz w:val="18"/>
          <w:u w:val="none"/>
          <w:vertAlign w:val="baseline"/>
        </w:rPr>
        <w:t>the transfer does not involve a change in the conditions of service.</w:t>
      </w:r>
    </w:p>
    <w:p/>
    <w:p/>
    <w:p>
      <w:pPr>
        <w:keepNext w:val="0"/>
        <w:spacing w:before="120" w:after="0" w:line="240" w:lineRule="atLeast"/>
        <w:ind w:left="1120" w:right="0" w:firstLine="0"/>
        <w:jc w:val="both"/>
      </w:pPr>
      <w:r>
        <w:rPr>
          <w:rFonts w:ascii="arial" w:eastAsia="arial" w:hAnsi="arial" w:cs="arial"/>
          <w:b w:val="0"/>
          <w:i/>
          <w:strike w:val="0"/>
          <w:noProof w:val="0"/>
          <w:color w:val="000000"/>
          <w:position w:val="0"/>
          <w:sz w:val="18"/>
          <w:u w:val="none"/>
          <w:vertAlign w:val="baseline"/>
        </w:rPr>
        <w:t xml:space="preserve">And this right of transfer is also embodied in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1967, where it states that the company has the right to transfer its employees within the organisation so long as such transfer “does not entail a change to the detriment of an employee in regard to the terms of employment.” –</w:t>
      </w:r>
      <w:r>
        <w:rPr>
          <w:rFonts w:ascii="arial" w:eastAsia="arial" w:hAnsi="arial" w:cs="arial"/>
          <w:b w:val="0"/>
          <w:i w:val="0"/>
          <w:strike w:val="0"/>
          <w:noProof w:val="0"/>
          <w:color w:val="000000"/>
          <w:position w:val="0"/>
          <w:sz w:val="18"/>
          <w:u w:val="none"/>
          <w:vertAlign w:val="baseline"/>
        </w:rPr>
        <w:t xml:space="preserve"> Section 13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w:t>
      </w:r>
      <w:r>
        <w:t>
</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addition, the Court of Appeal in the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 xml:space="preserve">[2023] 4 ILR 1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…We may also add that, an employer’s right to transfer is recognised as a matter of law and is so sacrosanct that by virtue of</w:t>
      </w:r>
      <w:r>
        <w:rPr>
          <w:rFonts w:ascii="arial" w:eastAsia="arial" w:hAnsi="arial" w:cs="arial"/>
          <w:b w:val="0"/>
          <w:i w:val="0"/>
          <w:strike w:val="0"/>
          <w:noProof w:val="0"/>
          <w:color w:val="000000"/>
          <w:position w:val="0"/>
          <w:sz w:val="18"/>
          <w:u w:val="none"/>
          <w:vertAlign w:val="baseline"/>
        </w:rPr>
        <w:t xml:space="preserve"> s. 13(3)(b)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it cannot even be included as part of any collective agreement between a union and employer. …</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But the rider attached to the management prerogative of transfer is important and needs to be emphasised, ie, “provided that such transfer does not entail a change to the detriment of a workman in regard to his terms of employment”. …</w:t>
      </w:r>
      <w:r>
        <w:rPr>
          <w:rFonts w:ascii="arial" w:eastAsia="arial" w:hAnsi="arial" w:cs="arial"/>
          <w:b w:val="0"/>
          <w:i w:val="0"/>
          <w:strike w:val="0"/>
          <w:noProof w:val="0"/>
          <w:color w:val="000000"/>
          <w:position w:val="0"/>
          <w:sz w:val="18"/>
          <w:u w:val="none"/>
          <w:vertAlign w:val="baseline"/>
        </w:rPr>
        <w:t>”;</w:t>
      </w:r>
      <w:r>
        <w:t>
</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transfer was unreasonable and detrimental to the Claimant as – </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transferred from a cost-centered position to a profit- centered position. In this regard, COW-2 confirmed during cross- examination, the new position of General Manager of Halal Event Management is a profit-centered position and thus revenue is to be generated for the Company. Furthermore, in its email dated 29th March 2021, the Company did not dispute transferring the Claimant to a revenue-generating position;</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transferred to a position that she has no skillset or experience in, with no notice or consultation. There is nothing in the Claimant’s resume that supports the Company’s contention that the Claimant has the skillset and experience to hold the new position as the Claimant’s experience has always been working in human resources. COW-2 testified that the decision to transfer the Claimant was made by COW-2 based on the Claimant’s resume alone, which does not show any experience in revenue generating. Furthermore, as confirmed by COW-2 the Company’s Memo dated 17th September 2020 has no relation to revenue generation but was in relation to the World Halal Conference 2020 where the Claimant had been appointed as the usherette and secretarial management. In this regard, the two tables purchased by the Claimant at the World Halal Conference 2020, using her own money, had no relation to the job scope of a General Manager of Halal Event Manager and cannot be regarded as revenue generating experience as COW-2 had sent an email dated 7th September 2020 stating that the he would cancel the entire event if there were not enough table purchases. In addition, it would be unfair for the Claimant who had no skillset and experience to be given targets to generate revenue as it would be detrimental to the Claimant as this would affect her work performance and reputation if she failed to reach the targets set;</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there was no discussion between the Claimant and the Company prior to being transferred as the transfer was abruptly made by the Company via email sent at 12:42 a.m. on 8th March 2021 together with the new organization chart which was effective the same day. COW-2 also admitted during cross-examination that he had never discussed with the Claimant prior to transferring her to the new position. In fact, during re- examination, COW-2 testified that he had the authority to move employers around, including the Claimant, according to the business needs of the Company without having to discuss with them first. In relation thereto, reference is made to the Industrial Court case of </w:t>
      </w:r>
      <w:r>
        <w:rPr>
          <w:rFonts w:ascii="arial" w:eastAsia="arial" w:hAnsi="arial" w:cs="arial"/>
          <w:b w:val="0"/>
          <w:i/>
          <w:strike w:val="0"/>
          <w:noProof w:val="0"/>
          <w:color w:val="000000"/>
          <w:position w:val="0"/>
          <w:sz w:val="24"/>
          <w:u w:val="none"/>
          <w:vertAlign w:val="baseline"/>
        </w:rPr>
        <w:t xml:space="preserve">Maraex (M) Sdn Bhd v Abdul Halim B. Abdul Rani &amp; 124 Ors  </w:t>
      </w:r>
      <w:r>
        <w:rPr>
          <w:rFonts w:ascii="arial" w:eastAsia="arial" w:hAnsi="arial" w:cs="arial"/>
          <w:b w:val="0"/>
          <w:i w:val="0"/>
          <w:strike w:val="0"/>
          <w:noProof w:val="0"/>
          <w:color w:val="000000"/>
          <w:position w:val="0"/>
          <w:sz w:val="24"/>
          <w:u w:val="none"/>
          <w:vertAlign w:val="baseline"/>
        </w:rPr>
        <w:t xml:space="preserve">[1992] 2 ILR 187 wherein the Learned Chairman stated that </w:t>
      </w:r>
      <w:r>
        <w:rPr>
          <w:rFonts w:ascii="arial" w:eastAsia="arial" w:hAnsi="arial" w:cs="arial"/>
          <w:b w:val="0"/>
          <w:i/>
          <w:strike w:val="0"/>
          <w:noProof w:val="0"/>
          <w:color w:val="000000"/>
          <w:position w:val="0"/>
          <w:sz w:val="24"/>
          <w:u w:val="none"/>
          <w:vertAlign w:val="baseline"/>
        </w:rPr>
        <w:t>“[u]nlike in a feudal society where a worker is owned and treated as a chattel and his fate is dependent upon the very whims and fancies of the master, in a modern society, there are rules and regulations which govern and safeguard the rights of the worker. They are simple people quite in a world of their own. If only the company knows and appreciates that these workers have served the company, some for a long time and helped the company to grow from strength to strength, and respect the dignity of the workers, they would not have been treated as pawns on a chess board. The company had, by its conduct, just shoved them off</w:t>
      </w:r>
      <w:r>
        <w:rPr>
          <w:rFonts w:ascii="arial" w:eastAsia="arial" w:hAnsi="arial" w:cs="arial"/>
          <w:b w:val="0"/>
          <w:i w:val="0"/>
          <w:strike w:val="0"/>
          <w:noProof w:val="0"/>
          <w:color w:val="000000"/>
          <w:position w:val="0"/>
          <w:sz w:val="24"/>
          <w:u w:val="none"/>
          <w:vertAlign w:val="baseline"/>
        </w:rPr>
        <w:t xml:space="preserve">”. The unreasonable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the Company contributed to the breach of implied term of mutual trust and confidence; and</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was not given a job description for the new position that she was transferred to and was also expected to perform her job in the new position without being briefed or given her job description. Notwithstanding the fact that the Company vide email dated 11th March 2021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[f]or those affected during this organization realignment, your Head of Division / Department shall brief you on your new job description</w:t>
      </w:r>
      <w:r>
        <w:rPr>
          <w:rFonts w:ascii="arial" w:eastAsia="arial" w:hAnsi="arial" w:cs="arial"/>
          <w:b w:val="0"/>
          <w:i w:val="0"/>
          <w:strike w:val="0"/>
          <w:noProof w:val="0"/>
          <w:color w:val="000000"/>
          <w:position w:val="0"/>
          <w:sz w:val="24"/>
          <w:u w:val="none"/>
          <w:vertAlign w:val="baseline"/>
        </w:rPr>
        <w:t xml:space="preserve">”, the Claimant was never briefed relating to the same. In this regard, reference is made to the Industrial Court case of </w:t>
      </w:r>
      <w:r>
        <w:rPr>
          <w:rFonts w:ascii="arial" w:eastAsia="arial" w:hAnsi="arial" w:cs="arial"/>
          <w:b w:val="0"/>
          <w:i/>
          <w:strike w:val="0"/>
          <w:noProof w:val="0"/>
          <w:color w:val="000000"/>
          <w:position w:val="0"/>
          <w:sz w:val="24"/>
          <w:u w:val="none"/>
          <w:vertAlign w:val="baseline"/>
        </w:rPr>
        <w:t xml:space="preserve">Tan Siew Yong v Asian Pottery (Penang) Sdn Bhd  </w:t>
      </w:r>
      <w:r>
        <w:rPr>
          <w:rFonts w:ascii="arial" w:eastAsia="arial" w:hAnsi="arial" w:cs="arial"/>
          <w:b w:val="0"/>
          <w:i w:val="0"/>
          <w:strike w:val="0"/>
          <w:noProof w:val="0"/>
          <w:color w:val="000000"/>
          <w:position w:val="0"/>
          <w:sz w:val="24"/>
          <w:u w:val="none"/>
          <w:vertAlign w:val="baseline"/>
        </w:rPr>
        <w:t>[2023] 4 ILR 543. It is further submitted that the Claimant had never performed her new roles as the General Manager of Halal Event Management despite the Company allegedly evidencing otherwise. In relation thereto, the scheduled discussion between the Claimant and COW-1 as per the WhatsApp conversation on 12th March 2021 did not happen as confirmed by the Claimant and COW-1 during the trial. Furthermore, the work schedule for the month of March 2021 as well as the travel approvals prepared by the Claimant do not form an integral part of the role of the General Manager of Halal Event Management as these were mere administrative and procedural works prepared to ensure that there would be no interruption in the daily business of the Company;</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there was no undue delay in the Claimant walking out from her employment as evinced in the Claimant’s evidence-in-chief as follows – </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read the email dated 8th March 2021 sent by COW-2 informing her about the transfer on 11th March 2021 as she was on annual leave from 8th March 2021 until 10th March 2021;</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went to the office on 12th March 2021 as she was working from home on 11th March 2021;</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12th March 2021 she spoke to her then superior and COW-2 expressing her disagreement on the transfer and she verbally protested the said transfer to her then superior. The Claimant’s evidence relating to this was not challenged by the Company through its witness COW-2;</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did not accept the letter of transfer nor did she collect the same even though she was instructed to do so. This was evident by the fact that she did not acknowledge receipt of the letter of transfer which was confirmed by COW-2 during cross-examination;</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sent an email dated 24th March 2021 to COW-2 stating her disagreement to the transfer. Subsequent thereto, COW-2 replied vide email dated 29th March 2021; and</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following thereto, she sent an email and a letter by hand, both dated 30th March 2021 where she considered herself to be constructively dismissed;</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dismissal was without just cause or excuse as apart from pleading that the Claimant was never dismissed by the Company, the Company did not plead any grounds for justifying the Claimant’s dismissal; and</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employment with the Company was permanent in nature and not temporary, seasonal, project based or on an ad-hoc basis. In relation thereto – </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reference is made to the Industrial Court case of </w:t>
      </w:r>
      <w:r>
        <w:rPr>
          <w:rFonts w:ascii="arial" w:eastAsia="arial" w:hAnsi="arial" w:cs="arial"/>
          <w:b w:val="0"/>
          <w:i/>
          <w:strike w:val="0"/>
          <w:noProof w:val="0"/>
          <w:color w:val="000000"/>
          <w:position w:val="0"/>
          <w:sz w:val="24"/>
          <w:u w:val="none"/>
          <w:vertAlign w:val="baseline"/>
        </w:rPr>
        <w:t xml:space="preserve">Han Chiang High School Penang Han Chiang Associated Chinese Schools Association v National Union of Teachers in Independent Schools, W. M’sia  </w:t>
      </w:r>
      <w:r>
        <w:rPr>
          <w:rFonts w:ascii="arial" w:eastAsia="arial" w:hAnsi="arial" w:cs="arial"/>
          <w:b w:val="0"/>
          <w:i w:val="0"/>
          <w:strike w:val="0"/>
          <w:noProof w:val="0"/>
          <w:color w:val="000000"/>
          <w:position w:val="0"/>
          <w:sz w:val="24"/>
          <w:u w:val="none"/>
          <w:vertAlign w:val="baseline"/>
        </w:rPr>
        <w:t>[1988] 2 ILR 611 wherein the Industrial Court distinguished a genuine fixed term contract with ordinary contracts of employment as follows “</w:t>
      </w:r>
      <w:r>
        <w:rPr>
          <w:rFonts w:ascii="arial" w:eastAsia="arial" w:hAnsi="arial" w:cs="arial"/>
          <w:b w:val="0"/>
          <w:i/>
          <w:strike w:val="0"/>
          <w:noProof w:val="0"/>
          <w:color w:val="000000"/>
          <w:position w:val="0"/>
          <w:sz w:val="24"/>
          <w:u w:val="none"/>
          <w:vertAlign w:val="baseline"/>
        </w:rPr>
        <w:t>…there are genuine fixed term contracts, where both parties recognise there is no understanding that the contract will be renewed on expiry. The Court realises that such genuine fixed-term contracts for temporary, one-off jobs are an important part of the range of employment relationships. Some such jobs are found in seasonal work, work to fill gaps caused by temporary absence of permanent staff, training, and the performance of specific tasks such as research projects funded from outside the employer’s undertaking</w:t>
      </w:r>
      <w:r>
        <w:rPr>
          <w:rFonts w:ascii="arial" w:eastAsia="arial" w:hAnsi="arial" w:cs="arial"/>
          <w:b w:val="0"/>
          <w:i w:val="0"/>
          <w:strike w:val="0"/>
          <w:noProof w:val="0"/>
          <w:color w:val="000000"/>
          <w:position w:val="0"/>
          <w:sz w:val="24"/>
          <w:u w:val="none"/>
          <w:vertAlign w:val="baseline"/>
        </w:rPr>
        <w:t>”;</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for purposes of distinguishing between a genuine fixed-term contract with ordinary contracts of employment, reference is also made to the Industrial Court case of </w:t>
      </w:r>
      <w:r>
        <w:rPr>
          <w:rFonts w:ascii="arial" w:eastAsia="arial" w:hAnsi="arial" w:cs="arial"/>
          <w:b w:val="0"/>
          <w:i/>
          <w:strike w:val="0"/>
          <w:noProof w:val="0"/>
          <w:color w:val="000000"/>
          <w:position w:val="0"/>
          <w:sz w:val="24"/>
          <w:u w:val="none"/>
          <w:vertAlign w:val="baseline"/>
        </w:rPr>
        <w:t xml:space="preserve">Malaysia Airlines Bhd v Michael Ng Liang Kok  </w:t>
      </w:r>
      <w:r>
        <w:rPr>
          <w:rFonts w:ascii="arial" w:eastAsia="arial" w:hAnsi="arial" w:cs="arial"/>
          <w:b w:val="0"/>
          <w:i w:val="0"/>
          <w:strike w:val="0"/>
          <w:noProof w:val="0"/>
          <w:color w:val="000000"/>
          <w:position w:val="0"/>
          <w:sz w:val="24"/>
          <w:u w:val="none"/>
          <w:vertAlign w:val="baseline"/>
        </w:rPr>
        <w:t xml:space="preserve">[2000] 3 ILR 179 and the Federal Court case of </w:t>
      </w:r>
      <w:r>
        <w:rPr>
          <w:rFonts w:ascii="arial" w:eastAsia="arial" w:hAnsi="arial" w:cs="arial"/>
          <w:b w:val="0"/>
          <w:i/>
          <w:strike w:val="0"/>
          <w:noProof w:val="0"/>
          <w:color w:val="000000"/>
          <w:position w:val="0"/>
          <w:sz w:val="24"/>
          <w:u w:val="none"/>
          <w:vertAlign w:val="baseline"/>
        </w:rPr>
        <w:t xml:space="preserve">Ahmad Zahri Mirza Abdul Hamid v AIMS Cyberjaya Sdn Bhd  </w:t>
      </w:r>
      <w:r>
        <w:rPr>
          <w:rFonts w:ascii="arial" w:eastAsia="arial" w:hAnsi="arial" w:cs="arial"/>
          <w:b w:val="0"/>
          <w:i w:val="0"/>
          <w:strike w:val="0"/>
          <w:noProof w:val="0"/>
          <w:color w:val="000000"/>
          <w:position w:val="0"/>
          <w:sz w:val="24"/>
          <w:u w:val="none"/>
          <w:vertAlign w:val="baseline"/>
        </w:rPr>
        <w:t>[2020] 3 ILR 233 wherein the Federal Court in the latter case answered in the affirmative as to whether “</w:t>
      </w:r>
      <w:r>
        <w:rPr>
          <w:rFonts w:ascii="arial" w:eastAsia="arial" w:hAnsi="arial" w:cs="arial"/>
          <w:b w:val="0"/>
          <w:i/>
          <w:strike w:val="0"/>
          <w:noProof w:val="0"/>
          <w:color w:val="000000"/>
          <w:position w:val="0"/>
          <w:sz w:val="24"/>
          <w:u w:val="none"/>
          <w:vertAlign w:val="baseline"/>
        </w:rPr>
        <w:t>a contract of employment which is renewed successively without application by the employee and without any intermittent breaks in between, is in reality permanent employment?</w:t>
      </w:r>
      <w:r>
        <w:rPr>
          <w:rFonts w:ascii="arial" w:eastAsia="arial" w:hAnsi="arial" w:cs="arial"/>
          <w:b w:val="0"/>
          <w:i w:val="0"/>
          <w:strike w:val="0"/>
          <w:noProof w:val="0"/>
          <w:color w:val="000000"/>
          <w:position w:val="0"/>
          <w:sz w:val="24"/>
          <w:u w:val="none"/>
          <w:vertAlign w:val="baseline"/>
        </w:rPr>
        <w:t>”;</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contract of employment was in actual fact a permanent employment as the contracts were renewed by the Company without her request and the Claimant’s five (5) years of service with the Company was without any intermittent breaks in between. Furthermore, the fact that the Claimant was transferred from Human Capital to Halal Event Management is an admission that the Company did not treat the Claimant as a fixed term contract employee who is engaged to do a specific job;</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case of </w:t>
      </w:r>
      <w:r>
        <w:rPr>
          <w:rFonts w:ascii="arial" w:eastAsia="arial" w:hAnsi="arial" w:cs="arial"/>
          <w:b w:val="0"/>
          <w:i/>
          <w:strike w:val="0"/>
          <w:noProof w:val="0"/>
          <w:color w:val="000000"/>
          <w:position w:val="0"/>
          <w:sz w:val="24"/>
          <w:u w:val="none"/>
          <w:vertAlign w:val="baseline"/>
        </w:rPr>
        <w:t xml:space="preserve">Asian Supply Base Sdn Bhd v Terry Mogindol  </w:t>
      </w:r>
      <w:r>
        <w:rPr>
          <w:rFonts w:ascii="arial" w:eastAsia="arial" w:hAnsi="arial" w:cs="arial"/>
          <w:b w:val="0"/>
          <w:i w:val="0"/>
          <w:strike w:val="0"/>
          <w:noProof w:val="0"/>
          <w:color w:val="000000"/>
          <w:position w:val="0"/>
          <w:sz w:val="24"/>
          <w:u w:val="none"/>
          <w:vertAlign w:val="baseline"/>
        </w:rPr>
        <w:t>[2005] 1 ILR 708 should be distinguished with the present case as in the said case the claimant had expressly applied to the company to have his contract of employment extended; and</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case of </w:t>
      </w:r>
      <w:r>
        <w:rPr>
          <w:rFonts w:ascii="arial" w:eastAsia="arial" w:hAnsi="arial" w:cs="arial"/>
          <w:b w:val="0"/>
          <w:i/>
          <w:strike w:val="0"/>
          <w:noProof w:val="0"/>
          <w:color w:val="000000"/>
          <w:position w:val="0"/>
          <w:sz w:val="24"/>
          <w:u w:val="none"/>
          <w:vertAlign w:val="baseline"/>
        </w:rPr>
        <w:t xml:space="preserve">Al Fazirul David Abdullah v Naza Communications Sdn Bhd  </w:t>
      </w:r>
      <w:r>
        <w:rPr>
          <w:rFonts w:ascii="arial" w:eastAsia="arial" w:hAnsi="arial" w:cs="arial"/>
          <w:b w:val="0"/>
          <w:i w:val="0"/>
          <w:strike w:val="0"/>
          <w:noProof w:val="0"/>
          <w:color w:val="000000"/>
          <w:position w:val="0"/>
          <w:sz w:val="24"/>
          <w:u w:val="none"/>
          <w:vertAlign w:val="baseline"/>
        </w:rPr>
        <w:t>[2021] ILRU 1366 quoted by the Company has no relevance to the present case as in the said case it involves one (1) fixed term contract which was terminated prematurely by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Claimant also submits as follows:</w:t>
      </w:r>
      <w:r>
        <w:t>
</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business plan at pages 4 to 40 of COB3 is just a mere presentation done by COW-2 to the Board of Directors which does not state anything regarding the Claimant’s transfer to Halal Event Management or the creation of a new department i.e. Halal Event Management. As this was confirmed by COW-2 during cross-examination, it clearly shows that COW-2 had acted outside of the Board’s approval relating to the same;</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COW-2 testimony during the hearing which raised new reasons as regards the need for the Halal Event Management department to be turned into a profit centered department were not pleaded and thus should not be relied on by this Court as per the principle laid down by the Court of Appeal in the case of </w:t>
      </w:r>
      <w:r>
        <w:rPr>
          <w:rFonts w:ascii="arial" w:eastAsia="arial" w:hAnsi="arial" w:cs="arial"/>
          <w:b w:val="0"/>
          <w:i/>
          <w:strike w:val="0"/>
          <w:noProof w:val="0"/>
          <w:color w:val="000000"/>
          <w:position w:val="0"/>
          <w:sz w:val="24"/>
          <w:u w:val="none"/>
          <w:vertAlign w:val="baseline"/>
        </w:rPr>
        <w:t xml:space="preserve">Chong Fui Thung v Sena Diecasting Industries Sdn Bhd  </w:t>
      </w:r>
      <w:r>
        <w:rPr>
          <w:rFonts w:ascii="arial" w:eastAsia="arial" w:hAnsi="arial" w:cs="arial"/>
          <w:b w:val="0"/>
          <w:i w:val="0"/>
          <w:strike w:val="0"/>
          <w:noProof w:val="0"/>
          <w:color w:val="000000"/>
          <w:position w:val="0"/>
          <w:sz w:val="24"/>
          <w:u w:val="none"/>
          <w:vertAlign w:val="baseline"/>
        </w:rPr>
        <w:t>[2024] 2 ILR 1;</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submission that the main function of Halal Event Management is not to generate revenue, contradicts the Company’s evidence as follows: </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email dated 29th March 2021 states,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[a]mongst the company’s vision is to achieve financial sustainability, hence the need to establish the revenue generating unit (RGU) is vital to generate own income and reduce the company’s dependency on Government fund…</w:t>
      </w:r>
      <w:r>
        <w:rPr>
          <w:rFonts w:ascii="arial" w:eastAsia="arial" w:hAnsi="arial" w:cs="arial"/>
          <w:b w:val="0"/>
          <w:i w:val="0"/>
          <w:strike w:val="0"/>
          <w:noProof w:val="0"/>
          <w:color w:val="000000"/>
          <w:position w:val="0"/>
          <w:sz w:val="24"/>
          <w:u w:val="none"/>
          <w:vertAlign w:val="baseline"/>
        </w:rPr>
        <w:t>”;</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gave evidence as quoted in the Company’s submissions wherein he admitted that “</w:t>
      </w:r>
      <w:r>
        <w:rPr>
          <w:rFonts w:ascii="arial" w:eastAsia="arial" w:hAnsi="arial" w:cs="arial"/>
          <w:b w:val="0"/>
          <w:i/>
          <w:strike w:val="0"/>
          <w:noProof w:val="0"/>
          <w:color w:val="000000"/>
          <w:position w:val="0"/>
          <w:sz w:val="24"/>
          <w:u w:val="none"/>
          <w:vertAlign w:val="baseline"/>
        </w:rPr>
        <w:t>[s]o, in order for the organization to move into a profit, into a sustainable, financially sustainable state, so the cost centre and profit centre needs to be balanced up. So, if possible, the profit centre will have to, have more activities or more people compared to the cost centre</w:t>
      </w:r>
      <w:r>
        <w:rPr>
          <w:rFonts w:ascii="arial" w:eastAsia="arial" w:hAnsi="arial" w:cs="arial"/>
          <w:b w:val="0"/>
          <w:i w:val="0"/>
          <w:strike w:val="0"/>
          <w:noProof w:val="0"/>
          <w:color w:val="000000"/>
          <w:position w:val="0"/>
          <w:sz w:val="24"/>
          <w:u w:val="none"/>
          <w:vertAlign w:val="baseline"/>
        </w:rPr>
        <w:t>”;</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COW-2’s evidence during cross-examination wherein he admitted multiple times that Halal Event Management is a revenue generating unit and COW-1’s evidence during cross-examination that the Claimant will eventually be given targets to generate revenue; and</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confirmed by COW-2 during cross-examination, the new organization chart at page 194 of COB1 clearly shows Halal Event Management being under Commercial Division and a revenue generating unit;</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no compelling evidence tendered by the Company to show that the Claimant is already very well versed with the nuances of Halal Event Management thus rendering the Company’s submissions relating to the same unfounded;</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not the Claimant’s case that the reorganization was </w:t>
      </w:r>
      <w:r>
        <w:rPr>
          <w:rFonts w:ascii="arial" w:eastAsia="arial" w:hAnsi="arial" w:cs="arial"/>
          <w:b w:val="0"/>
          <w:i/>
          <w:strike w:val="0"/>
          <w:noProof w:val="0"/>
          <w:color w:val="000000"/>
          <w:position w:val="0"/>
          <w:sz w:val="24"/>
          <w:u w:val="none"/>
          <w:vertAlign w:val="baseline"/>
        </w:rPr>
        <w:t>aqaqqz</w:t>
      </w:r>
      <w:r>
        <w:rPr>
          <w:rFonts w:ascii="arial" w:eastAsia="arial" w:hAnsi="arial" w:cs="arial"/>
          <w:b w:val="0"/>
          <w:i w:val="0"/>
          <w:strike w:val="0"/>
          <w:noProof w:val="0"/>
          <w:color w:val="000000"/>
          <w:position w:val="0"/>
          <w:sz w:val="24"/>
          <w:u w:val="none"/>
          <w:vertAlign w:val="baseline"/>
        </w:rPr>
        <w:t xml:space="preserve"> or that the transfer arose from a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 xml:space="preserve"> reorganization as the Claimant is not disputing the Company’s right to transfer the Claimant. Furthermore, the Company has failed to provide evidence showing that the Claimant has people management skills as contended by the Company; and</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the Claimant’s transfer involves her being in a new role in a new department, which the Claimant admitted that she had no experience or skillset to perform and this would affect her livelihood and career if she fails to perform the new role. The Company’s submissions that the Claimant was unwilling to venture beyond her comfort zone are clear admissions that the Claimant’s transfer was just to push her out of her comfort zone. In this regard, reference is made to the High Court case of </w:t>
      </w:r>
      <w:r>
        <w:rPr>
          <w:rFonts w:ascii="arial" w:eastAsia="arial" w:hAnsi="arial" w:cs="arial"/>
          <w:b w:val="0"/>
          <w:i/>
          <w:strike w:val="0"/>
          <w:noProof w:val="0"/>
          <w:color w:val="000000"/>
          <w:position w:val="0"/>
          <w:sz w:val="24"/>
          <w:u w:val="none"/>
          <w:vertAlign w:val="baseline"/>
        </w:rPr>
        <w:t xml:space="preserve">Asian Pottery (Penang) Sdn Bhd v Tan Siew Yong  </w:t>
      </w:r>
      <w:r>
        <w:rPr>
          <w:rFonts w:ascii="arial" w:eastAsia="arial" w:hAnsi="arial" w:cs="arial"/>
          <w:b w:val="0"/>
          <w:i w:val="0"/>
          <w:strike w:val="0"/>
          <w:noProof w:val="0"/>
          <w:color w:val="000000"/>
          <w:position w:val="0"/>
          <w:sz w:val="24"/>
          <w:u w:val="none"/>
          <w:vertAlign w:val="baseline"/>
        </w:rPr>
        <w:t xml:space="preserve">[2024] CLJU 1083 whereby the High Court made the following observation –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Appellant submits that despite being posted to many departments within the Company, the Respondent excelled at the duties assigned to her despite these duties are not related to any of her LCCI qualifications. But in this case, the Respondent has clearly admitted her incompetence and lack of experience to assume the responsibility. This matter should be considered by the Appellant especially since the Respondent will be given a task which will affect the company if she fails…</w:t>
      </w:r>
      <w:r>
        <w:rPr>
          <w:rFonts w:ascii="arial" w:eastAsia="arial" w:hAnsi="arial" w:cs="arial"/>
          <w:b w:val="0"/>
          <w:i w:val="0"/>
          <w:strike w:val="0"/>
          <w:noProof w:val="0"/>
          <w:color w:val="000000"/>
          <w:position w:val="0"/>
          <w:sz w:val="18"/>
          <w:u w:val="none"/>
          <w:vertAlign w:val="baseline"/>
        </w:rPr>
        <w:t>”.</w:t>
      </w:r>
      <w:r>
        <w:t>
</w:t>
      </w:r>
    </w:p>
    <w:p>
      <w:pPr>
        <w:keepNext w:val="0"/>
        <w:spacing w:before="120"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Company’s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Company, in denying the allegation of constructive dismissal by the Claimant, avers as follows:</w:t>
      </w:r>
      <w:r>
        <w:t>
</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at all material time was employed on a fixed term contract and received a basic salary of RM16,207.00 per month as well as hand phone claim up to RM250.00 per month and Touch and Go claim up to RM200.00 per month;</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had sent an email dated 8th March 2021 explaining the need for the reorganization together with the new organization chart dated 7th March 2021 to the Claimant and to all other Head of Departments. Prior to that, all Head of Departments have been informed earlier by COW-2 on the Company’s intention for corporate restructuring;</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employed by the Company vide a contract of employment dated 5th September 2016 as General Manager, Human Capital for a fixed term of one (1) year commencing 5th September 2016 to 4th September 2017. Following thereto, the Claimant and the Company entered into another successive new contract of employments for a fixed term of one (1) year from 6th September 2017 until 5th September 2018, from 7th September 2018 to 6th</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September 2019 and from 6th September 2019 to 5th September 2020 as General Manager, Human Capital. The Claimant further entered into another new contract of employment with the Company dated 6th September 2020 for a fixed term of two (2) years plus one (1) year commencing 6th September 2020 to 5th September 2023 as General Manager, Human Capital;</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was a clear term that the Company may at its discretion transfer the Claimant to another job, location, section, department, division, branch, subsidiary or associate company in existence or to be set up in the future where her services are required;</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also bound by the terms in the Company’s Employee Handbook, which had been emailed to all staff including the Claimant on 26th December 2019 and receipt of which had been duly acknowledged by the Claimant on 27th December 2019, as there was a specific clause that all employees are transferable within the Company on short notice;</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has embarked into transformational journey with the establishment of Revenue Generating Units now known as Commercial Division in order to become a financially sustainable organization with the objective to reduce high dependency on Government fundings;</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organized a HDC Business Plan workshop “</w:t>
      </w:r>
      <w:r>
        <w:rPr>
          <w:rFonts w:ascii="arial" w:eastAsia="arial" w:hAnsi="arial" w:cs="arial"/>
          <w:b w:val="0"/>
          <w:i/>
          <w:strike w:val="0"/>
          <w:noProof w:val="0"/>
          <w:color w:val="000000"/>
          <w:position w:val="0"/>
          <w:sz w:val="24"/>
          <w:u w:val="none"/>
          <w:vertAlign w:val="baseline"/>
        </w:rPr>
        <w:t>A Strategic Direction over the Next Six Years (2020 – 2025)</w:t>
      </w:r>
      <w:r>
        <w:rPr>
          <w:rFonts w:ascii="arial" w:eastAsia="arial" w:hAnsi="arial" w:cs="arial"/>
          <w:b w:val="0"/>
          <w:i w:val="0"/>
          <w:strike w:val="0"/>
          <w:noProof w:val="0"/>
          <w:color w:val="000000"/>
          <w:position w:val="0"/>
          <w:sz w:val="24"/>
          <w:u w:val="none"/>
          <w:vertAlign w:val="baseline"/>
        </w:rPr>
        <w:t>” from 10th February 2020 to 12th February 2020 which was attended by all Head of Departments including the Claimant;</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following thereto, COW-2 vide email dated 8th March 2021 had written to all Head of Departments including the Claimant explaining the reason for the reorganization exercise whereby a total of eleven employees were involved in the organization restructuring;</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pursuant thereto, vide email dated 17th March 2021 the Human Capital Department informed those affected with the transfer to collect the formal letter of transfer dated 15th March 2021. In this regard, the Claimant’s letter of transfer stated that she will be transferred to Halal Event Management and reporting to the Chief Commercial Officer with no change in her position and present terms and conditions of her employment;</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reported to one Adly Mohamed, Chief Commercial Officer and performed her duties in the new position commencing on 12th March 2021;</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24th March 2021 COW-2 received an email from the Claimant whereby she raised her dissatisfaction over her transfer which she alleged was done without prior discussion and requested the Company to reinstate her in her original position as General Manager, Human Capital Department within three (3) working days. The Claimant further alleged she had been placed in a profit- center position instead of a cost-center position which she previously held and that she will now be responsible for revenue generating;</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alleged that the Company had breached the implied duty of mutual trust and confidence when the Company’s Administration Department’s email dated 18th March 2021 pertaining to the staff seating arrangement had placed her in a common seating area with other employees in a shared room, whereas the Assistant General Manager of Halal Parks was placed in a private room with closed door;</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vide email dated 29th March 2021, the CEO explained that the reorganization plan was discussed with the Company’s top management and the Claimant’s transfer to the Revenue Generating Unit is in line with the Company’s vision to achieve financial sustainability and reduce the Company’s high dependency on Government fundings. Furthermore, the Company had placed the Claimant in a shared room with one of the Revenue Generating Unit’s Head of Department and nearest to her team members when previously the Claimant had also</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shared room with three (3) of her subordinates. In addition, the Assistant General Manager, Halal Parks had since the beginning occupied the room and he was nearest to his team members and that there are other head of departments who are sitting inside a normal cubicle as the Company had limited room space;</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after performing her job responsibilities in the new position from 8th March 2021 to 24th March 2021, then wrote to COW-2 raising her dissatisfaction over the transfer whereby COW-2 replied accordingly stating the reasons for the said transfer;</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30th March 2021 i.e. after performing her job responsibilities in the new position from 8th March 2021 to 24th March 2021, COW-2 received an email from the Claimant informing him that she is treating herself as being constructively dismissed by the Company;</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had verbally informed all Head of Departments as regards the plan restructuring exercise and there was no necessity for the Company to discuss or inform the Claimant prior to the Company’s decision to transfer her arising from the restructuring exercise;</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revenue generating role is not new for the Claimant as she had helped the Company previously in performing revenue generating activities and involved as the Main Secretariat during the World Halal Business Conference 2020 and World Halal Excellence Award 2020 whereby she had purchase two (2) tables for the World Halal Excellence Award Dinner 2020 for her guests which she stated as potential clients/ stakeholders for Halal Integrated Platform;</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holds a Bachelor degree in Business Administration and majored in Management. Moreover, the Claimant when applying for the position with the Company promoted herself as someone with multiple strengths and competencies;</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until the date she claimed constructive dismissal, the Claimant did not comply with the seating arrangement and continued to occupy her old room;</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has acted within the acceptable limit and ambit of employer employee relationship and did not commit any breach / breaches for the Claimant to treat herself as being constructively dismissed as the Claimant’s transfer was a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transfer and was done in good faith;</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contention that it was a new job responsibility is not a ground to claim she was constructively dismissed; and</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the former General Manager of Human Capital the Claimant has full knowledge that the senior position in the Company was on a contractual basis and all appointment of the employee was on a contractual basis since December 2019. Following thereto, the Claimant’s last contract of employment was a fixed term contract that will expire on 5th September 2023 due to effluxion of time.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Company’s Written Submissions, Written Submissions in Reply and Further Written Submissions in Reply submits that –</w:t>
      </w:r>
      <w:r>
        <w:t>
</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Court of Appeal in the case of </w:t>
      </w:r>
      <w:r>
        <w:rPr>
          <w:rFonts w:ascii="arial" w:eastAsia="arial" w:hAnsi="arial" w:cs="arial"/>
          <w:b w:val="0"/>
          <w:i/>
          <w:strike w:val="0"/>
          <w:noProof w:val="0"/>
          <w:color w:val="000000"/>
          <w:position w:val="0"/>
          <w:sz w:val="24"/>
          <w:u w:val="none"/>
          <w:vertAlign w:val="baseline"/>
        </w:rPr>
        <w:t xml:space="preserve">Anwar Abdul Rahim v Bayer (M) Sdn Bhd  </w:t>
      </w:r>
      <w:r>
        <w:rPr>
          <w:rFonts w:ascii="arial" w:eastAsia="arial" w:hAnsi="arial" w:cs="arial"/>
          <w:b w:val="0"/>
          <w:i w:val="0"/>
          <w:strike w:val="0"/>
          <w:noProof w:val="0"/>
          <w:color w:val="000000"/>
          <w:position w:val="0"/>
          <w:sz w:val="24"/>
          <w:u w:val="none"/>
          <w:vertAlign w:val="baseline"/>
        </w:rPr>
        <w:t xml:space="preserve">[1998] 2 CLJ 197 and the High Court in the case of </w:t>
      </w:r>
      <w:r>
        <w:rPr>
          <w:rFonts w:ascii="arial" w:eastAsia="arial" w:hAnsi="arial" w:cs="arial"/>
          <w:b w:val="0"/>
          <w:i/>
          <w:strike w:val="0"/>
          <w:noProof w:val="0"/>
          <w:color w:val="000000"/>
          <w:position w:val="0"/>
          <w:sz w:val="24"/>
          <w:u w:val="none"/>
          <w:vertAlign w:val="baseline"/>
        </w:rPr>
        <w:t xml:space="preserve">Govindasamy Munusamy v Industrial Court Malaysia &amp; Anor  </w:t>
      </w:r>
      <w:r>
        <w:rPr>
          <w:rFonts w:ascii="arial" w:eastAsia="arial" w:hAnsi="arial" w:cs="arial"/>
          <w:b w:val="0"/>
          <w:i w:val="0"/>
          <w:strike w:val="0"/>
          <w:noProof w:val="0"/>
          <w:color w:val="000000"/>
          <w:position w:val="0"/>
          <w:sz w:val="24"/>
          <w:u w:val="none"/>
          <w:vertAlign w:val="baseline"/>
        </w:rPr>
        <w:t xml:space="preserve">[2007] 10 CLJ 266 have clearly laid down the prerequisites that must be fulfilled in a claim of constructive dismissal. The High Court case of </w:t>
      </w:r>
      <w:r>
        <w:rPr>
          <w:rFonts w:ascii="arial" w:eastAsia="arial" w:hAnsi="arial" w:cs="arial"/>
          <w:b w:val="0"/>
          <w:i/>
          <w:strike w:val="0"/>
          <w:noProof w:val="0"/>
          <w:color w:val="000000"/>
          <w:position w:val="0"/>
          <w:sz w:val="24"/>
          <w:u w:val="none"/>
          <w:vertAlign w:val="baseline"/>
        </w:rPr>
        <w:t xml:space="preserve">Govindasamy Munusamy v Industrial Court Malaysia &amp; Anor  </w:t>
      </w:r>
      <w:r>
        <w:rPr>
          <w:rFonts w:ascii="arial" w:eastAsia="arial" w:hAnsi="arial" w:cs="arial"/>
          <w:b w:val="0"/>
          <w:i w:val="0"/>
          <w:strike w:val="0"/>
          <w:noProof w:val="0"/>
          <w:color w:val="000000"/>
          <w:position w:val="0"/>
          <w:sz w:val="24"/>
          <w:u w:val="none"/>
          <w:vertAlign w:val="baseline"/>
        </w:rPr>
        <w:t xml:space="preserve">[2007] 10 CLJ 266 was recently affirmed by the Court of Appeal in the case of </w:t>
      </w:r>
      <w:r>
        <w:rPr>
          <w:rFonts w:ascii="arial" w:eastAsia="arial" w:hAnsi="arial" w:cs="arial"/>
          <w:b w:val="0"/>
          <w:i/>
          <w:strike w:val="0"/>
          <w:noProof w:val="0"/>
          <w:color w:val="000000"/>
          <w:position w:val="0"/>
          <w:sz w:val="24"/>
          <w:u w:val="none"/>
          <w:vertAlign w:val="baseline"/>
        </w:rPr>
        <w:t xml:space="preserve">Keretapi Tanah Melayu Bhd V Mohan Vythialingam &amp; Anor and Another Appeal  </w:t>
      </w:r>
      <w:r>
        <w:rPr>
          <w:rFonts w:ascii="arial" w:eastAsia="arial" w:hAnsi="arial" w:cs="arial"/>
          <w:b w:val="0"/>
          <w:i w:val="0"/>
          <w:strike w:val="0"/>
          <w:noProof w:val="0"/>
          <w:color w:val="000000"/>
          <w:position w:val="0"/>
          <w:sz w:val="24"/>
          <w:u w:val="none"/>
          <w:vertAlign w:val="baseline"/>
        </w:rPr>
        <w:t>[2023] 2 ILR 264;</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one of the fundamental prerequisites, the Claimant must leave, protest or put the Company on notice of breach immediately after the breach. The Industrial Court in a very recent decision of </w:t>
      </w:r>
      <w:r>
        <w:rPr>
          <w:rFonts w:ascii="arial" w:eastAsia="arial" w:hAnsi="arial" w:cs="arial"/>
          <w:b w:val="0"/>
          <w:i/>
          <w:strike w:val="0"/>
          <w:noProof w:val="0"/>
          <w:color w:val="000000"/>
          <w:position w:val="0"/>
          <w:sz w:val="24"/>
          <w:u w:val="none"/>
          <w:vertAlign w:val="baseline"/>
        </w:rPr>
        <w:t>Patimah Binti Suyuti v RHB Bank Berhad</w:t>
      </w:r>
      <w:r>
        <w:rPr>
          <w:rFonts w:ascii="arial" w:eastAsia="arial" w:hAnsi="arial" w:cs="arial"/>
          <w:b w:val="0"/>
          <w:i w:val="0"/>
          <w:strike w:val="0"/>
          <w:noProof w:val="0"/>
          <w:color w:val="000000"/>
          <w:position w:val="0"/>
          <w:sz w:val="24"/>
          <w:u w:val="none"/>
          <w:vertAlign w:val="baseline"/>
        </w:rPr>
        <w:t xml:space="preserve"> (AWARD NO: 1939 OF 2023) had this to say – </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“[52] The Claimant reported to work at Jalan Pasar on 03, 04, 05, 09, 10 and 11.06.2020. The objection letter was sent to the Bank on 11.06.2020. The Claimant’s first letter to the Bank with regards to the transfer was on 11.06.2020. Until 11.06.2020, the Claimant was reporting to work in Jalan Pasar and she did not express any objection. On 11.06.2020, the Claimant seems to have felt demoralized, stressed and upset over the transfer to Jalan Pasar. Be that as it may, if the Claimant’s allegations are true, she should have expressed her objection even before reporting to Jalan Pasar not thereafter. The fact the Claimant had reported to work at Jalan Pasar, shows that initially the Claimant has no actual objection against the transfer. The Claimant reported to work on 04.06.2020, the day which she tendered the resignation. She also reported to work on the day she retracted both her application to transfer and the resignation. The Claimant did not express the feeling of unhappiness, dissatisfaction or demoralized during these times. The reason given was to fight for her right.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[53] When the Claimant retracted her resignation letter together with her application for transfer to Bukit Bintang it merely shows that the Claimant was not aggrieved by the transfer in any way. Furthermore, the Claimant had reported to work from 03.06.2020 until 11.03.2020. Taking into account the facts mentioned above, it is apparent that the Claimant had affirmed the breach.</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[54] It was held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WESTERN EXCAVATING (ECC) TLD - v- SHARP </w:t>
      </w:r>
      <w:r>
        <w:rPr>
          <w:rFonts w:ascii="arial" w:eastAsia="arial" w:hAnsi="arial" w:cs="arial"/>
          <w:b w:val="0"/>
          <w:i w:val="0"/>
          <w:strike w:val="0"/>
          <w:noProof w:val="0"/>
          <w:color w:val="000000"/>
          <w:position w:val="0"/>
          <w:sz w:val="18"/>
          <w:u w:val="none"/>
          <w:vertAlign w:val="baseline"/>
        </w:rPr>
        <w:t>(1978) 1 All ER 713</w:t>
      </w:r>
      <w:r>
        <w:rPr>
          <w:rFonts w:ascii="arial" w:eastAsia="arial" w:hAnsi="arial" w:cs="arial"/>
          <w:b w:val="0"/>
          <w:i/>
          <w:strike w:val="0"/>
          <w:noProof w:val="0"/>
          <w:color w:val="000000"/>
          <w:position w:val="0"/>
          <w:sz w:val="18"/>
          <w:u w:val="none"/>
          <w:vertAlign w:val="baseline"/>
        </w:rPr>
        <w:t>, that:-</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“...But the conduct must in either case be sufficiently serious to entitle him to leave at once. Moreover, he must make up his mind soon after the conduct of which he complains, for if he continues for any length of time without leaving, he will lose his right to treat himself as discharged. He will be regarded as having elected to affirm the contract.”</w:t>
      </w:r>
      <w:r>
        <w:rPr>
          <w:rFonts w:ascii="arial" w:eastAsia="arial" w:hAnsi="arial" w:cs="arial"/>
          <w:b w:val="0"/>
          <w:i w:val="0"/>
          <w:strike w:val="0"/>
          <w:noProof w:val="0"/>
          <w:color w:val="000000"/>
          <w:position w:val="0"/>
          <w:sz w:val="18"/>
          <w:u w:val="none"/>
          <w:vertAlign w:val="baseline"/>
        </w:rPr>
        <w:t>;</w:t>
      </w:r>
      <w:r>
        <w:t>
</w:t>
      </w:r>
    </w:p>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on the law of transfer it is absolutely prudent to highlight the oft quoted High Court case of </w:t>
      </w:r>
      <w:r>
        <w:rPr>
          <w:rFonts w:ascii="arial" w:eastAsia="arial" w:hAnsi="arial" w:cs="arial"/>
          <w:b w:val="0"/>
          <w:i/>
          <w:strike w:val="0"/>
          <w:noProof w:val="0"/>
          <w:color w:val="000000"/>
          <w:position w:val="0"/>
          <w:sz w:val="24"/>
          <w:u w:val="none"/>
          <w:vertAlign w:val="baseline"/>
        </w:rPr>
        <w:t xml:space="preserve">Tokio Marine Insurans (Malaysia) Berhad v Tan Kooi Luang &amp; Anor  </w:t>
      </w:r>
      <w:r>
        <w:rPr>
          <w:rFonts w:ascii="arial" w:eastAsia="arial" w:hAnsi="arial" w:cs="arial"/>
          <w:b w:val="0"/>
          <w:i w:val="0"/>
          <w:strike w:val="0"/>
          <w:noProof w:val="0"/>
          <w:color w:val="000000"/>
          <w:position w:val="0"/>
          <w:sz w:val="24"/>
          <w:u w:val="none"/>
          <w:vertAlign w:val="baseline"/>
        </w:rPr>
        <w:t xml:space="preserve">[2014] 1 LNS 1839 i.e. reorganisation that led to the transfer or redesignation of an employee must be a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reorganisation and if the transfer is a product of a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reorganisation then the Industrial Court must be very slow to interfere. The High Court further cautioned as follows: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In the present case, mala fides was not pleaded. Further, not an iota of evidence was adduced at the trial to demonstrate that there was mala fides or that this was not a genuine re-designation. These matters were not even put to COW-1 when he gave evidence in the Industrial Court. The following passage at page 1461 in B.R. Ghaiye on Law and Procedure of Department Enquiries (In Private &amp; Public Sectors), on mala fides is relevant for present purposes:</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“10. Procedure in case of victimization or mala fide (a) The burden of showing mala fides and victimization is on the employee - The onus of proving victimization is on employees on the accepted rule that a person has to prove the affirmative and it is not for the other person to prove the negative. The allegations of mala fide conduct is easy to make but not always easy to prove. When allegations are made on one side and denied by the other the mala fides are not proved. Victimization is a serious charge and must be properly and adequately pleaded giving all particulars upon which the charge is based to enable the employer to fully meet the same. Onus of establishing the charge is upon the person pleading it and he has to establish the same by safe and sure evidence.</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It is now well-established that a finding of mala fide should be reached by Industrial Adjudication only if there is sufficient and proper evidence in support of the finding. Such finding should not be made either in a casual manner or light-heartedly.</w:t>
      </w:r>
      <w:r>
        <w:rPr>
          <w:rFonts w:ascii="arial" w:eastAsia="arial" w:hAnsi="arial" w:cs="arial"/>
          <w:b w:val="0"/>
          <w:i w:val="0"/>
          <w:strike w:val="0"/>
          <w:noProof w:val="0"/>
          <w:color w:val="000000"/>
          <w:position w:val="0"/>
          <w:sz w:val="18"/>
          <w:u w:val="none"/>
          <w:vertAlign w:val="baseline"/>
        </w:rPr>
        <w:t>”;</w:t>
      </w:r>
      <w:r>
        <w:t>
</w:t>
      </w:r>
    </w:p>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not singled out, the reorganisation was a companywide exercise carried out as part of the transformational plan over the next six years from 2020 to 2025 where in simple terms the Company being a Government agency under the Ministry of Investment Trade &amp; Industry (now known as the Ministry of Investment, Trade &amp; Industry) (“MITI”) was solely reliant on funds from Government but was mandated to be more self-sustaining by generating revenue;</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in the Business Plan dated 23rd January 2020 that was presented to the Board never identified Halal Event Management as a revenue generating unit under Commercial division but to remain under Corporate Communication as a Business Support. When the plan was firmed up COW-2 decided to move the entire Event Management from Corporate Communication to Commercial Division to be in line with the transformational plan. In this regard, COW-2 clarified during re-examination that he needed to even out the manpower between the Commercial and Business Support departments and, following thereto, have chosen the Event Management unit as a unit that was best suited to be absorbed into the Commercial side as it was already organising events and had the easiest potential to grow;</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OW-2’s decision to move Event Management from business support side to Commercial side did not alter or change its core functions i.e. to organise and manage events for the Company be it profitable or not. In this regard, the two (2) main events, i.e. World Halal Conference and World Halal Excellence Awards, that have been earmarked to be organised and managed by Halal Event Management will still be implemented even if these events do not generate revenue as the main charter and objective of the Company is to promote Halal Industry both domestically and internationally. As such, COW-2 further confirmed during examination in chief that the Claimant was never saddled with any revenue generating targets or KPI as part of the transfer;</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Halal Event Management can and should generate revenue then they should strive for it but regardless the core function of organising and managing events will remain intact;</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earmarked to lead the Halal Event Management team as she is already very well versed with the nuances of Halal Event Management. The Claimant who holds a leadership position has reduced herself to a lower level by refusing to manage a well experienced team in Halal Event Management. The Claimant only had to utilise her leadership skills acquired by holding a leadership position all these years to manage and guide a well versed and trained team that was from Halal Event Management unit;</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this issue of whether the reorganisation was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or not never arose and it was neither the Claimant’s pleaded case nor was it put to COW-1 and COW-2.</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Thus, it must now be accepted as established that the reorganisation was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and done pursuant to the transformational plan. As per the principle enunciated in the High Court case of </w:t>
      </w:r>
      <w:r>
        <w:rPr>
          <w:rFonts w:ascii="arial" w:eastAsia="arial" w:hAnsi="arial" w:cs="arial"/>
          <w:b w:val="0"/>
          <w:i/>
          <w:strike w:val="0"/>
          <w:noProof w:val="0"/>
          <w:color w:val="000000"/>
          <w:position w:val="0"/>
          <w:sz w:val="24"/>
          <w:u w:val="none"/>
          <w:vertAlign w:val="baseline"/>
        </w:rPr>
        <w:t xml:space="preserve">Tokio Marine Insurans (Malaysia) Berhad v Tan Kooi Luang &amp; Anor  </w:t>
      </w:r>
      <w:r>
        <w:rPr>
          <w:rFonts w:ascii="arial" w:eastAsia="arial" w:hAnsi="arial" w:cs="arial"/>
          <w:b w:val="0"/>
          <w:i w:val="0"/>
          <w:strike w:val="0"/>
          <w:noProof w:val="0"/>
          <w:color w:val="000000"/>
          <w:position w:val="0"/>
          <w:sz w:val="24"/>
          <w:u w:val="none"/>
          <w:vertAlign w:val="baseline"/>
        </w:rPr>
        <w:t xml:space="preserve">[2014] 1 LNS 1839, any transfer or redesignation arising out of a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reorganisation must necessarily be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transfer will only amount to a fundamental breach if the change in duties and role must be so unreasonable and detrimental to the employee that no other employer would do that, for example an engineer is transferred to handle finance and accounts or a medically trained employee in medical role transferred to engineering unit to do engineering work. The transfer must be proven as setting up the employee to certain failure to be considered as a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 xml:space="preserve"> transfer not merely leading to difficult or challenging task and this applies in a strict sense to senior employees in leadership position, the employer has the right to assign challenging task to any employee and more so to senior employees in leadership position and that can never amount to a fundamental or serious breach;</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transferred to the new department, that has a non-revenue related role, to organise and manage key events as its core function. As revenue generation seems like more of a supplementary requirement at least for the first six (6) years during the transformational phase, the transfer to Halal Event Management cannot by any measure be regarded as highly unreasonable or detrimental;</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during examination in chief firmly believed that the Claimant possesses the necessary people management skills to thrive in her new role and furthermore the complete transformational plan is a six-year plan which inevitably gives the Claimant ample time to adopt her new role. There was no expectation that the Claimant must generate revenue immediately but eventually as an addition to the Halal Event Management’s core functions of organising and managing events;</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if the Claimant’s contention that she is trained in Human Capital and not sales and marketing is to be accepted, it would place the Company in an unduly difficult position as any cross functional or divisional transfer done for overall enhancement of senior employees’ skill set or the Company carrying out the transfer in reliance of the employee self-represented/stated skill set when applying for the position would be considered as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was notified on 8th March 2021 of the transfer but only put the Company on notice on 24th March 2021 i.e. some 17 days later. In those 17 days the Claimant carried out her function as the General Manager of Halal Event Management. The Claimant is trying to establish that she did not function as the General Manager of Halal Event Management but contemporaneous evidence suggest otherwise wherein the Claimant carried out some function as the General Manager of Halal Event Management. The Industrial Court in the case of </w:t>
      </w:r>
      <w:r>
        <w:rPr>
          <w:rFonts w:ascii="arial" w:eastAsia="arial" w:hAnsi="arial" w:cs="arial"/>
          <w:b w:val="0"/>
          <w:i/>
          <w:strike w:val="0"/>
          <w:noProof w:val="0"/>
          <w:color w:val="000000"/>
          <w:position w:val="0"/>
          <w:sz w:val="24"/>
          <w:u w:val="none"/>
          <w:vertAlign w:val="baseline"/>
        </w:rPr>
        <w:t>Patimah Binti Suyuti v RHB Bank Berhad</w:t>
      </w:r>
      <w:r>
        <w:rPr>
          <w:rFonts w:ascii="arial" w:eastAsia="arial" w:hAnsi="arial" w:cs="arial"/>
          <w:b w:val="0"/>
          <w:i w:val="0"/>
          <w:strike w:val="0"/>
          <w:noProof w:val="0"/>
          <w:color w:val="000000"/>
          <w:position w:val="0"/>
          <w:sz w:val="24"/>
          <w:u w:val="none"/>
          <w:vertAlign w:val="baseline"/>
        </w:rPr>
        <w:t xml:space="preserve"> (AWARD NO: 1939 OF 2023) ruled that 11 days is a delay due to lack of protestation and the whole claim was dismissed on that ground. The Company further submits that the Claimant’s case must be dismissed for this undue and inordinate delay of 17 days without raising any objections and there is absolutely no evidence of any sort of protestation during that period and she carried out her new role during that period;</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Court of Appeal in the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[2023] 4 ILR 1, it can be ascertained that delays are not necessarily fatal provided the employee stayed on under protest but if there is no protest or evidence of protest then delay must necessarily mean fatal;</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claims verbal protestation but failed to provide evidence relating to the same. It is the Claimant’s contention that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not collecting the transfer letter might amount to protestation. However, this contention does not hold water as protestation must be communicated to the other party and evidence of such communication must be adduced as silent protestation is no protestation at all;</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Federal Court case of </w:t>
      </w:r>
      <w:r>
        <w:rPr>
          <w:rFonts w:ascii="arial" w:eastAsia="arial" w:hAnsi="arial" w:cs="arial"/>
          <w:b w:val="0"/>
          <w:i/>
          <w:strike w:val="0"/>
          <w:noProof w:val="0"/>
          <w:color w:val="000000"/>
          <w:position w:val="0"/>
          <w:sz w:val="24"/>
          <w:u w:val="none"/>
          <w:vertAlign w:val="baseline"/>
        </w:rPr>
        <w:t xml:space="preserve">Ahmad Zahri Mirza Abdul Hamid v AIMS Cyberjaya Sdn Bhd  </w:t>
      </w:r>
      <w:r>
        <w:rPr>
          <w:rFonts w:ascii="arial" w:eastAsia="arial" w:hAnsi="arial" w:cs="arial"/>
          <w:b w:val="0"/>
          <w:i w:val="0"/>
          <w:strike w:val="0"/>
          <w:noProof w:val="0"/>
          <w:color w:val="000000"/>
          <w:position w:val="0"/>
          <w:sz w:val="24"/>
          <w:u w:val="none"/>
          <w:vertAlign w:val="baseline"/>
        </w:rPr>
        <w:t xml:space="preserve">[2020] 3 ILR 233 and the Industrial Court case of </w:t>
      </w:r>
      <w:r>
        <w:rPr>
          <w:rFonts w:ascii="arial" w:eastAsia="arial" w:hAnsi="arial" w:cs="arial"/>
          <w:b w:val="0"/>
          <w:i/>
          <w:strike w:val="0"/>
          <w:noProof w:val="0"/>
          <w:color w:val="000000"/>
          <w:position w:val="0"/>
          <w:sz w:val="24"/>
          <w:u w:val="none"/>
          <w:vertAlign w:val="baseline"/>
        </w:rPr>
        <w:t xml:space="preserve">Al Fazirul David Abdullah v Naza Communications Sdn Bhd  </w:t>
      </w:r>
      <w:r>
        <w:rPr>
          <w:rFonts w:ascii="arial" w:eastAsia="arial" w:hAnsi="arial" w:cs="arial"/>
          <w:b w:val="0"/>
          <w:i w:val="0"/>
          <w:strike w:val="0"/>
          <w:noProof w:val="0"/>
          <w:color w:val="000000"/>
          <w:position w:val="0"/>
          <w:sz w:val="24"/>
          <w:u w:val="none"/>
          <w:vertAlign w:val="baseline"/>
        </w:rPr>
        <w:t>[2021] ILRU 1366, lack of any representation otherwise and the general practice of the Company to employ senior Management employees on a fixed term contract which is very much in line with the employment practice of Government Agencies and Government Linked Companies goes a long way to establish the fact that the Claimant is on a genuine fixed term contract. Furthermore, the subsequent conduct of the parties such as the fact that there were breaks between the first three (3) contracts where the Claimant admitted she was not an employee further heightens the facts that the Claimant was on a genuine fixed term contract; and</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fact that there was no specific discussion with the Claimant will not be fatal to the Company and the law is rather clear on this point. There is no requirement to hold prior discussion before transfers and to obtain the employee’s consent as per the Industrial Court case of </w:t>
      </w:r>
      <w:r>
        <w:rPr>
          <w:rFonts w:ascii="arial" w:eastAsia="arial" w:hAnsi="arial" w:cs="arial"/>
          <w:b w:val="0"/>
          <w:i/>
          <w:strike w:val="0"/>
          <w:noProof w:val="0"/>
          <w:color w:val="000000"/>
          <w:position w:val="0"/>
          <w:sz w:val="24"/>
          <w:u w:val="none"/>
          <w:vertAlign w:val="baseline"/>
        </w:rPr>
        <w:t xml:space="preserve">Afizah Yaakob v Cosmopoint Sdn Bhd  </w:t>
      </w:r>
      <w:r>
        <w:rPr>
          <w:rFonts w:ascii="arial" w:eastAsia="arial" w:hAnsi="arial" w:cs="arial"/>
          <w:b w:val="0"/>
          <w:i w:val="0"/>
          <w:strike w:val="0"/>
          <w:noProof w:val="0"/>
          <w:color w:val="000000"/>
          <w:position w:val="0"/>
          <w:sz w:val="24"/>
          <w:u w:val="none"/>
          <w:vertAlign w:val="baseline"/>
        </w:rPr>
        <w:t>[2009] 3 ILR 653;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The Company further submits that –</w:t>
      </w:r>
      <w:r>
        <w:t>
</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being transferred from cost center to profit center by itself can never amount to being detrimental or unreasonable but the Claimant has to establish how it is detrimental and unreasonable by adducing the necessary evidence and duly pleaded and particularised. The Claimant did neither but for a bare assertion that the transfer from cost center to profit center is detrimental and unreasonable. The Claimant was never given a revenue KPI or sales target and the Company firmly established that the Halal Event Management is an addition to the existing revenue generating units. Due to its inherent nature or being naturally and easily able to generate revenue, its core function remains as organizing of the two key events regardless whether those events generate revenue or not;</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being in a leadership position has plenty of skillset and experience to manage, thus the finer nuances of Halal Event Management can be easily garnered by the Claimant in a matter of time due to the fact that a highly experienced team that was formed as Halal Event Management team when it was previously under Corporate Communication Department is still very much intact. In fact, no revenue KPI or sales target was ever set hence the Claimant has no pressure to deliver immediately which further negates the element of the transfer being detrimental or unreasonable;</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trite law that the Company is not required to put the Claimant on notice or hold prior discussion to obtain Claimant’s consent before transfer. The same is also applicable in retrenchment cases as per the Industrial Court case of </w:t>
      </w:r>
      <w:r>
        <w:rPr>
          <w:rFonts w:ascii="arial" w:eastAsia="arial" w:hAnsi="arial" w:cs="arial"/>
          <w:b w:val="0"/>
          <w:i/>
          <w:strike w:val="0"/>
          <w:noProof w:val="0"/>
          <w:color w:val="000000"/>
          <w:position w:val="0"/>
          <w:sz w:val="24"/>
          <w:u w:val="none"/>
          <w:vertAlign w:val="baseline"/>
        </w:rPr>
        <w:t xml:space="preserve">Haizal Kamarudin v Malakat Mall Sdn Bhd  </w:t>
      </w:r>
      <w:r>
        <w:rPr>
          <w:rFonts w:ascii="arial" w:eastAsia="arial" w:hAnsi="arial" w:cs="arial"/>
          <w:b w:val="0"/>
          <w:i w:val="0"/>
          <w:strike w:val="0"/>
          <w:noProof w:val="0"/>
          <w:color w:val="000000"/>
          <w:position w:val="0"/>
          <w:sz w:val="24"/>
          <w:u w:val="none"/>
          <w:vertAlign w:val="baseline"/>
        </w:rPr>
        <w:t xml:space="preserve">[2023] 3 ILR 187. Furthermore, the Industrial Court case of </w:t>
      </w:r>
      <w:r>
        <w:rPr>
          <w:rFonts w:ascii="arial" w:eastAsia="arial" w:hAnsi="arial" w:cs="arial"/>
          <w:b w:val="0"/>
          <w:i/>
          <w:strike w:val="0"/>
          <w:noProof w:val="0"/>
          <w:color w:val="000000"/>
          <w:position w:val="0"/>
          <w:sz w:val="24"/>
          <w:u w:val="none"/>
          <w:vertAlign w:val="baseline"/>
        </w:rPr>
        <w:t xml:space="preserve">Maraex (M) Sdn Bhd v Abdul Halim B. Abdul Rani &amp; 124 Ors  </w:t>
      </w:r>
      <w:r>
        <w:rPr>
          <w:rFonts w:ascii="arial" w:eastAsia="arial" w:hAnsi="arial" w:cs="arial"/>
          <w:b w:val="0"/>
          <w:i w:val="0"/>
          <w:strike w:val="0"/>
          <w:noProof w:val="0"/>
          <w:color w:val="000000"/>
          <w:position w:val="0"/>
          <w:sz w:val="24"/>
          <w:u w:val="none"/>
          <w:vertAlign w:val="baseline"/>
        </w:rPr>
        <w:t>[1992] 2 ILR 187 cited by the Claimant is rather an old case from 1992 and the law has developed in leaps and bound ever since and the said case does not touch upon the issue of prior discussion in a transfer situation but merely on general rights of worker and the case merely handled a preliminary objection whether there was a dismissal and did not involve transfer at all;</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lack of job description can only be regarded as an issue if the Claimant was not assigned with any task or in other words being cold storage. Here the evidence establishes to the contrary that she is being given tasks that is in line with her leadership role as per pages 197 – 214 of COB1. Most certainly the tasks will expand in time whether with a job description or without as a lot of</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changes just took place in the Company and it is only fair the Company is given a chance to get things in order;</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contention that the Company in its email dated 11th March 2021 indicated that the superior shall brief her on her job description. In this regard, no time line was set for the briefing and secondly the Claimant never showed interest in carrying out her new role and the Claimant also boldly claimed that she never assumed the new position. This firmly establishes that the Claimant did not actively pursue the description of her new role with her superior and to expect her superior to provide the briefing in the first seventeen days is rather unfair or undue expectation and certainly not an inordinate delay on the part of the superior to hand down her job description. As the Claimant did not cite the lack of the job description as a ground to constructively dismiss herself, the Claimant’s action in doing so seems like an afterthought to fortify her claim; and</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on the Claimant’s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refusing to collect the letter of transfer, protest have to be by conduct and communicated either orally or by positive actions. There is no such thing as silent protest without directly communicating the protest.</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Remedies sought by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Claimant prays that this Court makes such order that she be reinstated to her former position without any loss of wages, allowance, service and seniority, privileges or benefits of any kind and/or such other alternative relief this Court deems fit and proper.</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Role of the Industrial Court, Burden of Proof and Standard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It is noted that the role or function of the Industrial Court has been clearly stated in the following cases:</w:t>
      </w:r>
      <w:r>
        <w:t>
</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Supreme Court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[1988] 1 CLJ (Rep) 298, where at p. 302, Salleh Abas LP, in delivering the judgment of the Supreme Court, referring to section 20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said, “</w:t>
      </w:r>
      <w:r>
        <w:rPr>
          <w:rFonts w:ascii="arial" w:eastAsia="arial" w:hAnsi="arial" w:cs="arial"/>
          <w:b w:val="0"/>
          <w:i/>
          <w:strike w:val="0"/>
          <w:noProof w:val="0"/>
          <w:color w:val="000000"/>
          <w:position w:val="0"/>
          <w:sz w:val="24"/>
          <w:u w:val="none"/>
          <w:vertAlign w:val="baseline"/>
        </w:rPr>
        <w:t>When the Industrial Court is dealing with a reference under</w:t>
      </w:r>
      <w:r>
        <w:rPr>
          <w:rFonts w:ascii="arial" w:eastAsia="arial" w:hAnsi="arial" w:cs="arial"/>
          <w:b w:val="0"/>
          <w:i w:val="0"/>
          <w:strike w:val="0"/>
          <w:noProof w:val="0"/>
          <w:color w:val="000000"/>
          <w:position w:val="0"/>
          <w:sz w:val="24"/>
          <w:u w:val="none"/>
          <w:vertAlign w:val="baseline"/>
        </w:rPr>
        <w:t xml:space="preserve"> s. 20</w:t>
      </w:r>
      <w:r>
        <w:rPr>
          <w:rFonts w:ascii="arial" w:eastAsia="arial" w:hAnsi="arial" w:cs="arial"/>
          <w:b w:val="0"/>
          <w:i/>
          <w:strike w:val="0"/>
          <w:noProof w:val="0"/>
          <w:color w:val="000000"/>
          <w:position w:val="0"/>
          <w:sz w:val="24"/>
          <w:u w:val="none"/>
          <w:vertAlign w:val="baseline"/>
        </w:rPr>
        <w:t>, the first thing that the Court will have to do is to ask itself a question whether there was a dismissal, and if so, whether it was with or without just cause or excuse</w:t>
      </w:r>
      <w:r>
        <w:rPr>
          <w:rFonts w:ascii="arial" w:eastAsia="arial" w:hAnsi="arial" w:cs="arial"/>
          <w:b w:val="0"/>
          <w:i w:val="0"/>
          <w:strike w:val="0"/>
          <w:noProof w:val="0"/>
          <w:color w:val="000000"/>
          <w:position w:val="0"/>
          <w:sz w:val="24"/>
          <w:u w:val="none"/>
          <w:vertAlign w:val="baseline"/>
        </w:rPr>
        <w:t>”; and</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in the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1 LNS 30, where His Lordship Raja Azlan Shah, CJ (Malaya) (as HRH then was) stated that “</w:t>
      </w:r>
      <w:r>
        <w:rPr>
          <w:rFonts w:ascii="arial" w:eastAsia="arial" w:hAnsi="arial" w:cs="arial"/>
          <w:b w:val="0"/>
          <w:i/>
          <w:strike w:val="0"/>
          <w:noProof w:val="0"/>
          <w:color w:val="000000"/>
          <w:position w:val="0"/>
          <w:sz w:val="24"/>
          <w:u w:val="none"/>
          <w:vertAlign w:val="baseline"/>
        </w:rPr>
        <w:t>Where representations are made and are referred to the Industrial Court for enquiry, it is the duty of that court to determine whether the termination or dismissal is with or without just cause or excuse. If the employer chooses to give a reason for the action taken by him, the duty of the Industrial Court will be to enquire whether that excuse or reason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It is further noted in cases where a claimant is dismissed by the company, the burden is on the company to proof that the dismissal was with just cause or excuse. In the Industrial Court case of </w:t>
      </w:r>
      <w:r>
        <w:rPr>
          <w:rFonts w:ascii="arial" w:eastAsia="arial" w:hAnsi="arial" w:cs="arial"/>
          <w:b w:val="0"/>
          <w:i/>
          <w:strike w:val="0"/>
          <w:noProof w:val="0"/>
          <w:color w:val="000000"/>
          <w:position w:val="0"/>
          <w:sz w:val="24"/>
          <w:u w:val="none"/>
          <w:vertAlign w:val="baseline"/>
        </w:rPr>
        <w:t xml:space="preserve">Ireka Construction Berhad v Chantiravathan a/l Subramaniam James  </w:t>
      </w:r>
      <w:r>
        <w:rPr>
          <w:rFonts w:ascii="arial" w:eastAsia="arial" w:hAnsi="arial" w:cs="arial"/>
          <w:b w:val="0"/>
          <w:i w:val="0"/>
          <w:strike w:val="0"/>
          <w:noProof w:val="0"/>
          <w:color w:val="000000"/>
          <w:position w:val="0"/>
          <w:sz w:val="24"/>
          <w:u w:val="none"/>
          <w:vertAlign w:val="baseline"/>
        </w:rPr>
        <w:t>[1995] 2 ILR 11, where at p. 15, the Learned Chairman, Her Ladyship Siti Saleha Dato’ Sheikh Abu Bakar, stated “</w:t>
      </w:r>
      <w:r>
        <w:rPr>
          <w:rFonts w:ascii="arial" w:eastAsia="arial" w:hAnsi="arial" w:cs="arial"/>
          <w:b w:val="0"/>
          <w:i/>
          <w:strike w:val="0"/>
          <w:noProof w:val="0"/>
          <w:color w:val="000000"/>
          <w:position w:val="0"/>
          <w:sz w:val="24"/>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the case</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CLJ 314 the Court of Appeal had laid down the principle that the standard of proof that is required to prove a case in the Industrial Court is one that is on the balance of probabilities. His lordship Justice Abdul Hamid Mohamad, JCA stated “</w:t>
      </w:r>
      <w:r>
        <w:rPr>
          <w:rFonts w:ascii="arial" w:eastAsia="arial" w:hAnsi="arial" w:cs="arial"/>
          <w:b w:val="0"/>
          <w:i/>
          <w:strike w:val="0"/>
          <w:noProof w:val="0"/>
          <w:color w:val="000000"/>
          <w:position w:val="0"/>
          <w:sz w:val="24"/>
          <w:u w:val="none"/>
          <w:vertAlign w:val="baseline"/>
        </w:rPr>
        <w:t xml:space="preserve">[t]hus, we can see that the preponderant view is that the Industrial Court, when hearing a claim of unjust dismissal, even where the ground is one of dishonest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including “theft”, is not required to be satisfied beyond reasonable doubt that the employee has “committed the offence”, as in a criminal prosecution. On the other hand, we see that the courts and learned authors have used such terms as “solid and sensible grounds”, “sufficient to measure up to a preponderance of the evidence,” “whether a case... has been made out”, “on the balance of probabilities” and “evidence of probative value”. In our view the passage quoted from Administrative Law by H.W.R. Wade &amp; C.F. Forsyth offers the clearest statement on the standard of proof required, that is the civil standard based on the balance of probabilities, which is flexible, so that the degree of probability required is proportionate to the nature of gravity of the issue. But, again, if we may add, these are not “passwords” that the failure to use them or if some other words are used, the decision is automatically rendered bad in law</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Thus, the role or function of the Industrial Court is to determine whether there was a dismissal and if so whether on the balance of probabilities the said dismissal was with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 to be determined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In order for the Court to determine whether there was a dismissal and if so whether on the balance of probabilities the said dismissal was with just cause or excuse, the critical issue this Court would need to determine is whether there was constructive dismissal of the Claimant’s employment by the Company.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This Court’s Findings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The concept of constructive dismissal and its application to section 20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has been clearly stated by the Supreme Court in the case of </w:t>
      </w:r>
      <w:r>
        <w:rPr>
          <w:rFonts w:ascii="arial" w:eastAsia="arial" w:hAnsi="arial" w:cs="arial"/>
          <w:b w:val="0"/>
          <w:i/>
          <w:strike w:val="0"/>
          <w:noProof w:val="0"/>
          <w:color w:val="000000"/>
          <w:position w:val="0"/>
          <w:sz w:val="24"/>
          <w:u w:val="none"/>
          <w:vertAlign w:val="baseline"/>
        </w:rPr>
        <w:t xml:space="preserve">Wong Chee Hong v Cathay Organization (M) Sdn Bhd  </w:t>
      </w:r>
      <w:r>
        <w:rPr>
          <w:rFonts w:ascii="arial" w:eastAsia="arial" w:hAnsi="arial" w:cs="arial"/>
          <w:b w:val="0"/>
          <w:i w:val="0"/>
          <w:strike w:val="0"/>
          <w:noProof w:val="0"/>
          <w:color w:val="000000"/>
          <w:position w:val="0"/>
          <w:sz w:val="24"/>
          <w:u w:val="none"/>
          <w:vertAlign w:val="baseline"/>
        </w:rPr>
        <w:t xml:space="preserve">[1988] 1 CLJ 45, ; [1988] 1 CLJ (Rep) 298. Salleh Abas LP, at pp. 300 – 302,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In England where this expression originated there had been a great deal of unsettled opinions amongst chairmen of industrial tribunals and also among Judges who sat to hear appeals from those tribunals. According to the Court of Appeal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Western Excavation (ECC) Ltd. v. Sharp  </w:t>
      </w:r>
      <w:r>
        <w:rPr>
          <w:rFonts w:ascii="arial" w:eastAsia="arial" w:hAnsi="arial" w:cs="arial"/>
          <w:b w:val="0"/>
          <w:i w:val="0"/>
          <w:strike w:val="0"/>
          <w:noProof w:val="0"/>
          <w:color w:val="000000"/>
          <w:position w:val="0"/>
          <w:sz w:val="18"/>
          <w:u w:val="none"/>
          <w:vertAlign w:val="baseline"/>
        </w:rPr>
        <w:t>[1978] IRLR 27</w:t>
      </w:r>
      <w:r>
        <w:rPr>
          <w:rFonts w:ascii="arial" w:eastAsia="arial" w:hAnsi="arial" w:cs="arial"/>
          <w:b w:val="0"/>
          <w:i/>
          <w:strike w:val="0"/>
          <w:noProof w:val="0"/>
          <w:color w:val="000000"/>
          <w:position w:val="0"/>
          <w:sz w:val="18"/>
          <w:u w:val="none"/>
          <w:vertAlign w:val="baseline"/>
        </w:rPr>
        <w:t>, it means no more than the common law right of an employee to repudiate his contract of service where the conduct of his employer is such that the latter is guilty of a breach going to the root of the contract or where he has evinced an intention no longer to be bound by the contract. In such situations the employee is entitled to regard himself as being dismissed and walk out of his employment.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 ... We think that the word “dismissal” in this section should be interpreted with reference to the common law principle. Thus it would be a dismissal if an employer is guilty of a breach which goes to the root of the contract or if he has evinced an intention no longer to be bound by it. In such situation the employee is entitled to regard the contract as terminated and himself as being dismissed.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Bouzourou v. The Ottoman Bank  </w:t>
      </w:r>
      <w:r>
        <w:rPr>
          <w:rFonts w:ascii="arial" w:eastAsia="arial" w:hAnsi="arial" w:cs="arial"/>
          <w:b w:val="0"/>
          <w:i w:val="0"/>
          <w:strike w:val="0"/>
          <w:noProof w:val="0"/>
          <w:color w:val="000000"/>
          <w:position w:val="0"/>
          <w:sz w:val="18"/>
          <w:u w:val="none"/>
          <w:vertAlign w:val="baseline"/>
        </w:rPr>
        <w:t>[1930] AC 271</w:t>
      </w:r>
      <w:r>
        <w:rPr>
          <w:rFonts w:ascii="arial" w:eastAsia="arial" w:hAnsi="arial" w:cs="arial"/>
          <w:b w:val="0"/>
          <w:i/>
          <w:strike w:val="0"/>
          <w:noProof w:val="0"/>
          <w:color w:val="000000"/>
          <w:position w:val="0"/>
          <w:sz w:val="18"/>
          <w:u w:val="none"/>
          <w:vertAlign w:val="baseline"/>
        </w:rPr>
        <w:t xml:space="preserve"> 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Donovan v. Invicta Airways Ltd.  </w:t>
      </w:r>
      <w:r>
        <w:rPr>
          <w:rFonts w:ascii="arial" w:eastAsia="arial" w:hAnsi="arial" w:cs="arial"/>
          <w:b w:val="0"/>
          <w:i w:val="0"/>
          <w:strike w:val="0"/>
          <w:noProof w:val="0"/>
          <w:color w:val="000000"/>
          <w:position w:val="0"/>
          <w:sz w:val="18"/>
          <w:u w:val="none"/>
          <w:vertAlign w:val="baseline"/>
        </w:rPr>
        <w:t>[1970] Lloyd’s LR 486</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The applicable test as regards constructive dismissal, i.e. the contract test, has also been laid down by the Supreme Court in the abovementioned case of </w:t>
      </w:r>
      <w:r>
        <w:rPr>
          <w:rFonts w:ascii="arial" w:eastAsia="arial" w:hAnsi="arial" w:cs="arial"/>
          <w:b w:val="0"/>
          <w:i/>
          <w:strike w:val="0"/>
          <w:noProof w:val="0"/>
          <w:color w:val="000000"/>
          <w:position w:val="0"/>
          <w:sz w:val="24"/>
          <w:u w:val="none"/>
          <w:vertAlign w:val="baseline"/>
        </w:rPr>
        <w:t>Wong Chee Hong v Cathay Organization (M) Sdn Bhd</w:t>
      </w:r>
      <w:r>
        <w:rPr>
          <w:rFonts w:ascii="arial" w:eastAsia="arial" w:hAnsi="arial" w:cs="arial"/>
          <w:b w:val="0"/>
          <w:i w:val="0"/>
          <w:strike w:val="0"/>
          <w:noProof w:val="0"/>
          <w:color w:val="000000"/>
          <w:position w:val="0"/>
          <w:sz w:val="24"/>
          <w:u w:val="none"/>
          <w:vertAlign w:val="baseline"/>
        </w:rPr>
        <w:t xml:space="preserve">. Salleh Abas LP, at pp. 301 – 302,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common law has always recognized the right of an employee to terminate his contract of service and therefore to consider himself as discharged from further obligations if the employer is guilty of such breach as affects the foundation of the contract or if the employer has evinced or shown an intention not to be bound by it any longer. It was an attempt to enlarge the right of the employee of unilateral termination of his contract beyond the perimeter of the common law by an unreasonable conduct of his employer that the expression “constructive dismissal” was used. ... But many thought, and a few decisions were made, that an employee in addition to his common law right could terminate the contract if his employer acted unreasonably. Lord Denning MR, with whom the other two Lord Justices in the case of Western Excavation (supra) reiterating an earlier decision of the Court of Appeal presided by him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Marriott v. Oxford and District Co-operative Society Ltd.  </w:t>
      </w:r>
      <w:r>
        <w:rPr>
          <w:rFonts w:ascii="arial" w:eastAsia="arial" w:hAnsi="arial" w:cs="arial"/>
          <w:b w:val="0"/>
          <w:i w:val="0"/>
          <w:strike w:val="0"/>
          <w:noProof w:val="0"/>
          <w:color w:val="000000"/>
          <w:position w:val="0"/>
          <w:sz w:val="18"/>
          <w:u w:val="none"/>
          <w:vertAlign w:val="baseline"/>
        </w:rPr>
        <w:t>[1969] 3 All ER 1126</w:t>
      </w:r>
      <w:r>
        <w:rPr>
          <w:rFonts w:ascii="arial" w:eastAsia="arial" w:hAnsi="arial" w:cs="arial"/>
          <w:b w:val="0"/>
          <w:i/>
          <w:strike w:val="0"/>
          <w:noProof w:val="0"/>
          <w:color w:val="000000"/>
          <w:position w:val="0"/>
          <w:sz w:val="18"/>
          <w:u w:val="none"/>
          <w:vertAlign w:val="baseline"/>
        </w:rPr>
        <w:t>) rejected this test of unreasonableness. In no uncertain terms the learned Master of the Rolls declared that the test of dismissal … is a contract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Thus it is clear that even in England, “constructive dismissal” does not mean that an employee can automatically terminate the contract when his employer acts or behaves unreasonably towards him. Indeed if it were so, it is dangerous and can lead to abuse and unsettled industrial relation. ... What is left of the expression is now no more than the employee’s right under the common law, which we have stated earlier and goes no further. Alternative expression with the same meaning, such as “implied dismissal” or even “circumstantial dismissal” may well be coined and used. But all these could not go beyond the common law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 Dismissal without just cause or excuse may well be similar in concepts to the UK legislation on unfair dismissal, but these two are not exactly identical.</w:t>
      </w:r>
      <w:r>
        <w:rPr>
          <w:rFonts w:ascii="arial" w:eastAsia="arial" w:hAnsi="arial" w:cs="arial"/>
          <w:b w:val="0"/>
          <w:i w:val="0"/>
          <w:strike w:val="0"/>
          <w:noProof w:val="0"/>
          <w:color w:val="000000"/>
          <w:position w:val="0"/>
          <w:sz w:val="18"/>
          <w:u w:val="none"/>
          <w:vertAlign w:val="baseline"/>
        </w:rPr>
        <w:t xml:space="preserve"> Section 20 of our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is entirely different from para. (c) of s. 55(2) of the UK Protection of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1978. Therefore we cannot see how the test of unreasonableness which is the basis of the much advocated concept of constructive dismissal by a certain school of thought in UK should be introduced as an aid to the interpretation of the word “dismissal” in our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We think that the word “dismissal” in this section should be interpreted with reference to the common law principle.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Thus it would be a dismissal if an employer is guilty of a breach which goes to the </w:t>
      </w:r>
      <w:r>
        <w:rPr>
          <w:rFonts w:ascii="arial" w:eastAsia="arial" w:hAnsi="arial" w:cs="arial"/>
          <w:b/>
          <w:i/>
          <w:strike w:val="0"/>
          <w:noProof w:val="0"/>
          <w:color w:val="000000"/>
          <w:position w:val="0"/>
          <w:sz w:val="18"/>
          <w:u w:val="single"/>
          <w:vertAlign w:val="baseline"/>
        </w:rPr>
        <w:t>root of the contract</w:t>
      </w:r>
      <w:r>
        <w:rPr>
          <w:rFonts w:ascii="arial" w:eastAsia="arial" w:hAnsi="arial" w:cs="arial"/>
          <w:b w:val="0"/>
          <w:i/>
          <w:strike w:val="0"/>
          <w:noProof w:val="0"/>
          <w:color w:val="000000"/>
          <w:position w:val="0"/>
          <w:sz w:val="18"/>
          <w:u w:val="single"/>
          <w:vertAlign w:val="baseline"/>
        </w:rPr>
        <w:t xml:space="preserve"> or if he </w:t>
      </w:r>
      <w:r>
        <w:rPr>
          <w:rFonts w:ascii="arial" w:eastAsia="arial" w:hAnsi="arial" w:cs="arial"/>
          <w:b/>
          <w:i/>
          <w:strike w:val="0"/>
          <w:noProof w:val="0"/>
          <w:color w:val="000000"/>
          <w:position w:val="0"/>
          <w:sz w:val="18"/>
          <w:u w:val="single"/>
          <w:vertAlign w:val="baseline"/>
        </w:rPr>
        <w:t>has evinced an intention no longer to be bound by it</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In such situation the employee is entitled to regard the contract as terminated and himself as being dismissed.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Bouzourou v. The Ottoman Bank  </w:t>
      </w:r>
      <w:r>
        <w:rPr>
          <w:rFonts w:ascii="arial" w:eastAsia="arial" w:hAnsi="arial" w:cs="arial"/>
          <w:b w:val="0"/>
          <w:i w:val="0"/>
          <w:strike w:val="0"/>
          <w:noProof w:val="0"/>
          <w:color w:val="000000"/>
          <w:position w:val="0"/>
          <w:sz w:val="18"/>
          <w:u w:val="none"/>
          <w:vertAlign w:val="baseline"/>
        </w:rPr>
        <w:t>[1930] AC 271</w:t>
      </w:r>
      <w:r>
        <w:rPr>
          <w:rFonts w:ascii="arial" w:eastAsia="arial" w:hAnsi="arial" w:cs="arial"/>
          <w:b w:val="0"/>
          <w:i/>
          <w:strike w:val="0"/>
          <w:noProof w:val="0"/>
          <w:color w:val="000000"/>
          <w:position w:val="0"/>
          <w:sz w:val="18"/>
          <w:u w:val="none"/>
          <w:vertAlign w:val="baseline"/>
        </w:rPr>
        <w:t xml:space="preserve"> 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Donovan v. Invicta Airways Ltd.  </w:t>
      </w:r>
      <w:r>
        <w:rPr>
          <w:rFonts w:ascii="arial" w:eastAsia="arial" w:hAnsi="arial" w:cs="arial"/>
          <w:b w:val="0"/>
          <w:i w:val="0"/>
          <w:strike w:val="0"/>
          <w:noProof w:val="0"/>
          <w:color w:val="000000"/>
          <w:position w:val="0"/>
          <w:sz w:val="18"/>
          <w:u w:val="none"/>
          <w:vertAlign w:val="baseline"/>
        </w:rPr>
        <w:t>[1970] Lloyd’s LR 486</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The contract test has been applied by the courts in Malaysia for purposes of constructive dismissal cases including by the Court of Appeal in the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[2023] 4 ILR 1 whereby S Nantha Balan JCA, at pp. 7 – 10,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[11] In Malaysia, the concept of “constructive dismissal” was given judicial recognition by the then Supreme Court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Wong Chee Hong v Cathay Organization (M) Sdn Bhd  </w:t>
      </w:r>
      <w:r>
        <w:rPr>
          <w:rFonts w:ascii="arial" w:eastAsia="arial" w:hAnsi="arial" w:cs="arial"/>
          <w:b w:val="0"/>
          <w:i w:val="0"/>
          <w:strike w:val="0"/>
          <w:noProof w:val="0"/>
          <w:color w:val="000000"/>
          <w:position w:val="0"/>
          <w:sz w:val="18"/>
          <w:u w:val="none"/>
          <w:vertAlign w:val="baseline"/>
        </w:rPr>
        <w:t>[1988] 1 CLJ 45; ; [1988] 1 CLJ (Rep) 298; ; [1988] 1 MLJ 92, ; [1987] 1 MLRA 346</w:t>
      </w:r>
      <w:r>
        <w:rPr>
          <w:rFonts w:ascii="arial" w:eastAsia="arial" w:hAnsi="arial" w:cs="arial"/>
          <w:b w:val="0"/>
          <w:i/>
          <w:strike w:val="0"/>
          <w:noProof w:val="0"/>
          <w:color w:val="000000"/>
          <w:position w:val="0"/>
          <w:sz w:val="18"/>
          <w:u w:val="none"/>
          <w:vertAlign w:val="baseline"/>
        </w:rPr>
        <w:t xml:space="preserve"> (SC) (“Wong Chee Hong”).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[14]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Bayer (M) Sdn Bhd v. Anwar Abd Rahim  </w:t>
      </w:r>
      <w:r>
        <w:rPr>
          <w:rFonts w:ascii="arial" w:eastAsia="arial" w:hAnsi="arial" w:cs="arial"/>
          <w:b w:val="0"/>
          <w:i w:val="0"/>
          <w:strike w:val="0"/>
          <w:noProof w:val="0"/>
          <w:color w:val="000000"/>
          <w:position w:val="0"/>
          <w:sz w:val="18"/>
          <w:u w:val="none"/>
          <w:vertAlign w:val="baseline"/>
        </w:rPr>
        <w:t>[1996] 2 CLJ 49; ; [1995] MLJU 558</w:t>
      </w:r>
      <w:r>
        <w:rPr>
          <w:rFonts w:ascii="arial" w:eastAsia="arial" w:hAnsi="arial" w:cs="arial"/>
          <w:b w:val="0"/>
          <w:i/>
          <w:strike w:val="0"/>
          <w:noProof w:val="0"/>
          <w:color w:val="000000"/>
          <w:position w:val="0"/>
          <w:sz w:val="18"/>
          <w:u w:val="none"/>
          <w:vertAlign w:val="baseline"/>
        </w:rPr>
        <w:t xml:space="preserve"> (HC), Low Hop Bing JC (as he then was) applied the principle that was enunciated in Wong Chee Hong (supra) and reiterated that the test in a constructive dismissal case is not the “test of unreasonableness”, but the “contract test”. The learned judge rendered a lucid explanation on the test and the conditions which must be fulfilled in the following words (pp. 52 to 53 of the CLJ report):</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In my judgment, in order to succeed in a claim for constructive dismissal, the employee must prove to the satisfaction of the Court that the employer is guilty of a breach which goes to the root of the contract or if the employer has evinced an intention no longer to be bound by it. It is only in such a situation that the employee is entitled to regard the contract as terminated and treat himself as being dismissed. Constructive dismissal does not mean that an employee can automatically terminate the contract when his employer acts or behaves unreasonably towards him. Indeed, if it were so, it is dangerous and can lead to abuse and unsettled industrial relations. Thus, it is settled law that the test applicable in a constructive dismissal case is “the contract test” and not “the test of reasonableness”. To claim constructive dismissal, four conditions must be fulfilled. These conditions are:</w:t>
      </w:r>
      <w:r>
        <w:t>
</w:t>
      </w:r>
    </w:p>
    <w:p>
      <w:pPr>
        <w:keepNext w:val="0"/>
        <w:numPr>
          <w:numId w:val="39"/>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There must be a breach of contract by the employer;</w:t>
      </w:r>
    </w:p>
    <w:p>
      <w:pPr>
        <w:keepNext w:val="0"/>
        <w:numPr>
          <w:numId w:val="40"/>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 breach must be sufficiently important to justify the employee resigning;</w:t>
      </w:r>
    </w:p>
    <w:p>
      <w:pPr>
        <w:keepNext w:val="0"/>
        <w:numPr>
          <w:numId w:val="41"/>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 employee must leave in response to the breach and not for any other unconnected reasons; and</w:t>
      </w:r>
    </w:p>
    <w:p>
      <w:pPr>
        <w:keepNext w:val="0"/>
        <w:numPr>
          <w:numId w:val="42"/>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He must not occasion any undue delay in terminating the contract, otherwise he will be deemed to have waived the breach and agreed to vary the contract…</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[15]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Anwar Abdul Rahim v. Bayer (M) Sdn Bhd  </w:t>
      </w:r>
      <w:r>
        <w:rPr>
          <w:rFonts w:ascii="arial" w:eastAsia="arial" w:hAnsi="arial" w:cs="arial"/>
          <w:b w:val="0"/>
          <w:i w:val="0"/>
          <w:strike w:val="0"/>
          <w:noProof w:val="0"/>
          <w:color w:val="000000"/>
          <w:position w:val="0"/>
          <w:sz w:val="18"/>
          <w:u w:val="none"/>
          <w:vertAlign w:val="baseline"/>
        </w:rPr>
        <w:t>[1998] 2 CLJ 197; ; [1998] 2 MLJ 599</w:t>
      </w:r>
      <w:r>
        <w:rPr>
          <w:rFonts w:ascii="arial" w:eastAsia="arial" w:hAnsi="arial" w:cs="arial"/>
          <w:b w:val="0"/>
          <w:i/>
          <w:strike w:val="0"/>
          <w:noProof w:val="0"/>
          <w:color w:val="000000"/>
          <w:position w:val="0"/>
          <w:sz w:val="18"/>
          <w:u w:val="none"/>
          <w:vertAlign w:val="baseline"/>
        </w:rPr>
        <w:t xml:space="preserve"> (CA), Mahadev Shankar JCA affirmed the decision of the High Court and reiterated that the test for constructive dismissal is the “contract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[16] At p. 205 (CLJ); pp. 605 to 606 of the MLJ report Justice Shankar said:</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It has been repeatedly held by our courts that the proper approach in deciding whether constructive dismissal has taken place is not to ask oneself whether the employer’s conduct was unfair or unreasonable (the unreasonableness test) but whether “the conduct of the employer was such that the employer was guilty of a breach going to the root of the contract or whether he has evinced an intention no longer to be bound by the contract”.</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[18] From the perspective of the “contract test”, constructive dismissal is essentially and conceptually predicated on the employer’s unilateral variation of the contract of employment which amounts to a fundamental breach and regarded as conduct which is repudiatory of the contract of employment, entitling the employee to walk out and claim that he had been constructively dismissed.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[19] Thus, two questions arise for consideration in determining whether a claim based on constructive dismissal can succeed. The first question is - did the employer’s conduct amount to a breach of the contract of employment going to the root of the contract, (ie, “fundamental breach”)? The second question is – did the employee make up his mind and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at the appropriate point in time soon after the conduct of which he had complained had taken place? This takes us to the question of delay on the part of the employee.</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Thus, based on the abovementioned cases, in a constructive dismissal case, such as the present case, the burden is on the Claimant to proof that on the balance of probabilities, based on the contract test, she has been constructively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As per the conditions laid down in the case of </w:t>
      </w:r>
      <w:r>
        <w:rPr>
          <w:rFonts w:ascii="arial" w:eastAsia="arial" w:hAnsi="arial" w:cs="arial"/>
          <w:b w:val="0"/>
          <w:i/>
          <w:strike w:val="0"/>
          <w:noProof w:val="0"/>
          <w:color w:val="000000"/>
          <w:position w:val="0"/>
          <w:sz w:val="24"/>
          <w:u w:val="none"/>
          <w:vertAlign w:val="baseline"/>
        </w:rPr>
        <w:t xml:space="preserve">Bayer (M) Sdn Bhd v. Anwar Abd Rahim  </w:t>
      </w:r>
      <w:r>
        <w:rPr>
          <w:rFonts w:ascii="arial" w:eastAsia="arial" w:hAnsi="arial" w:cs="arial"/>
          <w:b w:val="0"/>
          <w:i w:val="0"/>
          <w:strike w:val="0"/>
          <w:noProof w:val="0"/>
          <w:color w:val="000000"/>
          <w:position w:val="0"/>
          <w:sz w:val="24"/>
          <w:u w:val="none"/>
          <w:vertAlign w:val="baseline"/>
        </w:rPr>
        <w:t>[1996] 2 CLJ 49; ; [1995] MLJU 558, the Claimant would have to fulfill the following four conditions –</w:t>
      </w:r>
      <w:r>
        <w:t>
</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breach of the terms of the contract of appointment by the Company;</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breach must be sufficiently important to justify the Claimant’s claim of constructive dismissal;</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left her employment in response to the breach and not for any other unconnected reasons; and</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no undue delay on the part of the Claimant in leaving her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Having considered the evidence given by the Claimant and the Company as well as the Bundles of Documents and submissions of both the Claimant and the Company, this Court finds that as regards the Claimant’s employment with the Company, –</w:t>
      </w:r>
      <w:r>
        <w:t>
</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employed by the Company vide a contract of employment dated 5th September 2016 as General Manager, Human Capital for a fixed term of one (1) year commencing 5th September 2016 to 4th September 2017. Following thereto, the Claimant and the Company entered into another successive new contract of employments for a fixed term of one (1) year from 6th September 2017 until 5th September 2018, from 7th September 2018 to 6th September 2019 and from 6th September 2019 to 5th September 2020 as General Manager, Human Capital. The Claimant further entered into another new contract of employment with the Company dated 6th September 2020 for a fixed term of two (2) years plus one (1) year commencing 6th September 2020 to 5th September 2023 as General Manager, Human Capital;</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submits that from the Claimant’s testimony the intent of the parties, lack of any representation otherwise and the general practice of the Company to employ senior management employees on fixed term contract which is very much in line with the employment practice of the Government agencies and Government Linked Companies go a long way to establish the fact that the Claimant is on a genuine fixed term contract;</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further submits that subsequent conduct of the parties such as the fact that there were breaks between the first three contracts further heightens the facts that the Claimant was on a genuine fixed term contract;</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cited the Industrial Court cases of </w:t>
      </w:r>
      <w:r>
        <w:rPr>
          <w:rFonts w:ascii="arial" w:eastAsia="arial" w:hAnsi="arial" w:cs="arial"/>
          <w:b w:val="0"/>
          <w:i/>
          <w:strike w:val="0"/>
          <w:noProof w:val="0"/>
          <w:color w:val="000000"/>
          <w:position w:val="0"/>
          <w:sz w:val="24"/>
          <w:u w:val="none"/>
          <w:vertAlign w:val="baseline"/>
        </w:rPr>
        <w:t xml:space="preserve">Asian Supply Base Sdn Bhd v Terry Mogindol  </w:t>
      </w:r>
      <w:r>
        <w:rPr>
          <w:rFonts w:ascii="arial" w:eastAsia="arial" w:hAnsi="arial" w:cs="arial"/>
          <w:b w:val="0"/>
          <w:i w:val="0"/>
          <w:strike w:val="0"/>
          <w:noProof w:val="0"/>
          <w:color w:val="000000"/>
          <w:position w:val="0"/>
          <w:sz w:val="24"/>
          <w:u w:val="none"/>
          <w:vertAlign w:val="baseline"/>
        </w:rPr>
        <w:t xml:space="preserve">[2005] 1 ILR 708 and </w:t>
      </w:r>
      <w:r>
        <w:rPr>
          <w:rFonts w:ascii="arial" w:eastAsia="arial" w:hAnsi="arial" w:cs="arial"/>
          <w:b w:val="0"/>
          <w:i/>
          <w:strike w:val="0"/>
          <w:noProof w:val="0"/>
          <w:color w:val="000000"/>
          <w:position w:val="0"/>
          <w:sz w:val="24"/>
          <w:u w:val="none"/>
          <w:vertAlign w:val="baseline"/>
        </w:rPr>
        <w:t xml:space="preserve">Al Fazirul David Abdullah v Naza Communications Sdn Bhd  </w:t>
      </w:r>
      <w:r>
        <w:rPr>
          <w:rFonts w:ascii="arial" w:eastAsia="arial" w:hAnsi="arial" w:cs="arial"/>
          <w:b w:val="0"/>
          <w:i w:val="0"/>
          <w:strike w:val="0"/>
          <w:noProof w:val="0"/>
          <w:color w:val="000000"/>
          <w:position w:val="0"/>
          <w:sz w:val="24"/>
          <w:u w:val="none"/>
          <w:vertAlign w:val="baseline"/>
        </w:rPr>
        <w:t>[2021] ILRU 1366 in submitting that the Claimant was employed as a General Manager on a fixed term contract basis and the Claimant had never adduced any evidence that she resisted or protested the contract of employment being a fixed term contract;</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submits that she was employed by the Company from 5th September 2016 until her date of dismissal on 31st March 2021 without any break of service;</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interesting to note that COW-2’s email to the Claimant dated 29th March 2021 clearly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[a]s a General Manager, Halal Event Management, I have faith that you can give your utmost commitment and lead the unit towards success.</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 xml:space="preserve">Later, </w:t>
      </w:r>
      <w:r>
        <w:rPr>
          <w:rFonts w:ascii="arial" w:eastAsia="arial" w:hAnsi="arial" w:cs="arial"/>
          <w:b/>
          <w:i/>
          <w:strike w:val="0"/>
          <w:noProof w:val="0"/>
          <w:color w:val="000000"/>
          <w:position w:val="0"/>
          <w:sz w:val="24"/>
          <w:u w:val="single"/>
          <w:vertAlign w:val="baseline"/>
        </w:rPr>
        <w:t>Halal Event Management will become a</w:t>
      </w:r>
      <w:r>
        <w:rPr>
          <w:rFonts w:ascii="arial" w:eastAsia="arial" w:hAnsi="arial" w:cs="arial"/>
          <w:b w:val="0"/>
          <w:i w:val="0"/>
          <w:strike w:val="0"/>
          <w:noProof w:val="0"/>
          <w:color w:val="000000"/>
          <w:position w:val="0"/>
          <w:sz w:val="24"/>
          <w:u w:val="single"/>
          <w:vertAlign w:val="baseline"/>
        </w:rPr>
        <w:t xml:space="preserve"> subsidiary </w:t>
      </w:r>
      <w:r>
        <w:rPr>
          <w:rFonts w:ascii="arial" w:eastAsia="arial" w:hAnsi="arial" w:cs="arial"/>
          <w:b/>
          <w:i w:val="0"/>
          <w:strike w:val="0"/>
          <w:noProof w:val="0"/>
          <w:color w:val="000000"/>
          <w:position w:val="0"/>
          <w:sz w:val="24"/>
          <w:u w:val="single"/>
          <w:vertAlign w:val="baseline"/>
        </w:rPr>
        <w:t>and</w:t>
      </w:r>
      <w:r>
        <w:rPr>
          <w:rFonts w:ascii="arial" w:eastAsia="arial" w:hAnsi="arial" w:cs="arial"/>
          <w:b w:val="0"/>
          <w:i w:val="0"/>
          <w:strike w:val="0"/>
          <w:noProof w:val="0"/>
          <w:color w:val="000000"/>
          <w:position w:val="0"/>
          <w:sz w:val="24"/>
          <w:u w:val="single"/>
          <w:vertAlign w:val="baseline"/>
        </w:rPr>
        <w:t xml:space="preserve"> you have the opportunity for a career advancement </w:t>
      </w:r>
      <w:r>
        <w:rPr>
          <w:rFonts w:ascii="arial" w:eastAsia="arial" w:hAnsi="arial" w:cs="arial"/>
          <w:b/>
          <w:i/>
          <w:strike w:val="0"/>
          <w:noProof w:val="0"/>
          <w:color w:val="000000"/>
          <w:position w:val="0"/>
          <w:sz w:val="24"/>
          <w:u w:val="single"/>
          <w:vertAlign w:val="baseline"/>
        </w:rPr>
        <w:t>prospects with a better range of remuneration and incentive package</w:t>
      </w:r>
      <w:r>
        <w:rPr>
          <w:rFonts w:ascii="arial" w:eastAsia="arial" w:hAnsi="arial" w:cs="arial"/>
          <w:b w:val="0"/>
          <w:i w:val="0"/>
          <w:strike w:val="0"/>
          <w:noProof w:val="0"/>
          <w:color w:val="000000"/>
          <w:position w:val="0"/>
          <w:sz w:val="24"/>
          <w:u w:val="none"/>
          <w:vertAlign w:val="baseline"/>
        </w:rPr>
        <w:t>”;</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abovementioned statement from COW-2, who was at the material time the acting CEO of the Company and now the CEO of the Company, do not support the Company’s contention that the Claimant was on a fixed term contract. Instead, COW-2’s statement gives the impression that the Claimant’s employment with the Company was on a permanent basis and could not have intended to mean otherwise;</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addition, at para 3.12 of the Company’s Written Submissions dated 28th June 2024, the Company submits that “</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single"/>
          <w:vertAlign w:val="baseline"/>
        </w:rPr>
        <w:t>the Claimant was not transferred to one of the traditional and specialised revenue generating units</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like Halal Integrated Platform, Halal Training, Halal Consultancy and Advisory and World Largest Halal Hub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but to a unit that has a non-revenue related role to organise and manage key events as its core function</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 xml:space="preserve">revenue generation seems like more of a supplementary requirement </w:t>
      </w:r>
      <w:r>
        <w:rPr>
          <w:rFonts w:ascii="arial" w:eastAsia="arial" w:hAnsi="arial" w:cs="arial"/>
          <w:b/>
          <w:i/>
          <w:strike w:val="0"/>
          <w:noProof w:val="0"/>
          <w:color w:val="000000"/>
          <w:position w:val="0"/>
          <w:sz w:val="24"/>
          <w:u w:val="single"/>
          <w:vertAlign w:val="baseline"/>
        </w:rPr>
        <w:t>at least for the first 6 years</w:t>
      </w:r>
      <w:r>
        <w:rPr>
          <w:rFonts w:ascii="arial" w:eastAsia="arial" w:hAnsi="arial" w:cs="arial"/>
          <w:b w:val="0"/>
          <w:i/>
          <w:strike w:val="0"/>
          <w:noProof w:val="0"/>
          <w:color w:val="000000"/>
          <w:position w:val="0"/>
          <w:sz w:val="24"/>
          <w:u w:val="single"/>
          <w:vertAlign w:val="baseline"/>
        </w:rPr>
        <w:t xml:space="preserve"> during the transformational phase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and included in the commercial side in the last minute the show balance in manpower between both the Commercial Division and Business Support Division. With that the transfer to Halal Event Management cannot by any measure be regarded as highly unreasonable or detrimental…</w:t>
      </w:r>
      <w:r>
        <w:rPr>
          <w:rFonts w:ascii="arial" w:eastAsia="arial" w:hAnsi="arial" w:cs="arial"/>
          <w:b w:val="0"/>
          <w:i w:val="0"/>
          <w:strike w:val="0"/>
          <w:noProof w:val="0"/>
          <w:color w:val="000000"/>
          <w:position w:val="0"/>
          <w:sz w:val="24"/>
          <w:u w:val="none"/>
          <w:vertAlign w:val="baseline"/>
        </w:rPr>
        <w:t>”. It would seem that the Company had envisaged that the Claimant would be heading the Halal Event Management for at least six (6) more years following her transfer to the Halal Event Management; and</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based on the above observations, this Court finds that through its actions the Company had, at all material times, treated the Claimant as a permanent employee. As such the Claimant’s employment with the Company was in reality permanent in nature and not on a fixed term contract.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As regards the Claimant’s claim of constructive dismissal, this Court makes the following observations and findings –</w:t>
      </w:r>
      <w:r>
        <w:t>
</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transferred to the post of General Manager, Halal Event Management with immediate effect. As General Manager of Halal Event Management the Claimant will essentially be responsible for revenue generating as it is a profit centred position. Prior to the said transfer the Claimant was the General Manager, Human Capital since the beginning of her employment with the Company. In this regard, the Claimant avers the General Manager of Human Capital is a cost centred position;</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also avers that the function, description, scope assessment and work generally as a General Manager of Halal Event Management are entirely different from General Manager of Human Capital;</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following thereto,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24th March 2021, the Claimant placed on record her disagreement to the said transfer and took the matter up as she has no experience or skillset or qualification in relation to Event Management. Furthermore, throughout her employment with the Company as well as her work experience prior to joining the Company, the job functions, duties and responsibilities of the Claimant were solely in the field of and relating to Human Resources. However, the Claimant was informed that the Company’s decision was final;</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confirmed by COW-2 during his testimony, there was no prior discussion between the Claimant and the Company regarding her transfer to Halal Event Management Department and there was no discussion on reorganization or transfers during the town hall meeting on 24th October 2019;</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having perused the Claimant’s resume marked as COB2, this Court finds that there is nothing in the said resume to show that the Claimant has the experience in revenue-generating. Instead, the resume clearly shows that the Claimant’s experience has always been in human resources. Following thereto, this Court finds that it would have been more reasonable and prudent for COW- 2 to discuss the matter with the Claimant prior to making the decision to transfer the Claimant;</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was not disputed that the Claimant was not given a job description for the new position even though the Company vide email dated 11th March 2021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[f]or those affected during this organisation realignment, your Head of Division / Department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single"/>
          <w:vertAlign w:val="baseline"/>
        </w:rPr>
        <w:t>shall brief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you on your new job description</w:t>
      </w:r>
      <w:r>
        <w:rPr>
          <w:rFonts w:ascii="arial" w:eastAsia="arial" w:hAnsi="arial" w:cs="arial"/>
          <w:b w:val="0"/>
          <w:i w:val="0"/>
          <w:strike w:val="0"/>
          <w:noProof w:val="0"/>
          <w:color w:val="000000"/>
          <w:position w:val="0"/>
          <w:sz w:val="24"/>
          <w:u w:val="none"/>
          <w:vertAlign w:val="baseline"/>
        </w:rPr>
        <w:t xml:space="preserve">”. The Company submits that the lack of job description can only be regarded as an issue if the Claimant was not assigned with any task or in other words being cold storage and as the tasks will expand in time whether with a job description or without as a lot of changes just took place in the Company it is only fair the Company be given a chance to get things in order. The Company further submits that no time line was set for the briefing and secondly the Claimant never showed interest in carrying out her new role and the Claimant also boldly claimed that she never assumed the new position. This Court finds it perplexing that the Company choose to submit as such since the email dated 11th March 2021 clearly gave the indication that those affected </w:t>
      </w:r>
      <w:r>
        <w:rPr>
          <w:rFonts w:ascii="arial" w:eastAsia="arial" w:hAnsi="arial" w:cs="arial"/>
          <w:b w:val="0"/>
          <w:i w:val="0"/>
          <w:strike w:val="0"/>
          <w:noProof w:val="0"/>
          <w:color w:val="000000"/>
          <w:position w:val="0"/>
          <w:sz w:val="24"/>
          <w:u w:val="single"/>
          <w:vertAlign w:val="baseline"/>
        </w:rPr>
        <w:t>shall be briefed</w:t>
      </w:r>
      <w:r>
        <w:rPr>
          <w:rFonts w:ascii="arial" w:eastAsia="arial" w:hAnsi="arial" w:cs="arial"/>
          <w:b w:val="0"/>
          <w:i w:val="0"/>
          <w:strike w:val="0"/>
          <w:noProof w:val="0"/>
          <w:color w:val="000000"/>
          <w:position w:val="0"/>
          <w:sz w:val="24"/>
          <w:u w:val="none"/>
          <w:vertAlign w:val="baseline"/>
        </w:rPr>
        <w:t xml:space="preserve"> by their Head of Division / Department. Furthermore, COW-2 in his email dated 8th March 2021 to the top management of the Company, including the Claimant, made the following remarks </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single"/>
          <w:vertAlign w:val="baseline"/>
        </w:rPr>
        <w:t>[w]e must continuously guide our people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to be hungrier for success,</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nurture them</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to create the most efficient cross-divisional / departmental synergy possible,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inculcate innovative thinking</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among them in solving issues and feel proud of good things they have achieved.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Unfortunately, I observed that these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characteristics are still lacking across the company</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If we continue working like this, we will not achieve much by mid-year and I can see myself walking into the Board Meeting with a same old style, stories and excuses.</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Then,</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single"/>
          <w:vertAlign w:val="baseline"/>
        </w:rPr>
        <w:t>the Board will decide whether all of us here deserve to be leaders in this organization or not</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The Company’s submission does not seem to be align with COW-2’s aspiration;</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furthermore, as confirmed by COW-2 the Company’s Memo dated 17th September 2020 has no relation to revenue generation but was in relation to the World Halal Conference 2020 where the Claimant had been appointed as the usherette and secretarial management. In this regard, the two tables purchased by the Claimant at the World Halal Conference 2020, using her own money, had no relation to the job scope of a General Manager of Halal Event Manager and cannot be regarded as revenue generating experience as COW-2 had sent an email dated 7th September 2020 stating that he would cancel the entire event if there were not enough table purchases; and</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this Court also finds that the “</w:t>
      </w:r>
      <w:r>
        <w:rPr>
          <w:rFonts w:ascii="arial" w:eastAsia="arial" w:hAnsi="arial" w:cs="arial"/>
          <w:b w:val="0"/>
          <w:i/>
          <w:strike w:val="0"/>
          <w:noProof w:val="0"/>
          <w:color w:val="000000"/>
          <w:position w:val="0"/>
          <w:sz w:val="24"/>
          <w:u w:val="none"/>
          <w:vertAlign w:val="baseline"/>
        </w:rPr>
        <w:t>job responsibilities</w:t>
      </w:r>
      <w:r>
        <w:rPr>
          <w:rFonts w:ascii="arial" w:eastAsia="arial" w:hAnsi="arial" w:cs="arial"/>
          <w:b w:val="0"/>
          <w:i w:val="0"/>
          <w:strike w:val="0"/>
          <w:noProof w:val="0"/>
          <w:color w:val="000000"/>
          <w:position w:val="0"/>
          <w:sz w:val="24"/>
          <w:u w:val="none"/>
          <w:vertAlign w:val="baseline"/>
        </w:rPr>
        <w:t>” performed by the Claimant was in actual fact her approval in relation to the travelling form and Covid-19 declaration form as well as the accommodation for the HDC Strategic Business Mission to Malacca involving one Faridah Mohd Ali and one Liza Anira Mohamed Noor; and</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based on the above observations, this Court finds that the Company had fundamentally breached the Claimant’s contract of employment, particularly the implied term of mutual trust and confidence as the Claimant had been given a role whereby if she fails to perform would have affected the Company and she would have been faulted for 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In addition to the above, this Court further makes the following observations and findings as regards the Claimant’s claim of constructive dismissal. This Court is in agreement with the Claimant’s submission that there was no undue delay in the Claimant walking out from her employment as evinced in the Claimant’s evidence-in- chief as follows –</w:t>
      </w:r>
      <w:r>
        <w:t>
</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read the email dated 8th March 2021 sent by COW-2 informing about the new organizational chart as well as the email dated 11th March 2021 from Human Capital Department regarding the new organization structure on 11th March 2021 as she was on annual leave from 8th March 2021 until 10th March 2021;</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went to the office on 12th March 2021 as she was working from home on 11th March 2021;</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12th March 2021 she spoke to her then superior and COW-2 expressing her disagreement on the transfer and she verbally protested the said transfer to her then superior. The Claimant’s evidence relating to this was not challenged by the Company through its witness COW-2;</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did not accept the letter of transfer nor did she collect the same even though she was instructed to do so. This was evident by the fact that she did not acknowledge receipt of the letter of transfer which was confirmed by COW - 2 during cross-examination;</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sent an email dated 24th March 2021 to COW-2 stating her disagreement to the transfer. Subsequent thereto, COW-2 replied vide email dated 29th March 2021; and</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following thereto, she sent an email and a letter by hand, both dated 30th March 2021 where she considered herself to be constructively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This Court also makes the following observations and findings as regards the Claimant’s claim of constructive dismissal –</w:t>
      </w:r>
      <w:r>
        <w:t>
</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her email dated 24th March 2021, the Claimant further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Another startling development is the new seating arrangement details that was sent to me through email dated 18 March 2021. In this new searing arrangement, I have been placed in a common seating area with other staff in a shared room, in my new position as General Manager, Halal Event Management, whereas the Assistant General Manager is placed in a private room with a closed door all to himself. This is a clear example of the company breaching the implied duty of mutual trust and confidence, by demeaning me in the eyes of my colleagues.</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As such, I hereby place on record my disagreement to this unilateral change, and humbly seek that I be reinstated to my original position as the General Manager of Human Capital, failing which, I shall have no option but to treat myself as constructively dismissed by the company</w:t>
      </w:r>
      <w:r>
        <w:rPr>
          <w:rFonts w:ascii="arial" w:eastAsia="arial" w:hAnsi="arial" w:cs="arial"/>
          <w:b w:val="0"/>
          <w:i w:val="0"/>
          <w:strike w:val="0"/>
          <w:noProof w:val="0"/>
          <w:color w:val="000000"/>
          <w:position w:val="0"/>
          <w:sz w:val="18"/>
          <w:u w:val="none"/>
          <w:vertAlign w:val="baseline"/>
        </w:rPr>
        <w:t>.”;</w:t>
      </w:r>
      <w:r>
        <w:t>
</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based on the Company’s new organization chart as enclosed to the Company’s email dated 11th March 2021, there is a post for the Head of Human Capital, Administration &amp; IT but was left vacant;</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seating arrangement, it is observed that the Claimant, in her new position as the General Manager of Halal Event Management, had been placed in a shared room with the Senior Manager of Halal Consultancy &amp; Advisory, one Mohd Dhaliff Ghaus Mohd Anuar. The Claimant further contends that whereas the Assistant General Manager of Halal Parks, one Fadli Mohd Ariff, is placed in a private room with a closed door all to himself. COW-2 in his email dated 29th March 2021 justified the seating arrangement as follows: </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placed in a shared room as it was nearest to her team members when previously the Claimant had also shared room with three (3) of her subordinates;</w:t>
      </w:r>
    </w:p>
    <w:p>
      <w:pPr>
        <w:keepNext w:val="0"/>
        <w:numPr>
          <w:numId w:val="4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Assistant General Manager, Halal Parks had since the beginning occupied the room and he was nearest to his team members;</w:t>
      </w:r>
    </w:p>
    <w:p>
      <w:pPr>
        <w:keepNext w:val="0"/>
        <w:numPr>
          <w:numId w:val="5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furnished the Claimant with a comfortable room and working space befitting her positon; and</w:t>
      </w:r>
    </w:p>
    <w:p>
      <w:pPr>
        <w:keepNext w:val="0"/>
        <w:numPr>
          <w:numId w:val="5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are other head of departments who are sitting inside a normal cubicle as the Company had limited room space; and</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relocation of the seating arrangement, this Court finds it quite puzzling why the said exercise did not include the relocation of the Assistant General Manager of Halal Parks. The Company could have easily relocated the seating arrangement of the Assistant General manager of Halal Parks by placing him in a shared room with the Senior Manager of Halal Consultancy &amp; Advisory. In this regard, the Claimant could have then been placed in the private room of the Assistant General Manager of Halal Parks. This seating arrangement would have been more “befitting” of the Claimant’s new position as the Claimant was the only employee with the post of a “General Manager” based on the Company’s new organization chart.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Pursuant to the abovementioned circumstances, this Court finds that Claimant has succeeded in proving on the balance of probabilities that she has been constructively dismissed and that the dismissal was due to an unjust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Bearing in mind subsection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acting according to equity and good conscience and the substantial merits of the case without regard to technicalities and legal form, this Court thus finds that the Claimant’s dismissal was without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This Court will now proceed to consider the appropriate remedy applicable to the Claimant. The Claimant prays that this Court she be reinstated to her former position without any loss of wages, allowance, service and seniority, privileges or benefits of any kind and/or such other alternative relief this Court deems fit and proper.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Based on the facts of this case, this Court views that reinstatement of the Claimant to his former position is not a suitable remedy and not in the interest of industrial harmony. Hence, the Court will not order reinstatement of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As such, the appropriate remedy in the circumstances of this case will be compensation in lieu of reinstatement. Thus, this Court orders that the Claimant be paid one month wages of the last drawn salary of RM16,207.00, for every year of service completed i.e. 4 years.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This Court further orders that the Claimant be paid compensation in the form of back wages. As there is no evidence of any post dismissal earnings or income of the Claimant in this case, this Court views 18 months back wages should be the appropriate sum to be awarded to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Therefore, based on the Claimant’s last drawn salary of RM16,207.00, the total amount of compensation in lieu of reinstatement and back wages payable to the Claimant is as follows:</w:t>
      </w:r>
      <w:r>
        <w:t>
</w:t>
      </w:r>
    </w:p>
    <w:p>
      <w:pPr>
        <w:keepNext w:val="0"/>
        <w:numPr>
          <w:numId w:val="5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Compensation in lieu of reinstatement RM16,207.00 x 4 months = RM64,828.00</w:t>
      </w:r>
    </w:p>
    <w:p>
      <w:pPr>
        <w:keepNext w:val="0"/>
        <w:numPr>
          <w:numId w:val="5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and</w:t>
      </w:r>
    </w:p>
    <w:p>
      <w:pPr>
        <w:keepNext w:val="0"/>
        <w:numPr>
          <w:numId w:val="5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Backwages</w:t>
      </w:r>
    </w:p>
    <w:p>
      <w:pPr>
        <w:keepNext w:val="0"/>
        <w:numPr>
          <w:numId w:val="5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RM16,207.00 x 18 months = RM291,726.00</w:t>
      </w:r>
    </w:p>
    <w:p>
      <w:pPr>
        <w:keepNext w:val="0"/>
        <w:numPr>
          <w:numId w:val="56"/>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TOTAL = RM356,554.00</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Order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This Court hereby orders that the Company pays the Claimant the total sum of </w:t>
      </w:r>
      <w:r>
        <w:rPr>
          <w:rFonts w:ascii="arial" w:eastAsia="arial" w:hAnsi="arial" w:cs="arial"/>
          <w:b/>
          <w:i w:val="0"/>
          <w:strike w:val="0"/>
          <w:noProof w:val="0"/>
          <w:color w:val="000000"/>
          <w:position w:val="0"/>
          <w:sz w:val="24"/>
          <w:u w:val="none"/>
          <w:vertAlign w:val="baseline"/>
        </w:rPr>
        <w:t>Ringgit Malaysia Three Hundred Fifty Six Thousand Five Hundred and Fifty Four (RM356,554.00)</w:t>
      </w:r>
      <w:r>
        <w:rPr>
          <w:rFonts w:ascii="arial" w:eastAsia="arial" w:hAnsi="arial" w:cs="arial"/>
          <w:b w:val="0"/>
          <w:i w:val="0"/>
          <w:strike w:val="0"/>
          <w:noProof w:val="0"/>
          <w:color w:val="000000"/>
          <w:position w:val="0"/>
          <w:sz w:val="24"/>
          <w:u w:val="none"/>
          <w:vertAlign w:val="baseline"/>
        </w:rPr>
        <w:t xml:space="preserve"> within 45 days from the date of this Award.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Jagdeep Kaur a/p Udham Singh v Halal Development Corporation Bhd  [2025] ILJU 312</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Letter"/>
      <w:lvlText w:val="(%1)"/>
      <w:lvlJc w:val="left"/>
      <w:pPr>
        <w:tabs>
          <w:tab w:val="num" w:pos="1120"/>
        </w:tabs>
        <w:ind w:left="112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2"/>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3"/>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4"/>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Jagdeep Kaur a/p Udham Singh v Halal Development Corporation Bhd  [2025] ILJU 312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JJ-1XJ3-MB8P-70JG-00000-00">
    <vt:lpwstr>Doc::/shared/document|contextualFeaturePermID::1522468</vt:lpwstr>
  </property>
  <property fmtid="{D5CDD505-2E9C-101B-9397-08002B2CF9AE}" pid="4" name="LNDeliveryID">
    <vt:lpwstr>286221705</vt:lpwstr>
  </property>
  <property fmtid="{D5CDD505-2E9C-101B-9397-08002B2CF9AE}" pid="5" name="UserPermID">
    <vt:lpwstr>urn:user:PA196491919</vt:lpwstr>
  </property>
</Properties>
</file>