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keepNext w:val="0"/>
        <w:spacing w:after="0" w:line="34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7" o:title=""/>
          </v:shape>
        </w:pict>
      </w:r>
      <w:r>
        <w:t xml:space="preserve">  </w:t>
      </w:r>
      <w:r>
        <w:t> </w:t>
      </w:r>
      <w:r>
        <w:rPr>
          <w:rFonts w:ascii="arial" w:eastAsia="arial" w:hAnsi="arial" w:cs="arial"/>
          <w:b w:val="0"/>
          <w:i w:val="0"/>
          <w:strike w:val="0"/>
          <w:noProof w:val="0"/>
          <w:color w:val="000000"/>
          <w:position w:val="0"/>
          <w:sz w:val="28"/>
          <w:u w:val="none"/>
          <w:vertAlign w:val="baseline"/>
        </w:rPr>
        <w:t xml:space="preserve">               KESATUAN PEKERJA-PEKERJA KERETAPI TANAH MELAYU BHD v MENTERI SUMBER MANUSIA &amp; ORS</w:t>
      </w:r>
    </w:p>
    <w:p>
      <w:pPr>
        <w:spacing w:line="240" w:lineRule="exact"/>
      </w:pPr>
    </w:p>
    <w:p>
      <w:pPr>
        <w:keepNext w:val="0"/>
        <w:spacing w:after="0" w:line="240" w:lineRule="atLeast"/>
        <w:ind w:right="0"/>
        <w:jc w:val="center"/>
      </w:pPr>
      <w:r>
        <w:rPr>
          <w:rFonts w:ascii="arial" w:eastAsia="arial" w:hAnsi="arial" w:cs="arial"/>
          <w:b/>
          <w:i w:val="0"/>
          <w:strike w:val="0"/>
          <w:noProof w:val="0"/>
          <w:color w:val="BE161D"/>
          <w:position w:val="0"/>
          <w:sz w:val="24"/>
          <w:u w:val="none"/>
          <w:vertAlign w:val="baseline"/>
        </w:rPr>
        <w:t>CaseAnalysis</w:t>
      </w:r>
      <w:r>
        <w:rPr>
          <w:rFonts w:ascii="arial" w:eastAsia="arial" w:hAnsi="arial" w:cs="arial"/>
          <w:b w:val="0"/>
          <w:i w:val="0"/>
          <w:strike w:val="0"/>
          <w:noProof w:val="0"/>
          <w:color w:val="000000"/>
          <w:position w:val="0"/>
          <w:sz w:val="24"/>
          <w:u w:val="none"/>
          <w:vertAlign w:val="baseline"/>
        </w:rPr>
        <w:t xml:space="preserve">                                                                                                                                                                                                                                                                                                                                                                                                                                                                                    </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[2021] MLJU 1166</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 xml:space="preserve">[2021] 5 MLJ 180                                                                  </w:t>
      </w:r>
      <w:r>
        <w:cr/>
      </w:r>
    </w:p>
    <w:p>
      <w:r>
        <w:pict>
          <v:line id="_x0000_s1026" style="position:absolute;z-index:251658240" from="0,2pt" to="512pt,2pt" strokecolor="gray">
            <v:stroke linestyle="single"/>
          </v:line>
        </w:pict>
      </w:r>
    </w:p>
    <w:p>
      <w:pPr>
        <w:pStyle w:val="Heading1"/>
        <w:keepNext w:val="0"/>
        <w:spacing w:before="0" w:after="60" w:line="340" w:lineRule="atLeast"/>
        <w:ind w:left="120" w:right="0" w:firstLine="0"/>
        <w:jc w:val="center"/>
      </w:pPr>
      <w:r>
        <w:br/>
      </w:r>
      <w:r>
        <w:pict>
          <v:shape id="_x0000_i1027" type="#_x0000_t75" style="width:12.75pt;height:12.75pt">
            <v:imagedata r:id="rId7" o:title=""/>
          </v:shape>
        </w:pict>
      </w:r>
      <w:r>
        <w:rPr>
          <w:rFonts w:ascii="arial" w:eastAsia="arial" w:hAnsi="arial" w:cs="arial"/>
          <w:b/>
          <w:i w:val="0"/>
          <w:strike w:val="0"/>
          <w:noProof w:val="0"/>
          <w:color w:val="0077CC"/>
          <w:position w:val="0"/>
          <w:sz w:val="28"/>
          <w:u w:val="none"/>
          <w:vertAlign w:val="baseline"/>
        </w:rPr>
        <w:t xml:space="preserve">               KESATUAN PEKERJA-PEKERJA KERETAPI TANAH MELAYU BHD v MENTERI SUMBER MANUSIA &amp; ORS</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 xml:space="preserve">                                                                                                                                                                                                                                                                                                                                                                                                                                                                                    [2021] MLJU 1166;                         [2021] 5 MLJ 180                                                                  </w:t>
      </w:r>
    </w:p>
    <w:p/>
    <w:p>
      <w:pPr>
        <w:spacing w:line="200" w:lineRule="exact"/>
      </w:pP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Court:</w:t>
      </w:r>
      <w:r>
        <w:rPr>
          <w:rFonts w:ascii="arial" w:eastAsia="arial" w:hAnsi="arial" w:cs="arial"/>
          <w:b w:val="0"/>
          <w:i w:val="0"/>
          <w:strike w:val="0"/>
          <w:noProof w:val="0"/>
          <w:color w:val="000000"/>
          <w:position w:val="0"/>
          <w:sz w:val="24"/>
          <w:u w:val="none"/>
          <w:vertAlign w:val="baseline"/>
        </w:rPr>
        <w:t> MALAYSIA COURT OF APPEAL</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Judges:</w:t>
      </w:r>
      <w:r>
        <w:rPr>
          <w:rFonts w:ascii="arial" w:eastAsia="arial" w:hAnsi="arial" w:cs="arial"/>
          <w:b w:val="0"/>
          <w:i w:val="0"/>
          <w:strike w:val="0"/>
          <w:noProof w:val="0"/>
          <w:color w:val="000000"/>
          <w:position w:val="0"/>
          <w:sz w:val="24"/>
          <w:u w:val="none"/>
          <w:vertAlign w:val="baseline"/>
        </w:rPr>
        <w:t xml:space="preserve">                   ABDUL KARIM, NOR BEE ARIFFIN AND GUNALAN MUNIANDY JJCA               </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Judgment Date:</w:t>
      </w:r>
      <w:r>
        <w:rPr>
          <w:rFonts w:ascii="arial" w:eastAsia="arial" w:hAnsi="arial" w:cs="arial"/>
          <w:b w:val="0"/>
          <w:i w:val="0"/>
          <w:strike w:val="0"/>
          <w:noProof w:val="0"/>
          <w:color w:val="000000"/>
          <w:position w:val="0"/>
          <w:sz w:val="24"/>
          <w:u w:val="none"/>
          <w:vertAlign w:val="baseline"/>
        </w:rPr>
        <w:t xml:space="preserve">                   7/7/2021               </w:t>
      </w:r>
    </w:p>
    <w:p>
      <w:pPr>
        <w:keepNext/>
        <w:spacing w:before="120" w:after="0" w:line="340" w:lineRule="atLeast"/>
        <w:ind w:left="0" w:right="0" w:firstLine="0"/>
        <w:jc w:val="left"/>
      </w:pPr>
      <w:bookmarkStart w:id="0" w:name="Catchwords &amp; Digest"/>
      <w:bookmarkEnd w:id="0"/>
      <w:r>
        <w:rPr>
          <w:rFonts w:ascii="arial" w:eastAsia="arial" w:hAnsi="arial" w:cs="arial"/>
          <w:b/>
          <w:i w:val="0"/>
          <w:strike w:val="0"/>
          <w:noProof w:val="0"/>
          <w:color w:val="000000"/>
          <w:position w:val="0"/>
          <w:sz w:val="28"/>
          <w:u w:val="none"/>
          <w:vertAlign w:val="baseline"/>
        </w:rPr>
        <w:t>Catchwords &amp; Digest</w:t>
      </w:r>
    </w:p>
    <w:p>
      <w:pPr>
        <w:spacing w:line="60" w:lineRule="exact"/>
      </w:pPr>
      <w:r>
        <w:pict>
          <v:line id="_x0000_s1028" style="position:absolute;z-index:251659264" from="0,2pt" to="512pt,2pt" strokecolor="#009ddb" strokeweight="2pt">
            <v:stroke linestyle="single"/>
          </v:line>
        </w:pict>
      </w:r>
    </w:p>
    <w:p>
      <w:pPr>
        <w:spacing w:line="240" w:lineRule="exact"/>
      </w:pPr>
    </w:p>
    <w:p>
      <w:pPr>
        <w:keepNext w:val="0"/>
        <w:pBdr>
          <w:top w:val="single" w:sz="8" w:space="5" w:color="DCDCDC"/>
          <w:left w:val="single" w:sz="8" w:space="2" w:color="DCDCDC"/>
          <w:right w:val="single" w:sz="8" w:space="2" w:color="DCDCDC"/>
        </w:pBdr>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 xml:space="preserve">Administrative Law — Rules of natural justice — Right to be heard — Human Resources Minister granted recognition to newly-registered trade union to represent train drivers already represented by appellant — Appellant was not consulted or heard before Minister granted the recognition (‘decision’) — Whether Minister’s decision was invalid for breaching rules of natural justice as decision caused appellant to lose sizeable number of its members to the new trade union — Whether appellant’s legitimate expectation to be consulted or heard was also breached — Whether High Court was wrong to find Minister’s decision was valid on the basis s 9 of the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did not require appellant to be consulted or heard before recognition was granted — Whether High Court’s verdict had to be set aside and Minister’s decision quashed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Held</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unanimously allowing the appeal, setting aside the High Court’s decision and quashing the impugned decisions:</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impugned decisions of the first and third respondents to accord recognition to R4 were flawed in law for breach of established principles/rules of natural justice and administrative law that were guaranteed by the Federal Constitution (see para 93).                  </w:t>
      </w:r>
      <w:r>
        <w:rPr>
          <w:rFonts w:ascii="arial" w:eastAsia="arial" w:hAnsi="arial" w:cs="arial"/>
          <w:b w:val="0"/>
          <w:i w:val="0"/>
          <w:strike w:val="0"/>
          <w:noProof w:val="0"/>
          <w:color w:val="000000"/>
          <w:position w:val="0"/>
          <w:sz w:val="24"/>
          <w:u w:val="none"/>
          <w:vertAlign w:val="baseline"/>
        </w:rPr>
        <w:t xml:space="preserve">                  </w:t>
      </w:r>
    </w:p>
    <w:p>
      <w:pPr>
        <w:keepNext w:val="0"/>
        <w:numPr>
          <w:numId w:val="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erred in holding that as the third respondent had complied with s 12 of the TUA with regard to R4’s application for registration as a trade union, there was no requirement under s 9 of the IRA for the appellant to be consulted before recognition was accorded to R4. This was a fundamental error inconsistent with basic principles of natural justice which required a right to be heard to be granted to the appellant as the sole or umbrella union vested with the right to represent non-executive employees of KTMB in service negotiations with the latter. Parties who were likely to be adversely affected by the decision of a person or body exercising statutory or administrative powers were entitled as of right to be heard before the decision was made (see paras 53 &amp; 93).                  </w:t>
      </w:r>
      <w:r>
        <w:rPr>
          <w:rFonts w:ascii="arial" w:eastAsia="arial" w:hAnsi="arial" w:cs="arial"/>
          <w:b w:val="0"/>
          <w:i w:val="0"/>
          <w:strike w:val="0"/>
          <w:noProof w:val="0"/>
          <w:color w:val="000000"/>
          <w:position w:val="0"/>
          <w:sz w:val="24"/>
          <w:u w:val="none"/>
          <w:vertAlign w:val="baseline"/>
        </w:rPr>
        <w:t xml:space="preserve">                  </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first and third respondents acted in violation of the appellant’s legitimate expectation to be consulted and to be given an opportunity to make representations and/or to participate in the recognition process for R4 before any decision was made that ultimately affected the rights of the employees represented by the appellant. The doctrine of legitimate expectation was a creature of common law and was entrenched in the Federal Constitution. It did not depend on any legislative basis but applied as a matter of course where constitutional rights were affected (see paras 69 &amp; 94).                  </w:t>
      </w:r>
      <w:r>
        <w:rPr>
          <w:rFonts w:ascii="arial" w:eastAsia="arial" w:hAnsi="arial" w:cs="arial"/>
          <w:b w:val="0"/>
          <w:i w:val="0"/>
          <w:strike w:val="0"/>
          <w:noProof w:val="0"/>
          <w:color w:val="000000"/>
          <w:position w:val="0"/>
          <w:sz w:val="24"/>
          <w:u w:val="none"/>
          <w:vertAlign w:val="baseline"/>
        </w:rPr>
        <w:t xml:space="preserve">                  </w:t>
      </w:r>
    </w:p>
    <w:p>
      <w:pPr>
        <w:keepNext w:val="0"/>
        <w:numPr>
          <w:numId w:val="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erred in viewing the recognition process of a trade union under the IRA in isolation from its registration process under the TUA and failed to appreciate the inextricable link between the two processes notwithstanding that each process was governed by a different legislation. The registration of a trade union was antecedent to an application for its recognition and the two processes were inextricably linked. The consultation process under s 12(2) of the TUA was not a mere mechanical or administrative process but a mandatory investigative procedure. The High Court had overlooked the spirit and objects of the IRA and the TUA. Both were social legislation aimed at creating industrial harmony. In exercising their powers, the first and second respondents had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accordance with the objects of the two legislations as intended by Parliament. It was mandatory on the part of the first respondent to have considered the wider interests of all KTMB locomotive drivers as to whether or not they would be better represented by the appellant or by R4. The decision to accord recognition had far-reaching implications since it was the giving of recognition under s 9 of the IRA that rendered a trade union’s registration under s 12 of the TUA effective (see paras 48, 75–76 &amp; 81–80).                  </w:t>
      </w:r>
      <w:r>
        <w:rPr>
          <w:rFonts w:ascii="arial" w:eastAsia="arial" w:hAnsi="arial" w:cs="arial"/>
          <w:b w:val="0"/>
          <w:i w:val="0"/>
          <w:strike w:val="0"/>
          <w:noProof w:val="0"/>
          <w:color w:val="000000"/>
          <w:position w:val="0"/>
          <w:sz w:val="24"/>
          <w:u w:val="none"/>
          <w:vertAlign w:val="baseline"/>
        </w:rPr>
        <w:t xml:space="preserve">                  </w:t>
      </w:r>
    </w:p>
    <w:p>
      <w:pPr>
        <w:keepNext w:val="0"/>
        <w:numPr>
          <w:numId w:val="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Both the registration and the recognition processes under the TUA and the IRA, respectively, undeniably affected the interests of workmen in the same industry. Hence, the need to accord the right to be heard to the existing union should apply equally to both the registration and recognition processes. It could not logically apply to one and not the other as it could result in a procedural vacuum inconsistent with the legislative intent of the two said Acts and could lead to consequences unintended by the Legislature (see para 51).                  </w:t>
      </w:r>
      <w:r>
        <w:rPr>
          <w:rFonts w:ascii="arial" w:eastAsia="arial" w:hAnsi="arial" w:cs="arial"/>
          <w:b w:val="0"/>
          <w:i w:val="0"/>
          <w:strike w:val="0"/>
          <w:noProof w:val="0"/>
          <w:color w:val="000000"/>
          <w:position w:val="0"/>
          <w:sz w:val="24"/>
          <w:u w:val="none"/>
          <w:vertAlign w:val="baseline"/>
        </w:rPr>
        <w:t xml:space="preserve">               </w:t>
      </w:r>
    </w:p>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Summary :</w:t>
      </w:r>
      <w:r>
        <w:rPr>
          <w:rFonts w:ascii="arial" w:eastAsia="arial" w:hAnsi="arial" w:cs="arial"/>
          <w:b w:val="0"/>
          <w:i w:val="0"/>
          <w:strike w:val="0"/>
          <w:noProof w:val="0"/>
          <w:color w:val="000000"/>
          <w:position w:val="0"/>
          <w:sz w:val="24"/>
          <w:u w:val="none"/>
          <w:vertAlign w:val="baseline"/>
        </w:rPr>
        <w:t xml:space="preserve">               </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appellant was, since 1961, a trade union of workmen in different job functions employed in Keretapi Tanah Melayu Bhd (‘KTMB’). By way of a judicial review (‘JR’) application, the appellant sought to, inter alia, quash the decision of the first respondent (‘R1’) to accord recognition to the fourth respondent (‘R4’) to represent non-executive train drivers in KTMB who had been members of the appellant. R1’s decision to accord recognition was made pursuant to his powers under s 9(5)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IRA’) after a secret ballot carried out earlier under the IRA revealed that 85.58% of train drivers in KTMB had become members of R4. Apart from an order of certiorari, the appellant also sought to declare R1’s decision as void for breaching the principles of natural justice as enshrined in arts 5 and 8 of the Federal Constitution. The appellant’s complaint was that since it had for decades represented all non-executive employees in KTMB, including the train drivers, natural justice and the doctrine of legitimate expectation demanded that it should have been consulted or heard before recognition was accorded to R4 since the appellant stood to lose a significant number of its members to R4. The High Court dismissed the JR application, inter alia, on the ground that s 9 of the IRA, under which the recognition was accorded, did not require the appellant to be consulted or heard. The court was of the view that an existing trade union’s right to be heard or consulted only applied when a new trade union, seeking to represent the same class of workmen that the existing union represented, sought registration under s 12(2) of the Trade Unions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1959  (‘the TUA’). The court held that since s 9 of the IRA did not state that an existing trade union had to be consulted, the appellant could not claim that it had a legitimate expectation to be consulted or heard before recognition was accorded to R4. In the instant appeal against the High Court’s decision, apart from revisiting its arguments concerning the principles of natural justice and the doctrine of legitimate expectation, the appellant submitted that the High Court erred in reading s 9 of the IRA in isolation. The appellant submitted that provisions concerning a trade union’s recognition under the IRA and registration under the TUA were intertwined and had to be read together since both processes required the respective authorities under the IRA and the TUA to be satisfied, based on evidence and consultation with other players in an industry, that it was necessary to have another trade union to represent the same class of workmen who were already represented by an existing trade union.</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1" w:name="Cases considered by this case"/>
      <w:bookmarkEnd w:id="1"/>
      <w:r>
        <w:rPr>
          <w:rFonts w:ascii="arial" w:eastAsia="arial" w:hAnsi="arial" w:cs="arial"/>
          <w:b/>
          <w:i w:val="0"/>
          <w:strike w:val="0"/>
          <w:noProof w:val="0"/>
          <w:color w:val="000000"/>
          <w:position w:val="0"/>
          <w:sz w:val="28"/>
          <w:u w:val="none"/>
          <w:vertAlign w:val="baseline"/>
        </w:rPr>
        <w:t>Cases considered by this case</w:t>
      </w:r>
    </w:p>
    <w:p>
      <w:pPr>
        <w:spacing w:line="60" w:lineRule="exact"/>
      </w:pPr>
      <w:r>
        <w:pict>
          <v:line id="_x0000_s1029" style="position:absolute;z-index:251660288" from="0,2pt" to="512pt,2pt" strokecolor="#009ddb" strokeweight="2pt">
            <v:stroke linestyle="single"/>
          </v:line>
        </w:pict>
      </w:r>
    </w:p>
    <w:p>
      <w:pPr>
        <w:spacing w:line="240" w:lineRule="exact"/>
      </w:pP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0"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FEDERAL AUTO CARS SON. BHD v KETUA PENGARAH KASTAM DIRAJA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1 LNS 1277;                               [2019] MLJU 932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27/5/2019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1"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KESATUAN PEKERJA- PEKERJA BUKAN EKSEKUTIF MAYBANK BHD v KESATUAN KEBANGSAAN PEKERJA- PEKERJA BANK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[2017] 4 CLJ 265;                               [2018] 2 MLJ 590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10/3/2017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2"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HOTEL SENTRAL (JB) SDN BHD v PENGARAH TANAH DAN GALIAN NEGERI JOHOR, MALAYSIA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[2017] 6 CLJ 161;                               [2017] 5 MLJ 116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15/12/2016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3"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NATIONAL UNION OF BANK EMPLOYEES v DIRECTOR GENERAL OF TRADE UNIONS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[2015] 10 CLJ 62;                               [2015] 1 MLJ 881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17/9/2013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4"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PENDAFTAR PERTUBUHAN v DATUK JUSTIN JINGGUT V REGISTRAR OF SOCIETIES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[2013] 2 AMR 310;                               [2013] 2 CLJ 362;                               [2013] 3 MLJ 16;                               [2013] MLJU 138;                               [2013] 2 MLRA 611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17/1/2013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5"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YUSOF BIN SUDIN v SURUHANJAYA PERKHIDMATAN POLIS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[2011] 5 AMR 688;                               [2012] 1 CLJ 448;                               [2011] 5 MLJ 465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B9C00"/>
                <w:vertAlign w:val="baseline"/>
              </w:rPr>
              <w:t>(folld)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11/7/2011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6"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ROBIN TAN PANG HENG @ MUHAMMAD RIZAL BIN ABDULLAH (SUING AS PUBLIC OFFICER AT PENANG TURF CLUB) v KETUA PENGARAH KESATUAN SEKERJA MALAYSIA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[2010] 9 CLJ 505;                               [2011] 2 MLJ 457;                               [2010] MLJU 1347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1/9/2010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7"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DARAHMAN BIN IBRAHIM &amp; ORS v MAJLIS MESYUARAT KERAJAAN NEGERI PERLIS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[2008] 4 MLJ 309;                               [2008] MLJU 253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9/6/2008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8"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MARULEE (M) SDN BHD v MENTERI SUMBER MANUSIA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[2007] 6 MLJ 222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26/6/2007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9"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KESATUAN PEGAWAI-PEGAWAI BUMIPUTRA-COMMERCE BANK BHD (KEPAK BUMI-COMMERCE) v ASSOCIATION OF BANK OFFICERS, PENINSULAR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[2007] 1 MLJ 37;                               [2006] MLJU 432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6/3/2006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0"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ASSOCIATION OF BANK OFFICERS, PENINSULAR MALAYSIA v KETUA PENGARAH KESATUAN SEKERJA, MALAYSIA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[2004] 7 MLJ 109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24/7/2004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1"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SYARIKAT KENDERAAN MELAYU KELANTAN v TRANSPORT WORKERS UNION</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[1995] 2 CLJ 748;                               [1995] 2 MLJ 317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8/5/1995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2"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MINISTER OF LABOUR, MALAYSIA v CHAN MENG YUEN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[1992] 2 MLJ 337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24/7/1992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3"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MINISTER OF LABOUR MALAYSIA v LIE SENG FATT</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[1990] 2 MLJ 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3/3/1990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4"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PERSATUAN PEGAWAI-PEGAWAI BANK SEMENANJUNG MALAYSIA v MINISTER OF LABOUR, MALAYSIA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[1989] 1 CLJ_(Rep) 124;                               [1989] 1 MLJ 30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25/11/1988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5"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S. KULASINGAM &amp; ANOR. v COMMISSIONER OF LANDS FEDERAL TERRITORY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[1982] 1 MLJ 204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E98310"/>
                <w:vertAlign w:val="baseline"/>
              </w:rPr>
              <w:t>(distd)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1/11/1982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6"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MERDEKA UNIVERSITY BHD. v GOVERNMENT OF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2 MLJ 356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7/11/1981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MYOCJ</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7"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PAHANG SOUTH UNION OMNIBUS CO BHD v MINISTER OF LABOUR AND MANPOWER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2 MLJ 199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29/6/1981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8"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SALEMI v MACKELLAR (NO. 2)</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[1977] 51 ALJR 538;                               [1977] 14 ALR 1;                               [1977] 137 CLR 396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11/5/1977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HCA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9"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ANISMINIC LTD v FOREIGN COMPENSATION COMMISSION &amp; ANOR</w:t>
            </w:r>
            <w:r>
              <w:br/>
            </w:r>
          </w:p>
          <w:p>
            <w:pPr>
              <w:keepNext w:val="0"/>
              <w:spacing w:after="20" w:line="24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val="0"/>
                  <w:strike w:val="0"/>
                  <w:noProof w:val="0"/>
                  <w:color w:val="0077CC"/>
                  <w:position w:val="0"/>
                  <w:sz w:val="18"/>
                  <w:u w:val="single"/>
                  <w:shd w:val="clear" w:color="auto" w:fill="FFFFFF"/>
                  <w:vertAlign w:val="baseline"/>
                </w:rPr>
                <w:t>[1969] 2 AC 304</w:t>
              </w:r>
            </w:hyperlink>
            <w:r>
              <w:t xml:space="preserve"> </w:t>
            </w:r>
            <w:r>
              <w:pict>
                <v:shape id="_x0000_i1050" type="#_x0000_t75" style="width:11pt;height:10pt">
                  <v:imagedata r:id="rId12" o:title=""/>
                </v:shape>
              </w:pict>
            </w:r>
            <w:r>
              <w:rPr>
                <w:rFonts w:ascii="arial" w:eastAsia="arial" w:hAnsi="arial" w:cs="arial"/>
                <w:b w:val="0"/>
                <w:i w:val="0"/>
                <w:strike w:val="0"/>
                <w:noProof w:val="0"/>
                <w:color w:val="000000"/>
                <w:position w:val="0"/>
                <w:sz w:val="18"/>
                <w:u w:val="none"/>
                <w:vertAlign w:val="baseline"/>
              </w:rPr>
              <w:t xml:space="preserve">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1"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ATTORNEY-GENERAL OF HONG KONG v NG YUEN SHIU</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[1983] 2 AC 629;                               [1983] 2 All ER 346;                               [1983] 2 WLR 735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2"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BRETTINGHAM-MOORE v MUNICIPALITY OF ST LEONARDS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[1969] 43 ALJR 343;                               [1969] 121 CLR 509;                               [1969] 20 LGRA 299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3"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COOPER v WANDSWORTH BOARD OF WORKS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[1861] All ER Rep Ext 1554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4"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DELHI TRANSPORT CORPORATION v D.T.C. MAZDOOR CONGRESS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[1991] Supp. 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5"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DOODY v SECRETARY OF STATE FOR THE HOME DEPARTMENT; AND OTHER APPEALS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[1994] 1 AC 531;                               [1993] 3 All ER 92;                               [1993] 3 WLR 154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6"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ENGLISH COURT OF APPEAL IN REGINA v RAYMOND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2 All ER 246;                               [1981] 3 WLR 660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7" type="#_x0000_t75" style="width:12.75pt;height:12.75pt">
                  <v:imagedata r:id="rId9" o:title=""/>
                </v:shape>
              </w:pict>
            </w:r>
            <w:r>
              <w:t xml:space="preserve">  </w:t>
            </w:r>
            <w:r>
              <w:rPr>
                <w:rFonts w:ascii="arial" w:eastAsia="arial" w:hAnsi="arial" w:cs="arial"/>
                <w:b/>
                <w:i w:val="0"/>
                <w:strike w:val="0"/>
                <w:noProof w:val="0"/>
                <w:color w:val="000000"/>
                <w:position w:val="0"/>
                <w:sz w:val="28"/>
                <w:u w:val="none"/>
                <w:vertAlign w:val="baseline"/>
              </w:rPr>
              <w:t>FURNELL v WHANGAREI HIGH SCHOOL BOARD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[1973] AC 660;                               [1973] 1 All ER 400;                               [1973] 2 NZLR 705;                               [1973] 2 WLR 92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8"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MERDEKA UNIVERSITY BHD. v GOVERNMENT OF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CLJ Rep 191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9"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MUKTA BEN &amp; ANOR. v SUVA CITY COUNCIL</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[1980] 1 WLR 767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0"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NORTH EAST PLANTATIONS SDN BHD v PENTADBIR TANAH DAERAH DUNGUN &amp; SATU LAGI</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[2011] 4 CLJ 729;                               [2018] Supp_MLJ 293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1" type="#_x0000_t75" style="width:14.25pt;height:14.25pt">
                  <v:imagedata r:id="rId10" o:title=""/>
                </v:shape>
              </w:pict>
            </w:r>
            <w:r>
              <w:t xml:space="preserve">  </w:t>
            </w:r>
            <w:r>
              <w:rPr>
                <w:rFonts w:ascii="arial" w:eastAsia="arial" w:hAnsi="arial" w:cs="arial"/>
                <w:b/>
                <w:i w:val="0"/>
                <w:strike w:val="0"/>
                <w:noProof w:val="0"/>
                <w:color w:val="000000"/>
                <w:position w:val="0"/>
                <w:sz w:val="28"/>
                <w:u w:val="none"/>
                <w:vertAlign w:val="baseline"/>
              </w:rPr>
              <w:t>ONG AH CHUAN v PUBLIC PROSECUTOR; KOH CHAI CHENG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1 MLJ 64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2"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PAHANG SOUTH UNION OMNIBUS CO. BHD. v MINISTER OF LABOUR AND MANPOWER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[1981] CLJ Rep 74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3"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PERSATUAN PEGAWAI-PEGAWAI BANK SEMENANJUNG MALAYSIA v MINISTER OF LABOUR, MALAYSIA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[1989] 1 CLJ Rep 124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4"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R v COMMR. OF RACIAL EQUALITY, EX P HILLINGDON LONDON BOROUGH COUNCIL</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[1982] AC 779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5"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RE HK (AN INFANT)</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[1967] 1 All ER 226;                               [1967] 2 QB 617;                               [1967] 2 WLR 962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right w:val="nil"/>
            </w:tcBorders>
            <w:tcMar>
              <w:top w:w="100" w:type="dxa"/>
              <w:bottom w:w="100" w:type="dxa"/>
            </w:tcMar>
            <w:vAlign w:val="top"/>
          </w:tcPr>
          <w:p>
            <w:pPr>
              <w:keepNext w:val="0"/>
              <w:spacing w:after="60" w:line="340" w:lineRule="atLeast"/>
              <w:ind w:left="0" w:right="0"/>
              <w:jc w:val="left"/>
            </w:pPr>
            <w:r>
              <w:pict>
                <v:shape id="_x0000_i1066"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TAN TECK SENG v SURUHANJAYA PERKHIDMATAN PENDIDIKAN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[1996] 2 CLJ 771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bl>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2" w:name="Legislation considered by this case"/>
      <w:bookmarkEnd w:id="2"/>
      <w:r>
        <w:rPr>
          <w:rFonts w:ascii="arial" w:eastAsia="arial" w:hAnsi="arial" w:cs="arial"/>
          <w:b/>
          <w:i w:val="0"/>
          <w:strike w:val="0"/>
          <w:noProof w:val="0"/>
          <w:color w:val="000000"/>
          <w:position w:val="0"/>
          <w:sz w:val="28"/>
          <w:u w:val="none"/>
          <w:vertAlign w:val="baseline"/>
        </w:rPr>
        <w:t>Legislation considered by this case</w:t>
      </w:r>
    </w:p>
    <w:p>
      <w:pPr>
        <w:spacing w:line="60" w:lineRule="exact"/>
      </w:pPr>
      <w:r>
        <w:pict>
          <v:line id="_x0000_s1067" style="position:absolute;z-index:251661312" from="0,2pt" to="512pt,2pt" strokecolor="#009ddb" strokeweight="2pt">
            <v:stroke linestyle="single"/>
          </v:line>
        </w:pict>
      </w:r>
    </w:p>
    <w:p>
      <w:pPr>
        <w:spacing w:line="240" w:lineRule="exact"/>
      </w:pP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6274"/>
        <w:gridCol w:w="4182"/>
      </w:tblGrid>
      <w:tr>
        <w:tblPrEx>
          <w:tblW w:w="5000" w:type="pct"/>
          <w:tblLayout w:type="fixed"/>
        </w:tblPrEx>
        <w:trPr>
          <w:tblHeader/>
        </w:trPr>
        <w:tc>
          <w:tcPr>
            <w:tcW w:w="6144"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Legislation Name &amp; Jurisdiction</w:t>
            </w:r>
          </w:p>
        </w:tc>
        <w:tc>
          <w:tcPr>
            <w:tcW w:w="4096"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Provisions</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Federal Constitution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arts 5, 8, 13</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9</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Industrial Relations Regulations 2009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 7(1)</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Trade Unions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1959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 12, 15</w:t>
            </w:r>
          </w:p>
        </w:tc>
      </w:tr>
      <w:tr>
        <w:tblPrEx>
          <w:tblW w:w="5000" w:type="pct"/>
          <w:tblLayout w:type="fixed"/>
        </w:tblPrEx>
        <w:tc>
          <w:tcPr>
            <w:tcW w:w="614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TUA 1959                                                                                                               </w:t>
            </w:r>
          </w:p>
        </w:tc>
        <w:tc>
          <w:tcPr>
            <w:tcW w:w="4096"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12(2)</w:t>
            </w:r>
          </w:p>
        </w:tc>
      </w:tr>
    </w:tbl>
    <w:p/>
    <w:p>
      <w:pPr>
        <w:ind w:left="200"/>
      </w:pPr>
      <w:r>
        <w:br/>
      </w:r>
      <w:r>
        <w:pict>
          <v:line id="_x0000_s106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 xml:space="preserve">               KESATUAN PEKERJA-PEKERJA KERETAPI TANAH MELAYU BHD v MENTERI SUMBER MANUSIA &amp; ORS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hyperlink" Target="https://iclr.co.uk/pubrefLookup/redirectTo?ref=1969+2+AC+304" TargetMode="External" /><Relationship Id="rId12" Type="http://schemas.openxmlformats.org/officeDocument/2006/relationships/image" Target="media/image5.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KESATUAN PEKERJA-PEKERJA KERETAPI TANAH MELAYU BHD v MENTERI SUMBER MANUSIA &amp; 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36M-J9S1-JG02-S1KF-00000-00">
    <vt:lpwstr>Doc::/shared/document|contextualFeaturePermID::1522468</vt:lpwstr>
  </property>
  <property fmtid="{D5CDD505-2E9C-101B-9397-08002B2CF9AE}" pid="4" name="LNDeliveryID">
    <vt:lpwstr>286221656</vt:lpwstr>
  </property>
  <property fmtid="{D5CDD505-2E9C-101B-9397-08002B2CF9AE}" pid="5" name="UserPermID">
    <vt:lpwstr>urn:user:PA196491919</vt:lpwstr>
  </property>
</Properties>
</file>