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Kenny Bernard Saw v Aumada Energy &amp; Technologies (M) Sdn Bhd  [2024] ILJU 150</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NUR FAUZAH MOKHTAR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495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3 April 2024</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Puthan Perumal (with Nicholas Ch’ng Khong Aun) (Chai &amp; Partners)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Devan a/l Narayanan Raman (Devan &amp; Assoc)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53"/>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Nur Fauzah Mokhtar C"/>
            <w:bookmarkEnd w:id="1"/>
            <w:r>
              <w:rPr>
                <w:rFonts w:ascii="arial" w:eastAsia="arial" w:hAnsi="arial" w:cs="arial"/>
                <w:b/>
                <w:i w:val="0"/>
                <w:strike w:val="0"/>
                <w:noProof w:val="0"/>
                <w:color w:val="000000"/>
                <w:position w:val="0"/>
                <w:sz w:val="30"/>
                <w:u w:val="none"/>
                <w:vertAlign w:val="baseline"/>
              </w:rPr>
              <w:t>Nur Fauzah Mokhtar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single"/>
          <w:vertAlign w:val="baseline"/>
        </w:rPr>
        <w:t>REFERENCE</w:t>
      </w:r>
      <w:r>
        <w:rPr>
          <w:rFonts w:ascii="arial" w:eastAsia="arial" w:hAnsi="arial" w:cs="arial"/>
          <w:b/>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xml:space="preserve">  This is a reference from the Director General for Industrial Relations to the Industrial Court of Malaysia under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in respect of the dismissal of </w:t>
      </w:r>
      <w:r>
        <w:rPr>
          <w:rFonts w:ascii="arial" w:eastAsia="arial" w:hAnsi="arial" w:cs="arial"/>
          <w:b/>
          <w:i w:val="0"/>
          <w:strike w:val="0"/>
          <w:noProof w:val="0"/>
          <w:color w:val="000000"/>
          <w:position w:val="0"/>
          <w:sz w:val="24"/>
          <w:u w:val="none"/>
          <w:vertAlign w:val="baseline"/>
        </w:rPr>
        <w:t>KENNY BERNARD SAW</w:t>
      </w:r>
      <w:r>
        <w:rPr>
          <w:rFonts w:ascii="arial" w:eastAsia="arial" w:hAnsi="arial" w:cs="arial"/>
          <w:b w:val="0"/>
          <w:i w:val="0"/>
          <w:strike w:val="0"/>
          <w:noProof w:val="0"/>
          <w:color w:val="000000"/>
          <w:position w:val="0"/>
          <w:sz w:val="24"/>
          <w:u w:val="none"/>
          <w:vertAlign w:val="baseline"/>
        </w:rPr>
        <w:t xml:space="preserve"> (“the Claimant”) by </w:t>
      </w:r>
      <w:r>
        <w:rPr>
          <w:rFonts w:ascii="arial" w:eastAsia="arial" w:hAnsi="arial" w:cs="arial"/>
          <w:b/>
          <w:i w:val="0"/>
          <w:strike w:val="0"/>
          <w:noProof w:val="0"/>
          <w:color w:val="000000"/>
          <w:position w:val="0"/>
          <w:sz w:val="24"/>
          <w:u w:val="none"/>
          <w:vertAlign w:val="baseline"/>
        </w:rPr>
        <w:t>AUMADA ENERGY &amp; TECHNOLOGIES (M) SDN. BHD.</w:t>
      </w:r>
      <w:r>
        <w:rPr>
          <w:rFonts w:ascii="arial" w:eastAsia="arial" w:hAnsi="arial" w:cs="arial"/>
          <w:b w:val="0"/>
          <w:i w:val="0"/>
          <w:strike w:val="0"/>
          <w:noProof w:val="0"/>
          <w:color w:val="000000"/>
          <w:position w:val="0"/>
          <w:sz w:val="24"/>
          <w:u w:val="none"/>
          <w:vertAlign w:val="baseline"/>
        </w:rPr>
        <w:t xml:space="preserve"> (“the Company”) on </w:t>
      </w:r>
      <w:r>
        <w:rPr>
          <w:rFonts w:ascii="arial" w:eastAsia="arial" w:hAnsi="arial" w:cs="arial"/>
          <w:b/>
          <w:i w:val="0"/>
          <w:strike w:val="0"/>
          <w:noProof w:val="0"/>
          <w:color w:val="000000"/>
          <w:position w:val="0"/>
          <w:sz w:val="24"/>
          <w:u w:val="none"/>
          <w:vertAlign w:val="baseline"/>
        </w:rPr>
        <w:t>30th July 2021</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This matter was initially fixed for hearing on 6 th November 2021, 7th November 2021, 23rd November 2021 and 24th November 2021. When this Court proceeded to hear the case on 6th November 2021 the parties were able to conclude the proceedings on the same day.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In handing down this Award the following were considered by the Court:</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record of proceedings;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notes of proceedings;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Witness Statement and the Company’s Witness Statement;</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dated 12th May 2022;</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in Reply dated 26th May 2022;</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Bundles of Documents marked as CLB1;</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Bundles of Documents marked as COB1;</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Written Submissions dated 5th December 2023;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Submissions received by this Court on 3rd January 2024;</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Written Submissions in Reply dated 2nd January 2024; and</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Submissions in Reply received by this Court on 3rd January 2024.</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The Company called one (1) witness i.e. Peter Christen Jakobsen (“COWS-1”). Whilst the Claimant gave evidence on his own behalf.</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Background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Based on the pleadings and bundles of documents, this Court takes note of the following –</w:t>
      </w:r>
      <w:r>
        <w:t>
</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commenced his employment with the Company on 23rd October 2002 as a Sales Executive with a starting basic salary of RM1,100.00 per month as well as car allowance of RM300.00 per month and hand phone allowance of RM100.00 per month. These monetary payments as well as other terms and conditions of the Claimant’s employment were stipulated in the letter of appointment dated 23rd October 2002;</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based on the terms and conditions of employment as stipulated in the letter of appointment dated 23rd October 2002, the Claimant,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was also required to undergo a probation period of three (3) months and “</w:t>
      </w:r>
      <w:r>
        <w:rPr>
          <w:rFonts w:ascii="arial" w:eastAsia="arial" w:hAnsi="arial" w:cs="arial"/>
          <w:b w:val="0"/>
          <w:i/>
          <w:strike w:val="0"/>
          <w:noProof w:val="0"/>
          <w:color w:val="000000"/>
          <w:position w:val="0"/>
          <w:sz w:val="24"/>
          <w:u w:val="none"/>
          <w:vertAlign w:val="baseline"/>
        </w:rPr>
        <w:t>…will be paid a commission of the sales generated under the guidelines from the management…</w:t>
      </w:r>
      <w:r>
        <w:rPr>
          <w:rFonts w:ascii="arial" w:eastAsia="arial" w:hAnsi="arial" w:cs="arial"/>
          <w:b w:val="0"/>
          <w:i w:val="0"/>
          <w:strike w:val="0"/>
          <w:noProof w:val="0"/>
          <w:color w:val="000000"/>
          <w:position w:val="0"/>
          <w:sz w:val="24"/>
          <w:u w:val="none"/>
          <w:vertAlign w:val="baseline"/>
        </w:rPr>
        <w:t>”;</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per the </w:t>
      </w:r>
      <w:r>
        <w:rPr>
          <w:rFonts w:ascii="arial" w:eastAsia="arial" w:hAnsi="arial" w:cs="arial"/>
          <w:b w:val="0"/>
          <w:i/>
          <w:strike w:val="0"/>
          <w:noProof w:val="0"/>
          <w:color w:val="000000"/>
          <w:position w:val="0"/>
          <w:sz w:val="24"/>
          <w:u w:val="none"/>
          <w:vertAlign w:val="baseline"/>
        </w:rPr>
        <w:t>Addendum to Contract</w:t>
      </w:r>
      <w:r>
        <w:rPr>
          <w:rFonts w:ascii="arial" w:eastAsia="arial" w:hAnsi="arial" w:cs="arial"/>
          <w:b w:val="0"/>
          <w:i w:val="0"/>
          <w:strike w:val="0"/>
          <w:noProof w:val="0"/>
          <w:color w:val="000000"/>
          <w:position w:val="0"/>
          <w:sz w:val="24"/>
          <w:u w:val="none"/>
          <w:vertAlign w:val="baseline"/>
        </w:rPr>
        <w:t xml:space="preserve"> which is annexed to the letter of appointment dated 23rd October 2002, it is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as follows –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A commission will be paid to the sales executive of the List Price minus the contractor commission and discount as follows:</w:t>
      </w:r>
    </w:p>
    <w:p>
      <w:pPr>
        <w:keepNext w:val="0"/>
        <w:spacing w:before="120" w:after="0" w:line="240" w:lineRule="atLeast"/>
        <w:ind w:left="1520" w:right="0"/>
        <w:jc w:val="both"/>
      </w:pPr>
      <w:r>
        <w:br/>
      </w:r>
      <w:r>
        <w:rPr>
          <w:rFonts w:ascii="arial" w:eastAsia="arial" w:hAnsi="arial" w:cs="arial"/>
          <w:b/>
          <w:i/>
          <w:strike w:val="0"/>
          <w:noProof w:val="0"/>
          <w:color w:val="000000"/>
          <w:position w:val="0"/>
          <w:sz w:val="18"/>
          <w:u w:val="single"/>
          <w:vertAlign w:val="baseline"/>
        </w:rPr>
        <w:t>For Residential Sales</w:t>
      </w:r>
    </w:p>
    <w:p/>
    <w:tbl>
      <w:tblPr>
        <w:tblW w:w="5000" w:type="pct"/>
        <w:jc w:val="left"/>
        <w:tblInd w:w="760" w:type="dxa"/>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4920"/>
        <w:gridCol w:w="4920"/>
      </w:tblGrid>
      <w:tr>
        <w:tblPrEx>
          <w:tblW w:w="5000" w:type="pct"/>
          <w:tblInd w:w="760" w:type="dxa"/>
          <w:tblLayout w:type="fixed"/>
        </w:tblPrEx>
        <w:tc>
          <w:tcPr>
            <w:tcW w:w="4920" w:type="dxa"/>
            <w:tcBorders>
              <w:bottom w:val="single" w:sz="2" w:space="0" w:color="BCBEC0"/>
              <w:right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strike w:val="0"/>
                <w:noProof w:val="0"/>
                <w:color w:val="000000"/>
                <w:position w:val="0"/>
                <w:sz w:val="18"/>
                <w:u w:val="none"/>
                <w:vertAlign w:val="baseline"/>
              </w:rPr>
              <w:t>Monthly Sales Target</w:t>
            </w:r>
          </w:p>
        </w:tc>
        <w:tc>
          <w:tcPr>
            <w:tcW w:w="4920" w:type="dxa"/>
            <w:tcBorders>
              <w:bottom w:val="single" w:sz="2" w:space="0" w:color="BCBEC0"/>
            </w:tcBorders>
            <w:tcMar>
              <w:top w:w="100" w:type="dxa"/>
              <w:bottom w:w="100" w:type="dxa"/>
            </w:tcMar>
            <w:vAlign w:val="top"/>
          </w:tcPr>
          <w:p>
            <w:pPr>
              <w:spacing w:before="120" w:after="0" w:line="220" w:lineRule="atLeast"/>
              <w:ind w:left="360"/>
              <w:jc w:val="center"/>
            </w:pPr>
            <w:r>
              <w:rPr>
                <w:rFonts w:ascii="arial" w:eastAsia="arial" w:hAnsi="arial" w:cs="arial"/>
                <w:b w:val="0"/>
                <w:i/>
                <w:strike w:val="0"/>
                <w:noProof w:val="0"/>
                <w:color w:val="000000"/>
                <w:position w:val="0"/>
                <w:sz w:val="18"/>
                <w:u w:val="none"/>
                <w:vertAlign w:val="baseline"/>
              </w:rPr>
              <w:t>Incentive %</w:t>
            </w:r>
          </w:p>
        </w:tc>
      </w:tr>
      <w:tr>
        <w:tblPrEx>
          <w:tblW w:w="5000" w:type="pct"/>
          <w:tblInd w:w="760" w:type="dxa"/>
          <w:tblLayout w:type="fixed"/>
        </w:tblPrEx>
        <w:tc>
          <w:tcPr>
            <w:tcW w:w="4920" w:type="dxa"/>
            <w:tcBorders>
              <w:bottom w:val="single" w:sz="2" w:space="0" w:color="BCBEC0"/>
              <w:right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strike w:val="0"/>
                <w:noProof w:val="0"/>
                <w:color w:val="000000"/>
                <w:position w:val="0"/>
                <w:sz w:val="18"/>
                <w:u w:val="none"/>
                <w:vertAlign w:val="baseline"/>
              </w:rPr>
              <w:t>Sales volume, value below RM15,000</w:t>
            </w:r>
          </w:p>
        </w:tc>
        <w:tc>
          <w:tcPr>
            <w:tcW w:w="4920" w:type="dxa"/>
            <w:tcBorders>
              <w:bottom w:val="single" w:sz="2" w:space="0" w:color="BCBEC0"/>
            </w:tcBorders>
            <w:tcMar>
              <w:top w:w="100" w:type="dxa"/>
              <w:bottom w:w="100" w:type="dxa"/>
            </w:tcMar>
            <w:vAlign w:val="top"/>
          </w:tcPr>
          <w:p>
            <w:pPr>
              <w:spacing w:before="120" w:after="0" w:line="220" w:lineRule="atLeast"/>
              <w:ind w:left="360"/>
              <w:jc w:val="center"/>
            </w:pPr>
            <w:r>
              <w:rPr>
                <w:rFonts w:ascii="arial" w:eastAsia="arial" w:hAnsi="arial" w:cs="arial"/>
                <w:b w:val="0"/>
                <w:i/>
                <w:strike w:val="0"/>
                <w:noProof w:val="0"/>
                <w:color w:val="000000"/>
                <w:position w:val="0"/>
                <w:sz w:val="18"/>
                <w:u w:val="none"/>
                <w:vertAlign w:val="baseline"/>
              </w:rPr>
              <w:t>0 %</w:t>
            </w:r>
          </w:p>
        </w:tc>
      </w:tr>
      <w:tr>
        <w:tblPrEx>
          <w:tblW w:w="5000" w:type="pct"/>
          <w:tblInd w:w="760" w:type="dxa"/>
          <w:tblLayout w:type="fixed"/>
        </w:tblPrEx>
        <w:tc>
          <w:tcPr>
            <w:tcW w:w="4920" w:type="dxa"/>
            <w:tcBorders>
              <w:bottom w:val="single" w:sz="2" w:space="0" w:color="BCBEC0"/>
              <w:right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strike w:val="0"/>
                <w:noProof w:val="0"/>
                <w:color w:val="000000"/>
                <w:position w:val="0"/>
                <w:sz w:val="18"/>
                <w:u w:val="none"/>
                <w:vertAlign w:val="baseline"/>
              </w:rPr>
              <w:t>Upon achieving sales volume, value of RM15,001 to RM40,000</w:t>
            </w:r>
          </w:p>
        </w:tc>
        <w:tc>
          <w:tcPr>
            <w:tcW w:w="4920" w:type="dxa"/>
            <w:tcBorders>
              <w:bottom w:val="single" w:sz="2" w:space="0" w:color="BCBEC0"/>
            </w:tcBorders>
            <w:tcMar>
              <w:top w:w="100" w:type="dxa"/>
              <w:bottom w:w="100" w:type="dxa"/>
            </w:tcMar>
            <w:vAlign w:val="top"/>
          </w:tcPr>
          <w:p>
            <w:pPr>
              <w:spacing w:before="120" w:after="0" w:line="220" w:lineRule="atLeast"/>
              <w:ind w:left="360"/>
              <w:jc w:val="center"/>
            </w:pPr>
            <w:r>
              <w:rPr>
                <w:rFonts w:ascii="arial" w:eastAsia="arial" w:hAnsi="arial" w:cs="arial"/>
                <w:b w:val="0"/>
                <w:i/>
                <w:strike w:val="0"/>
                <w:noProof w:val="0"/>
                <w:color w:val="000000"/>
                <w:position w:val="0"/>
                <w:sz w:val="18"/>
                <w:u w:val="none"/>
                <w:vertAlign w:val="baseline"/>
              </w:rPr>
              <w:t>4 %</w:t>
            </w:r>
          </w:p>
        </w:tc>
      </w:tr>
      <w:tr>
        <w:tblPrEx>
          <w:tblW w:w="5000" w:type="pct"/>
          <w:tblInd w:w="760" w:type="dxa"/>
          <w:tblLayout w:type="fixed"/>
        </w:tblPrEx>
        <w:tc>
          <w:tcPr>
            <w:tcW w:w="4920" w:type="dxa"/>
            <w:tcBorders>
              <w:bottom w:val="single" w:sz="2" w:space="0" w:color="BCBEC0"/>
              <w:right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strike w:val="0"/>
                <w:noProof w:val="0"/>
                <w:color w:val="000000"/>
                <w:position w:val="0"/>
                <w:sz w:val="18"/>
                <w:u w:val="none"/>
                <w:vertAlign w:val="baseline"/>
              </w:rPr>
              <w:t>Upon achieving sales volume, value of RM40,001 to RM60,000</w:t>
            </w:r>
          </w:p>
        </w:tc>
        <w:tc>
          <w:tcPr>
            <w:tcW w:w="4920" w:type="dxa"/>
            <w:tcBorders>
              <w:bottom w:val="single" w:sz="2" w:space="0" w:color="BCBEC0"/>
            </w:tcBorders>
            <w:tcMar>
              <w:top w:w="100" w:type="dxa"/>
              <w:bottom w:w="100" w:type="dxa"/>
            </w:tcMar>
            <w:vAlign w:val="top"/>
          </w:tcPr>
          <w:p>
            <w:pPr>
              <w:spacing w:before="120" w:after="0" w:line="220" w:lineRule="atLeast"/>
              <w:ind w:left="360"/>
              <w:jc w:val="center"/>
            </w:pPr>
            <w:r>
              <w:rPr>
                <w:rFonts w:ascii="arial" w:eastAsia="arial" w:hAnsi="arial" w:cs="arial"/>
                <w:b w:val="0"/>
                <w:i/>
                <w:strike w:val="0"/>
                <w:noProof w:val="0"/>
                <w:color w:val="000000"/>
                <w:position w:val="0"/>
                <w:sz w:val="18"/>
                <w:u w:val="none"/>
                <w:vertAlign w:val="baseline"/>
              </w:rPr>
              <w:t>5%</w:t>
            </w:r>
          </w:p>
        </w:tc>
      </w:tr>
      <w:tr>
        <w:tblPrEx>
          <w:tblW w:w="5000" w:type="pct"/>
          <w:tblInd w:w="760" w:type="dxa"/>
          <w:tblLayout w:type="fixed"/>
        </w:tblPrEx>
        <w:tc>
          <w:tcPr>
            <w:tcW w:w="4920" w:type="dxa"/>
            <w:tcBorders>
              <w:bottom w:val="single" w:sz="2" w:space="0" w:color="BCBEC0"/>
              <w:right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strike w:val="0"/>
                <w:noProof w:val="0"/>
                <w:color w:val="000000"/>
                <w:position w:val="0"/>
                <w:sz w:val="18"/>
                <w:u w:val="none"/>
                <w:vertAlign w:val="baseline"/>
              </w:rPr>
              <w:t>Upon achieving sales volume, value of more than RM60,000</w:t>
            </w:r>
          </w:p>
        </w:tc>
        <w:tc>
          <w:tcPr>
            <w:tcW w:w="4920" w:type="dxa"/>
            <w:tcBorders>
              <w:bottom w:val="single" w:sz="2" w:space="0" w:color="BCBEC0"/>
            </w:tcBorders>
            <w:tcMar>
              <w:top w:w="100" w:type="dxa"/>
              <w:bottom w:w="100" w:type="dxa"/>
            </w:tcMar>
            <w:vAlign w:val="top"/>
          </w:tcPr>
          <w:p>
            <w:pPr>
              <w:spacing w:before="120" w:after="0" w:line="220" w:lineRule="atLeast"/>
              <w:ind w:left="360"/>
              <w:jc w:val="center"/>
            </w:pPr>
            <w:r>
              <w:rPr>
                <w:rFonts w:ascii="arial" w:eastAsia="arial" w:hAnsi="arial" w:cs="arial"/>
                <w:b w:val="0"/>
                <w:i/>
                <w:strike w:val="0"/>
                <w:noProof w:val="0"/>
                <w:color w:val="000000"/>
                <w:position w:val="0"/>
                <w:sz w:val="18"/>
                <w:u w:val="none"/>
                <w:vertAlign w:val="baseline"/>
              </w:rPr>
              <w:t>6%</w:t>
            </w:r>
          </w:p>
        </w:tc>
      </w:tr>
      <w:tr>
        <w:tblPrEx>
          <w:tblW w:w="5000" w:type="pct"/>
          <w:tblInd w:w="760" w:type="dxa"/>
          <w:tblLayout w:type="fixed"/>
        </w:tblPrEx>
        <w:tc>
          <w:tcPr>
            <w:tcW w:w="9840" w:type="dxa"/>
            <w:gridSpan w:val="2"/>
            <w:tcMar>
              <w:top w:w="100" w:type="dxa"/>
              <w:bottom w:w="100" w:type="dxa"/>
            </w:tcMar>
            <w:vAlign w:val="top"/>
          </w:tcPr>
          <w:p>
            <w:pPr>
              <w:spacing w:before="120" w:after="0" w:line="220" w:lineRule="atLeast"/>
              <w:ind w:left="360"/>
              <w:jc w:val="left"/>
            </w:pPr>
            <w:r>
              <w:rPr>
                <w:rFonts w:ascii="arial" w:eastAsia="arial" w:hAnsi="arial" w:cs="arial"/>
                <w:b w:val="0"/>
                <w:i/>
                <w:strike w:val="0"/>
                <w:noProof w:val="0"/>
                <w:color w:val="000000"/>
                <w:position w:val="0"/>
                <w:sz w:val="18"/>
                <w:u w:val="none"/>
                <w:vertAlign w:val="baseline"/>
              </w:rPr>
              <w:t>Annual Incentive Target</w:t>
            </w:r>
          </w:p>
        </w:tc>
      </w:tr>
    </w:tbl>
    <w:p/>
    <w:p>
      <w:pPr>
        <w:keepNext w:val="0"/>
        <w:spacing w:before="120" w:after="0" w:line="240" w:lineRule="atLeast"/>
        <w:ind w:left="1120" w:right="0" w:firstLine="0"/>
        <w:jc w:val="both"/>
      </w:pPr>
      <w:r>
        <w:rPr>
          <w:rFonts w:ascii="arial" w:eastAsia="arial" w:hAnsi="arial" w:cs="arial"/>
          <w:b w:val="0"/>
          <w:i/>
          <w:strike w:val="0"/>
          <w:noProof w:val="0"/>
          <w:color w:val="000000"/>
          <w:position w:val="0"/>
          <w:sz w:val="18"/>
          <w:u w:val="none"/>
          <w:vertAlign w:val="baseline"/>
        </w:rPr>
        <w:t>If you have achieved total sales of 250,000 by the end of June 2003, which is the end of the company’s financial year, you will be guaranteed a 5% incentive of all sales. This figure will hereafter be adjusted to RM500,000 for the following year or as directed by the management</w:t>
      </w:r>
    </w:p>
    <w:p>
      <w:pPr>
        <w:keepNext w:val="0"/>
        <w:spacing w:before="120" w:after="0" w:line="240" w:lineRule="atLeast"/>
        <w:ind w:left="1120" w:right="0" w:firstLine="0"/>
        <w:jc w:val="both"/>
      </w:pPr>
      <w:r>
        <w:br/>
      </w:r>
      <w:r>
        <w:rPr>
          <w:rFonts w:ascii="arial" w:eastAsia="arial" w:hAnsi="arial" w:cs="arial"/>
          <w:b/>
          <w:i/>
          <w:strike w:val="0"/>
          <w:noProof w:val="0"/>
          <w:color w:val="000000"/>
          <w:position w:val="0"/>
          <w:sz w:val="18"/>
          <w:u w:val="single"/>
          <w:vertAlign w:val="baseline"/>
        </w:rPr>
        <w:t>For Commercial Sales</w:t>
      </w:r>
    </w:p>
    <w:p>
      <w:pPr>
        <w:keepNext w:val="0"/>
        <w:spacing w:before="120" w:after="0" w:line="240" w:lineRule="atLeast"/>
        <w:ind w:left="1120" w:right="0" w:firstLine="0"/>
        <w:jc w:val="both"/>
      </w:pPr>
      <w:r>
        <w:br/>
      </w:r>
      <w:r>
        <w:rPr>
          <w:rFonts w:ascii="arial" w:eastAsia="arial" w:hAnsi="arial" w:cs="arial"/>
          <w:b w:val="0"/>
          <w:i/>
          <w:strike w:val="0"/>
          <w:noProof w:val="0"/>
          <w:color w:val="000000"/>
          <w:position w:val="0"/>
          <w:sz w:val="18"/>
          <w:u w:val="single"/>
          <w:vertAlign w:val="baseline"/>
        </w:rPr>
        <w:t>Definition:</w:t>
      </w:r>
      <w:r>
        <w:rPr>
          <w:rFonts w:ascii="arial" w:eastAsia="arial" w:hAnsi="arial" w:cs="arial"/>
          <w:b w:val="0"/>
          <w:i/>
          <w:strike w:val="0"/>
          <w:noProof w:val="0"/>
          <w:color w:val="000000"/>
          <w:position w:val="0"/>
          <w:sz w:val="18"/>
          <w:u w:val="none"/>
          <w:vertAlign w:val="baseline"/>
        </w:rPr>
        <w:t xml:space="preserve"> A sale that is made through a developer, contractor or the owner of any, hotel, condominium, restaurants, factory etc. not considered as an individual domestic sale.</w:t>
      </w:r>
    </w:p>
    <w:p>
      <w:pPr>
        <w:keepNext w:val="0"/>
        <w:spacing w:before="120" w:after="0" w:line="240" w:lineRule="atLeast"/>
        <w:ind w:left="1120" w:right="0" w:firstLine="0"/>
        <w:jc w:val="both"/>
      </w:pPr>
      <w:r>
        <w:br/>
      </w:r>
      <w:r>
        <w:rPr>
          <w:rFonts w:ascii="arial" w:eastAsia="arial" w:hAnsi="arial" w:cs="arial"/>
          <w:b w:val="0"/>
          <w:i/>
          <w:strike w:val="0"/>
          <w:noProof w:val="0"/>
          <w:color w:val="000000"/>
          <w:position w:val="0"/>
          <w:sz w:val="18"/>
          <w:u w:val="single"/>
          <w:vertAlign w:val="baseline"/>
        </w:rPr>
        <w:t>Commission: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There would be a benchmark of minimum 2% of the total sale excluding commission to third party if any. The percentage of increment would be based on company’s discretion and also a review of sales persons input of the project.</w:t>
      </w:r>
      <w:r>
        <w:rPr>
          <w:rFonts w:ascii="arial" w:eastAsia="arial" w:hAnsi="arial" w:cs="arial"/>
          <w:b w:val="0"/>
          <w:i w:val="0"/>
          <w:strike w:val="0"/>
          <w:noProof w:val="0"/>
          <w:color w:val="000000"/>
          <w:position w:val="0"/>
          <w:sz w:val="18"/>
          <w:u w:val="none"/>
          <w:vertAlign w:val="baseline"/>
        </w:rPr>
        <w:t xml:space="preserve"> “</w:t>
      </w:r>
      <w:r>
        <w:t>
</w:t>
      </w:r>
    </w:p>
    <w:p>
      <w:pPr>
        <w:keepNext w:val="0"/>
        <w:numPr>
          <w:numId w:val="2"/>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of Confirmation dated 23rd January 2003, the Claimant was confirmed in his employment. As per the Letter of Confirmation, effective 1st January 2003, the Claimant’s salary (which consists of a basic salary, car allowance and hand phone allowance) was increased to RM1,700.00 as he received an increment of RM100.00 in relation to his basic salary and car allowance;</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then promoted to Senior Sales Executive and then to Assistant Sales Manager and subsequently to Sales Manager for Commercial Sales; and</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of October 2017, the Claimant’s monthly salary was RM6,500 which consists of a basic salary of RM5,700, car allowance of RM700.00 and hand phone allowance of RM100.00.</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Claimant’s Case and Submissions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Claimant avers –</w:t>
      </w:r>
      <w:r>
        <w:t>
</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from March 2020, the Company unilaterally deducted the Claimant’s monthly basic salary by RM2,470.00, when the entire country was undergoing a national quarantine and cordon sanitaire measure implemented by the government of Malaysia in response to the COVID- 19 pandemic, known as the Movement Control Order; and</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throughout his employment with the Company, he has faithfully and diligently carried out his functions, duties and responsibilities well, with an unblemished record of service. Further, the Claimant was never subject to any disciplinary action by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 Claimant further avers the Company failed to pay his commissions amounting to RM97,224.54 (“Outstanding Commissions”) which consists of the following –</w:t>
      </w:r>
      <w:r>
        <w:t>
</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Seringin Residences Condominium Project</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Sales generated: RM 2,878,080.00</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Sales commission entitlement: 2% Commission</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(RM 2,878,080.00 X 2% = RM 57,561.60)</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Uptown Residences Condominium Project</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Sales generated: RM 1,145,448.00</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Sales commission entitlement: 2% Commission</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(RM 1,145,448.00 X 2% = RM 22,908.96)</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1001 Colloseum Spa &amp; Hotel Project in Jakarta, Indonesia</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Sales generated: RM 485,714.00</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Sales commission entitlement: 2% Commission</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(RM 485,714.00 X 2% = RM 9,714.28)</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Fitness First Grand Indonesia</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Sales generated: RM 211,355.00</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Sales commission entitlement: 2% Commission</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(RM 211,355.00 X 2% = RM 4,227.10)</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Fitness First Taman Anggrek in Jakarta, Indonesia</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Sales generated: RM 140,630.00</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Sales commission entitlement: 2% Commission</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(RM 140,630.00 X 2% = RM 2,812.60)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The Claimant also made the following contentions –</w:t>
      </w:r>
      <w:r>
        <w:t>
</w:t>
      </w:r>
    </w:p>
    <w:p>
      <w:pPr>
        <w:keepNext w:val="0"/>
        <w:numPr>
          <w:numId w:val="5"/>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3rd February 2021, the Claimant sought clarification and verification from the Company as regards his Outstanding Commissions;</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the Company failed to reply to the Claimant’s letter dated 3rd February 2021, the Claimant once again wrote to the Company,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1st July 2021, seeking clarification and verification from the Company as regards his Outstanding Commissions;</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via Peter Jakobsen i.e. owner of the Company, only replied to the Claimant’s letters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27th July 2021, and said,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the Company had “</w:t>
      </w:r>
      <w:r>
        <w:rPr>
          <w:rFonts w:ascii="arial" w:eastAsia="arial" w:hAnsi="arial" w:cs="arial"/>
          <w:b w:val="0"/>
          <w:i/>
          <w:strike w:val="0"/>
          <w:noProof w:val="0"/>
          <w:color w:val="000000"/>
          <w:position w:val="0"/>
          <w:sz w:val="24"/>
          <w:u w:val="none"/>
          <w:vertAlign w:val="baseline"/>
        </w:rPr>
        <w:t>...no wish not to honor the commission... earned...</w:t>
      </w:r>
      <w:r>
        <w:rPr>
          <w:rFonts w:ascii="arial" w:eastAsia="arial" w:hAnsi="arial" w:cs="arial"/>
          <w:b w:val="0"/>
          <w:i w:val="0"/>
          <w:strike w:val="0"/>
          <w:noProof w:val="0"/>
          <w:color w:val="000000"/>
          <w:position w:val="0"/>
          <w:sz w:val="24"/>
          <w:u w:val="none"/>
          <w:vertAlign w:val="baseline"/>
        </w:rPr>
        <w:t>” and that “</w:t>
      </w:r>
      <w:r>
        <w:rPr>
          <w:rFonts w:ascii="arial" w:eastAsia="arial" w:hAnsi="arial" w:cs="arial"/>
          <w:b w:val="0"/>
          <w:i/>
          <w:strike w:val="0"/>
          <w:noProof w:val="0"/>
          <w:color w:val="000000"/>
          <w:position w:val="0"/>
          <w:sz w:val="24"/>
          <w:u w:val="none"/>
          <w:vertAlign w:val="baseline"/>
        </w:rPr>
        <w:t>...sales people need to generate sales – and if the sales is not generated, we cannot pay our commitments including the commissions earned…</w:t>
      </w:r>
      <w:r>
        <w:rPr>
          <w:rFonts w:ascii="arial" w:eastAsia="arial" w:hAnsi="arial" w:cs="arial"/>
          <w:b w:val="0"/>
          <w:i w:val="0"/>
          <w:strike w:val="0"/>
          <w:noProof w:val="0"/>
          <w:color w:val="000000"/>
          <w:position w:val="0"/>
          <w:sz w:val="24"/>
          <w:u w:val="none"/>
          <w:vertAlign w:val="baseline"/>
        </w:rPr>
        <w:t>”;</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a result of the Company’s letter dated 27th July 2021, the Claimant realised that the Company’s refusal to pay his commissions constituted a unilateral and significant breach of a fundamental term of the terms and conditions of the Claimant’s employment as stipulated in the letter of appointment dated 23rd October 2002, going to the root of his contract of employment;</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said breach shows that the Company no longer wants to be bound by one of the terms and conditions of the Claimant’s employment as stipulated in the letter of appointment dated 23 rd October 2002. In that regard three (3) days later, the Claimant gave notice to the Company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30th July 2021 that he considered himself to be constructively dismissed by the Company and he left the employment immediately;</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acted in a manner likely to damage or destroy the relationship of mutual trust and confidence between the parties; and</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acted in </w:t>
      </w:r>
      <w:r>
        <w:rPr>
          <w:rFonts w:ascii="arial" w:eastAsia="arial" w:hAnsi="arial" w:cs="arial"/>
          <w:b w:val="0"/>
          <w:i/>
          <w:strike w:val="0"/>
          <w:noProof w:val="0"/>
          <w:color w:val="000000"/>
          <w:position w:val="0"/>
          <w:sz w:val="24"/>
          <w:u w:val="none"/>
          <w:vertAlign w:val="baseline"/>
        </w:rPr>
        <w:t>mala fide</w:t>
      </w:r>
      <w:r>
        <w:rPr>
          <w:rFonts w:ascii="arial" w:eastAsia="arial" w:hAnsi="arial" w:cs="arial"/>
          <w:b w:val="0"/>
          <w:i w:val="0"/>
          <w:strike w:val="0"/>
          <w:noProof w:val="0"/>
          <w:color w:val="000000"/>
          <w:position w:val="0"/>
          <w:sz w:val="24"/>
          <w:u w:val="none"/>
          <w:vertAlign w:val="baseline"/>
        </w:rPr>
        <w:t xml:space="preserve"> and had practiced unfair labour practices.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xml:space="preserve">  The Claimant,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Claimant’s Written Submissions dated 5th December 2023 and the Claimant’s Written Submissions in Reply dated 2nd January 2024, submits that –</w:t>
      </w:r>
      <w:r>
        <w:t>
</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during the course of the hearing, the Company attempted to give a different interpretation to the Claimant’s entitlement of the Outstanding Commissions i.e. commissions for residential sales which are based on monthly sales target also applies to commercial sales;</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is a clear distinction on how commissions for residential sales are calculated on the one hand, and commissions for commercial sales on the other i.e. residential sales commissions are based on monthly targets and based on incentive percentage. It is clear that residential monthly sales below RM15,000.00 has 0% incentive as commissions. Whereas, monthly residential sales of between RM15,001.00 to RM40,000.00 carry a 4% incentive, RM40,001.00 to RM60,000.00 carry a 5% incentive and above RM60,000.00 carry a 6% incentive. In relation thereto, nowhere is it stated that residential sales contemplate a 2% incentive;</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for purposes of the commercial sales, it is clearly provided in the </w:t>
      </w:r>
      <w:r>
        <w:rPr>
          <w:rFonts w:ascii="arial" w:eastAsia="arial" w:hAnsi="arial" w:cs="arial"/>
          <w:b w:val="0"/>
          <w:i/>
          <w:strike w:val="0"/>
          <w:noProof w:val="0"/>
          <w:color w:val="000000"/>
          <w:position w:val="0"/>
          <w:sz w:val="24"/>
          <w:u w:val="none"/>
          <w:vertAlign w:val="baseline"/>
        </w:rPr>
        <w:t>Addendum to Contract</w:t>
      </w:r>
      <w:r>
        <w:rPr>
          <w:rFonts w:ascii="arial" w:eastAsia="arial" w:hAnsi="arial" w:cs="arial"/>
          <w:b w:val="0"/>
          <w:i w:val="0"/>
          <w:strike w:val="0"/>
          <w:noProof w:val="0"/>
          <w:color w:val="000000"/>
          <w:position w:val="0"/>
          <w:sz w:val="24"/>
          <w:u w:val="none"/>
          <w:vertAlign w:val="baseline"/>
        </w:rPr>
        <w:t xml:space="preserve"> that – </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sales that is made through a developer, contractor or the owner of any, hotel, condominium, restaurants, factory etc. are not considered as individual domestic sale; and</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calculation of commission “</w:t>
      </w:r>
      <w:r>
        <w:rPr>
          <w:rFonts w:ascii="arial" w:eastAsia="arial" w:hAnsi="arial" w:cs="arial"/>
          <w:b w:val="0"/>
          <w:i/>
          <w:strike w:val="0"/>
          <w:noProof w:val="0"/>
          <w:color w:val="000000"/>
          <w:position w:val="0"/>
          <w:sz w:val="24"/>
          <w:u w:val="none"/>
          <w:vertAlign w:val="baseline"/>
        </w:rPr>
        <w:t>would be a benchmark of minimum 2% of the total sale excluding commission to third party if any</w:t>
      </w:r>
      <w:r>
        <w:rPr>
          <w:rFonts w:ascii="arial" w:eastAsia="arial" w:hAnsi="arial" w:cs="arial"/>
          <w:b w:val="0"/>
          <w:i w:val="0"/>
          <w:strike w:val="0"/>
          <w:noProof w:val="0"/>
          <w:color w:val="000000"/>
          <w:position w:val="0"/>
          <w:sz w:val="24"/>
          <w:u w:val="none"/>
          <w:vertAlign w:val="baseline"/>
        </w:rPr>
        <w:t>”;</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column 5 of row 1 of the calculation table on pages 15, 20, 30, 33 and 50 of CLB1, i.e. the Company’s own sales commission calculation tables, clearly shows the commissions earned by the Claimant are based on 2% of the total sale;</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COWS-1 confirmed at the hearing that – </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five projects which is the subject matter of the Outstanding Commissions claimed by the Claimant (Seringin Residence Condominium Project, Uptown Residences Condominium Project, 1001 Colloseum Spa &amp; Hotel Project in Jakarta, Indonesia, Fitness First Grand Project in Jakarta, Indonesia and Fitness First Taman Anggrek Project in Jakarta, Indonesia) are all in relation to commercial sales;</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the sales person who had brought in all the above mentioned five projects; and</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has consistently treated the Claimant’s commissions as part of the Claimant’s salary;</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evidence given by the Claimant’s as regards the following was not disputed by COWS-1 – </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for the Seringin Residence Condominium Project the Claimant generated sales of RM2,878,080.00, for the Uptown Residences Condominium Project generated sales of RM1,145,448.00, for the 1001 Colloseum Spa &amp; Hotel Project in Jakarta, Indonesia generated sales of RM485,714.00, for the Fitness First Grand Project in Jakarta, Indonesia generated sales of RM211,355.00, and for the Fitness First Taman Anggrek Project in Jakarta, Indonesia generated sales of RM140,630.00;</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Seringin Residence Condominium Project, based on 2% of the total sales, the Claimant earned commissions of RM57,561.60. For the Uptown Residences Condominium Project, the Claimant earned commissions of RM22,908.96. For the 1001 Colloseum Spa &amp; Hotel Project in Jakarta, Indonesia, the Claimant earned commissions of RM9,714.28. For the Fitness First Grand Project in Jakarta, Indonesia, the Claimant earned commissions of RM4,227.10. For the Fitness First Taman Anggrek Project in Jakarta, Indonesia, the Claimant earned commissions of RM2,812.60. The total commissions that were payable to the Claimant by the Company for these five projects was RM97,224.54; and</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was paid by the clients from whom the sales were generated;</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had made verbal requests to the Company as regards his Outstanding Commissions but were told to hold on and that the Company was looking into it. Subsequently, the Claimant,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letters dated 3rd February 2021 and 1st July 2021, proceeded to write to the Company requesting for the Outstanding Commissions to be paid;</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Company’s failure to respond to the Claimant’s queries was inexcusable and the Company’s failure to respond meant that the Company had no response and could not muster any explanation for the complaints that were raised by the Claimant. In relation thereto, reference was made by the Claimant to the Court of Appeal case of </w:t>
      </w:r>
      <w:r>
        <w:rPr>
          <w:rFonts w:ascii="arial" w:eastAsia="arial" w:hAnsi="arial" w:cs="arial"/>
          <w:b w:val="0"/>
          <w:i/>
          <w:strike w:val="0"/>
          <w:noProof w:val="0"/>
          <w:color w:val="000000"/>
          <w:position w:val="0"/>
          <w:sz w:val="24"/>
          <w:u w:val="none"/>
          <w:vertAlign w:val="baseline"/>
        </w:rPr>
        <w:t xml:space="preserve">CIMB Bank Bhd v Ahmad Suhairi Mat Ali &amp; Anor  </w:t>
      </w:r>
      <w:r>
        <w:rPr>
          <w:rFonts w:ascii="arial" w:eastAsia="arial" w:hAnsi="arial" w:cs="arial"/>
          <w:b w:val="0"/>
          <w:i w:val="0"/>
          <w:strike w:val="0"/>
          <w:noProof w:val="0"/>
          <w:color w:val="000000"/>
          <w:position w:val="0"/>
          <w:sz w:val="24"/>
          <w:u w:val="none"/>
          <w:vertAlign w:val="baseline"/>
        </w:rPr>
        <w:t xml:space="preserve">[2023] 4 ILR 1, whereby at pp. 51 – 55, S Nantha Balan JCA held –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In our view, the bank’s failure to respond to the claimant’s emails is wholly inexcusable in the circumstances. It should have been obvious to all those in management particularly those in human resource management that there was a situation that was developing and this at the very least, necessitated a response.</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Of course, merely sending a response is insufficient. There has to be content and substance in any response. If time was insufficient, at least a “holding letter” to inform the claimant that his complaints were being addressed. Here, the bank seems to have been nonchalant and turned a blind eye to the claimant’s grievances.</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The bank’s failure to respond in the present circumstances meant that the bank had no response and could not muster any explanation for the complaints that were raised in the claimant’s emails, particularly his complaint that his transfer was a lateral transfer and a demotion as he had no team to assist him.</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The Industrial Court found that the bank did not commit any fundamental breach of contract and that there was no demotion and no evidence of mala fide on the part of the bank with regard to the transfer and re-designation as team leader of the SAT. But the Industrial Court glossed over the fact that the bank did not respond to the emails from the claimant and that there was just deafening silence on the part of the bank.</w:t>
      </w:r>
      <w:r>
        <w:rPr>
          <w:rFonts w:ascii="arial" w:eastAsia="arial" w:hAnsi="arial" w:cs="arial"/>
          <w:b w:val="0"/>
          <w:i w:val="0"/>
          <w:strike w:val="0"/>
          <w:noProof w:val="0"/>
          <w:color w:val="000000"/>
          <w:position w:val="0"/>
          <w:sz w:val="18"/>
          <w:u w:val="none"/>
          <w:vertAlign w:val="baseline"/>
        </w:rPr>
        <w:t>”;</w:t>
      </w:r>
      <w:r>
        <w:t>
</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27th July 2021, never refuted or challenged or denied or disputed the contents of the Claimant’s letter dated 1st July 2021. The Company further admitted in the said letter that they “</w:t>
      </w:r>
      <w:r>
        <w:rPr>
          <w:rFonts w:ascii="arial" w:eastAsia="arial" w:hAnsi="arial" w:cs="arial"/>
          <w:b w:val="0"/>
          <w:i/>
          <w:strike w:val="0"/>
          <w:noProof w:val="0"/>
          <w:color w:val="000000"/>
          <w:position w:val="0"/>
          <w:sz w:val="24"/>
          <w:u w:val="none"/>
          <w:vertAlign w:val="baseline"/>
        </w:rPr>
        <w:t>…have no wish not to honor the commission…</w:t>
      </w:r>
      <w:r>
        <w:rPr>
          <w:rFonts w:ascii="arial" w:eastAsia="arial" w:hAnsi="arial" w:cs="arial"/>
          <w:b w:val="0"/>
          <w:i w:val="0"/>
          <w:strike w:val="0"/>
          <w:noProof w:val="0"/>
          <w:color w:val="000000"/>
          <w:position w:val="0"/>
          <w:sz w:val="24"/>
          <w:u w:val="none"/>
          <w:vertAlign w:val="baseline"/>
        </w:rPr>
        <w:t>” that the Claimant has earned, they nevertheless cannot pay the commissions that the Claimant had earned;</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the Company never had the intention to pay the Claimant’s commissions, the Claimant deemed himself constructively dismissed and informed the Company of the same on 30th July 2021;</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during cross examination COWS-1 confirmed that the Company has consistently treated the Claimant’s commissions as part of the Claimant’s salary to which the Claimant is contractually entitled to pursuant to Clause 3 of the letter of appointment dated 23 rd October 2002. Reference was then made to the following cases – </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Court of Appeal case of </w:t>
      </w:r>
      <w:r>
        <w:rPr>
          <w:rFonts w:ascii="arial" w:eastAsia="arial" w:hAnsi="arial" w:cs="arial"/>
          <w:b w:val="0"/>
          <w:i/>
          <w:strike w:val="0"/>
          <w:noProof w:val="0"/>
          <w:color w:val="000000"/>
          <w:position w:val="0"/>
          <w:sz w:val="24"/>
          <w:u w:val="none"/>
          <w:vertAlign w:val="baseline"/>
        </w:rPr>
        <w:t xml:space="preserve">Sanbos (M) Sdn Bhd v Gan Soon Huat  </w:t>
      </w:r>
      <w:r>
        <w:rPr>
          <w:rFonts w:ascii="arial" w:eastAsia="arial" w:hAnsi="arial" w:cs="arial"/>
          <w:b w:val="0"/>
          <w:i w:val="0"/>
          <w:strike w:val="0"/>
          <w:noProof w:val="0"/>
          <w:color w:val="000000"/>
          <w:position w:val="0"/>
          <w:sz w:val="24"/>
          <w:u w:val="none"/>
          <w:vertAlign w:val="baseline"/>
        </w:rPr>
        <w:t>[2021] 4 MLJ 924, whereby at pg 943, Ravinthran JCA said “</w:t>
      </w:r>
      <w:r>
        <w:rPr>
          <w:rFonts w:ascii="arial" w:eastAsia="arial" w:hAnsi="arial" w:cs="arial"/>
          <w:b w:val="0"/>
          <w:i/>
          <w:strike w:val="0"/>
          <w:noProof w:val="0"/>
          <w:color w:val="000000"/>
          <w:position w:val="0"/>
          <w:sz w:val="24"/>
          <w:u w:val="none"/>
          <w:vertAlign w:val="baseline"/>
        </w:rPr>
        <w:t>[i]n the instant case, the employment contract refers to the payment of commission as an ‘incentive’. If no commission was paid at all, there could be a ground for complaint as the letter of appointment states that the commission will be paid for sales…</w:t>
      </w:r>
      <w:r>
        <w:rPr>
          <w:rFonts w:ascii="arial" w:eastAsia="arial" w:hAnsi="arial" w:cs="arial"/>
          <w:b w:val="0"/>
          <w:i w:val="0"/>
          <w:strike w:val="0"/>
          <w:noProof w:val="0"/>
          <w:color w:val="000000"/>
          <w:position w:val="0"/>
          <w:sz w:val="24"/>
          <w:u w:val="none"/>
          <w:vertAlign w:val="baseline"/>
        </w:rPr>
        <w:t>”; and</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Industrial Court case of </w:t>
      </w:r>
      <w:r>
        <w:rPr>
          <w:rFonts w:ascii="arial" w:eastAsia="arial" w:hAnsi="arial" w:cs="arial"/>
          <w:b w:val="0"/>
          <w:i/>
          <w:strike w:val="0"/>
          <w:noProof w:val="0"/>
          <w:color w:val="000000"/>
          <w:position w:val="0"/>
          <w:sz w:val="24"/>
          <w:u w:val="none"/>
          <w:vertAlign w:val="baseline"/>
        </w:rPr>
        <w:t xml:space="preserve">Tan Cheang Hin v Prestige Scuba Sdn Bhd  </w:t>
      </w:r>
      <w:r>
        <w:rPr>
          <w:rFonts w:ascii="arial" w:eastAsia="arial" w:hAnsi="arial" w:cs="arial"/>
          <w:b w:val="0"/>
          <w:i w:val="0"/>
          <w:strike w:val="0"/>
          <w:noProof w:val="0"/>
          <w:color w:val="000000"/>
          <w:position w:val="0"/>
          <w:sz w:val="24"/>
          <w:u w:val="none"/>
          <w:vertAlign w:val="baseline"/>
        </w:rPr>
        <w:t xml:space="preserve">[2022] 3 ILR 314, where it was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that – </w:t>
      </w:r>
    </w:p>
    <w:p>
      <w:pPr>
        <w:keepNext w:val="0"/>
        <w:spacing w:before="120" w:after="0" w:line="240" w:lineRule="atLeast"/>
        <w:ind w:left="188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The provisions pertaining to the claimant’s salary and sales commissions can be found under cls. 4 and 5 respectively of the Letter of Appointment (at p. 2 of CLB10).</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Clause 4 of the Letter of Appointment provides that the claimant’s salary was RM4,500 per month. His salary was later revised to RM4,600 per month under the Letter of Confirmation (at p. 6 of CLB1). Whereas cl. 5 of the Letter of Appointment provides that the claimant was entitled to 2% pro-rated (to be shared amongst the Sales Team Group) sales commission.</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The claimant contends that his sales commission for February and March 2020 were not paid and that when he enquired about the same, COW1 flatly refused to pay him any.</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Thus, with regards to the non-payment of salaries and sales commission, this court finds that there had been a fundamental breach of the claimant’s employment contract, entitling the claimant to claim constructive dismissal against the company.</w:t>
      </w:r>
      <w:r>
        <w:rPr>
          <w:rFonts w:ascii="arial" w:eastAsia="arial" w:hAnsi="arial" w:cs="arial"/>
          <w:b w:val="0"/>
          <w:i w:val="0"/>
          <w:strike w:val="0"/>
          <w:noProof w:val="0"/>
          <w:color w:val="000000"/>
          <w:position w:val="0"/>
          <w:sz w:val="18"/>
          <w:u w:val="none"/>
          <w:vertAlign w:val="baseline"/>
        </w:rPr>
        <w:t xml:space="preserve"> “;</w:t>
      </w:r>
      <w:r>
        <w:t>
</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it has been established that the Claimant was contractually entitled to the Outstanding Commissions under his terms of employment pursuant to Clause 3 of the letter of appointment dated 23 rd October 2002, the Company’s conduct amounted to a fundamental breach of the terms of employment entitling the Claimant to walk out and claim that he had been constructively dismissed;</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upon receipt of the Company’s letter dated 27 th July 2021, the Claimant within three (3) days, i.e. on 30th July 2021, had made up his mind and acted at the appropriate point in time soon after the conduct of which he had complained had taken place. As regards thereto, reference was made to the Court of Appeal case of </w:t>
      </w:r>
      <w:r>
        <w:rPr>
          <w:rFonts w:ascii="arial" w:eastAsia="arial" w:hAnsi="arial" w:cs="arial"/>
          <w:b w:val="0"/>
          <w:i/>
          <w:strike w:val="0"/>
          <w:noProof w:val="0"/>
          <w:color w:val="000000"/>
          <w:position w:val="0"/>
          <w:sz w:val="24"/>
          <w:u w:val="none"/>
          <w:vertAlign w:val="baseline"/>
        </w:rPr>
        <w:t xml:space="preserve">Ace Holdings Bhd v Norahayu Rahmad &amp; Anor  </w:t>
      </w:r>
      <w:r>
        <w:rPr>
          <w:rFonts w:ascii="arial" w:eastAsia="arial" w:hAnsi="arial" w:cs="arial"/>
          <w:b w:val="0"/>
          <w:i w:val="0"/>
          <w:strike w:val="0"/>
          <w:noProof w:val="0"/>
          <w:color w:val="000000"/>
          <w:position w:val="0"/>
          <w:sz w:val="24"/>
          <w:u w:val="none"/>
          <w:vertAlign w:val="baseline"/>
        </w:rPr>
        <w:t xml:space="preserve">[2023] 2 ILR 445, wherein at pg. 462, Wong Kian Kheong JCA delivering the judgment of the court held as follows: </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“(iv) by way of the IRA, the IC has been specifically established by our Legislature to be a specialised tribunal to decide on, among others, workmen’s claims for unlawful dismissal. In fact, the Parliament has now provided for a right of appeal to the High Court against an award of the IC - please refer to</w:t>
      </w:r>
      <w:r>
        <w:rPr>
          <w:rFonts w:ascii="arial" w:eastAsia="arial" w:hAnsi="arial" w:cs="arial"/>
          <w:b w:val="0"/>
          <w:i w:val="0"/>
          <w:strike w:val="0"/>
          <w:noProof w:val="0"/>
          <w:color w:val="000000"/>
          <w:position w:val="0"/>
          <w:sz w:val="18"/>
          <w:u w:val="none"/>
          <w:vertAlign w:val="baseline"/>
        </w:rPr>
        <w:t xml:space="preserve"> s. 33C of the  IRA </w:t>
      </w:r>
      <w:r>
        <w:rPr>
          <w:rFonts w:ascii="arial" w:eastAsia="arial" w:hAnsi="arial" w:cs="arial"/>
          <w:b w:val="0"/>
          <w:i/>
          <w:strike w:val="0"/>
          <w:noProof w:val="0"/>
          <w:color w:val="000000"/>
          <w:position w:val="0"/>
          <w:sz w:val="18"/>
          <w:u w:val="none"/>
          <w:vertAlign w:val="baseline"/>
        </w:rPr>
        <w:t xml:space="preserve">which has been introduced by the Industrial Relations (Amendment)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2020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A1615). In other words, even if employees have abandoned their reinstatement remedy, the employees should be allowed to proceed with their pure monetary claims against their employers (employees’ pure monetary claims) in the IC which has been specially constituted by our Legislature in the IRA; and</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(v) if there is an increase in the IC cases due to employees’ pure monetary claims, this means that our courts do not have to hear the employees’ pure monetary claims. This will directly reduce the courts’ heavy workload. Consequently, it is in the public interest for the employees’ pure monetary claims to be decided in the IC and not in our courts.</w:t>
      </w:r>
      <w:r>
        <w:rPr>
          <w:rFonts w:ascii="arial" w:eastAsia="arial" w:hAnsi="arial" w:cs="arial"/>
          <w:b w:val="0"/>
          <w:i w:val="0"/>
          <w:strike w:val="0"/>
          <w:noProof w:val="0"/>
          <w:color w:val="000000"/>
          <w:position w:val="0"/>
          <w:sz w:val="18"/>
          <w:u w:val="none"/>
          <w:vertAlign w:val="baseline"/>
        </w:rPr>
        <w:t>”;</w:t>
      </w:r>
      <w:r>
        <w:t>
</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regards the repayment of the outstanding wages unilaterally deducted during the Movement Control Order, the Claimant concedes that this was not pleaded in the Statement of Case and would no longer pursue the said matter; and</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kept changing the narratives as regards the Outstanding Commissions. Furthermore, it is peculiar that the Company puts the Claimant to strict proof in relation to the Outstanding Commissions by submitting that there was no proof of non-payment of the said commissions. The High Court case of </w:t>
      </w:r>
      <w:r>
        <w:rPr>
          <w:rFonts w:ascii="arial" w:eastAsia="arial" w:hAnsi="arial" w:cs="arial"/>
          <w:b w:val="0"/>
          <w:i/>
          <w:strike w:val="0"/>
          <w:noProof w:val="0"/>
          <w:color w:val="000000"/>
          <w:position w:val="0"/>
          <w:sz w:val="24"/>
          <w:u w:val="none"/>
          <w:vertAlign w:val="baseline"/>
        </w:rPr>
        <w:t xml:space="preserve">Chew Kah Yee v Regional Registrar of Births and Deaths Sabah &amp; Ors  </w:t>
      </w:r>
      <w:r>
        <w:rPr>
          <w:rFonts w:ascii="arial" w:eastAsia="arial" w:hAnsi="arial" w:cs="arial"/>
          <w:b w:val="0"/>
          <w:i w:val="0"/>
          <w:strike w:val="0"/>
          <w:noProof w:val="0"/>
          <w:color w:val="000000"/>
          <w:position w:val="0"/>
          <w:sz w:val="24"/>
          <w:u w:val="none"/>
          <w:vertAlign w:val="baseline"/>
        </w:rPr>
        <w:t xml:space="preserve">[2021] MLJU 1954 was cited by the Claimant, whereby it was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as follows: </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“[30] In respect of negative averment,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Lee Chin Hock v. PP  </w:t>
      </w:r>
      <w:r>
        <w:rPr>
          <w:rFonts w:ascii="arial" w:eastAsia="arial" w:hAnsi="arial" w:cs="arial"/>
          <w:b w:val="0"/>
          <w:i w:val="0"/>
          <w:strike w:val="0"/>
          <w:noProof w:val="0"/>
          <w:color w:val="000000"/>
          <w:position w:val="0"/>
          <w:sz w:val="18"/>
          <w:u w:val="none"/>
          <w:vertAlign w:val="baseline"/>
        </w:rPr>
        <w:t>[1972] 2 MLJ 30</w:t>
      </w:r>
      <w:r>
        <w:rPr>
          <w:rFonts w:ascii="arial" w:eastAsia="arial" w:hAnsi="arial" w:cs="arial"/>
          <w:b w:val="0"/>
          <w:i/>
          <w:strike w:val="0"/>
          <w:noProof w:val="0"/>
          <w:color w:val="000000"/>
          <w:position w:val="0"/>
          <w:sz w:val="18"/>
          <w:u w:val="none"/>
          <w:vertAlign w:val="baseline"/>
        </w:rPr>
        <w:t xml:space="preserve"> (FC), the Federal Court cited Bayley J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 v. Turner</w:t>
      </w:r>
      <w:r>
        <w:rPr>
          <w:rFonts w:ascii="arial" w:eastAsia="arial" w:hAnsi="arial" w:cs="arial"/>
          <w:b w:val="0"/>
          <w:i w:val="0"/>
          <w:strike w:val="0"/>
          <w:noProof w:val="0"/>
          <w:color w:val="000000"/>
          <w:position w:val="0"/>
          <w:sz w:val="18"/>
          <w:u w:val="none"/>
          <w:vertAlign w:val="baseline"/>
        </w:rPr>
        <w:t xml:space="preserve"> 105 ER 1026</w:t>
      </w:r>
      <w:r>
        <w:rPr>
          <w:rFonts w:ascii="arial" w:eastAsia="arial" w:hAnsi="arial" w:cs="arial"/>
          <w:b w:val="0"/>
          <w:i/>
          <w:strike w:val="0"/>
          <w:noProof w:val="0"/>
          <w:color w:val="000000"/>
          <w:position w:val="0"/>
          <w:sz w:val="18"/>
          <w:u w:val="none"/>
          <w:vertAlign w:val="baseline"/>
        </w:rPr>
        <w:t xml:space="preserve"> that:</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“I have always understood it to be a general rule that if a negative averment be made by one part, which is peculiarly within the knowledge of the other, the party within whose knowledge it lies, and who asserts the affirmative is to prove it and not he who avers the negative”.</w:t>
      </w:r>
      <w:r>
        <w:t>
</w:t>
      </w:r>
    </w:p>
    <w:p/>
    <w:p>
      <w:pPr>
        <w:keepNext w:val="0"/>
        <w:spacing w:before="120" w:after="0" w:line="240" w:lineRule="atLeast"/>
        <w:ind w:left="1520" w:right="0"/>
        <w:jc w:val="both"/>
      </w:pPr>
      <w:r>
        <w:rPr>
          <w:rFonts w:ascii="arial" w:eastAsia="arial" w:hAnsi="arial" w:cs="arial"/>
          <w:b w:val="0"/>
          <w:i/>
          <w:strike w:val="0"/>
          <w:noProof w:val="0"/>
          <w:color w:val="000000"/>
          <w:position w:val="0"/>
          <w:sz w:val="18"/>
          <w:u w:val="none"/>
          <w:vertAlign w:val="baseline"/>
        </w:rPr>
        <w:t>[31] On the burden and onus of proving a fact in the negative or negative proposition, Cross on Evidence, 11th Edition at [7165] state:</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“Where one party bears the burden of proving a negative but the other has greater means to produce evidence to contradict the negative proposition, then provided the party bearing the burden of proof has tendered some evidence from which the negative proposition may be inferred, the other party carries a tactical burden to advance in evidence any matters with which (if relevant) the first party would have to deal in the discharge of its legal burden of proof.”</w:t>
      </w:r>
      <w:r>
        <w:t>
</w:t>
      </w:r>
    </w:p>
    <w:p/>
    <w:p>
      <w:pPr>
        <w:keepNext w:val="0"/>
        <w:spacing w:before="120" w:after="0" w:line="240" w:lineRule="atLeast"/>
        <w:ind w:left="1520" w:right="0"/>
        <w:jc w:val="both"/>
      </w:pPr>
      <w:r>
        <w:rPr>
          <w:rFonts w:ascii="arial" w:eastAsia="arial" w:hAnsi="arial" w:cs="arial"/>
          <w:b w:val="0"/>
          <w:i/>
          <w:strike w:val="0"/>
          <w:noProof w:val="0"/>
          <w:color w:val="000000"/>
          <w:position w:val="0"/>
          <w:sz w:val="18"/>
          <w:u w:val="none"/>
          <w:vertAlign w:val="baseline"/>
        </w:rPr>
        <w:t>[32] In Rockcote Enterprises Pty Ltd v. FS Architects Pty Ltd;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Carelli v. FS Architects Pty Ltd  </w:t>
      </w:r>
      <w:r>
        <w:rPr>
          <w:rFonts w:ascii="arial" w:eastAsia="arial" w:hAnsi="arial" w:cs="arial"/>
          <w:b w:val="0"/>
          <w:i w:val="0"/>
          <w:strike w:val="0"/>
          <w:noProof w:val="0"/>
          <w:color w:val="000000"/>
          <w:position w:val="0"/>
          <w:sz w:val="18"/>
          <w:u w:val="none"/>
          <w:vertAlign w:val="baseline"/>
        </w:rPr>
        <w:t>[2008] NSWCA 39</w:t>
      </w:r>
      <w:r>
        <w:rPr>
          <w:rFonts w:ascii="arial" w:eastAsia="arial" w:hAnsi="arial" w:cs="arial"/>
          <w:b w:val="0"/>
          <w:i/>
          <w:strike w:val="0"/>
          <w:noProof w:val="0"/>
          <w:color w:val="000000"/>
          <w:position w:val="0"/>
          <w:sz w:val="18"/>
          <w:u w:val="none"/>
          <w:vertAlign w:val="baseline"/>
        </w:rPr>
        <w:t>, the New South Wales Court of Appeal held at paragraph 78 that:</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“78. If a plaintiff has the onus of proving a negative proposition, the fact that the defendant has greater means to produce evidence which contradicts that negative proposition, does not mean that the plaintiff ceases to have the onus of proof of that negative proposition. However, once the plaintiff establishes sufficient evidence from which, if that evidence is accepted, the negative proposition may be inferred, an evidential onus shifts to the defendant to adduce evidence that tends to show that the negative proposition is incorrect. If a defendant adduces such evidence, the plaintiff must then, as part of its overall burden of proof, deal with that evidence either by submission or argument. See generally</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Apollo Shower Screens Pty Ltd v. Building and Construction Industry Long Service Payments Corporation  </w:t>
      </w:r>
      <w:r>
        <w:rPr>
          <w:rFonts w:ascii="arial" w:eastAsia="arial" w:hAnsi="arial" w:cs="arial"/>
          <w:b w:val="0"/>
          <w:i w:val="0"/>
          <w:strike w:val="0"/>
          <w:noProof w:val="0"/>
          <w:color w:val="000000"/>
          <w:position w:val="0"/>
          <w:sz w:val="18"/>
          <w:u w:val="none"/>
          <w:vertAlign w:val="baseline"/>
        </w:rPr>
        <w:t>[1985] 1 NSWLR 561</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Hampton Court Ltd v. Crooks  </w:t>
      </w:r>
      <w:r>
        <w:rPr>
          <w:rFonts w:ascii="arial" w:eastAsia="arial" w:hAnsi="arial" w:cs="arial"/>
          <w:b w:val="0"/>
          <w:i w:val="0"/>
          <w:strike w:val="0"/>
          <w:noProof w:val="0"/>
          <w:color w:val="000000"/>
          <w:position w:val="0"/>
          <w:sz w:val="18"/>
          <w:u w:val="none"/>
          <w:vertAlign w:val="baseline"/>
        </w:rPr>
        <w:t>[1957] HCA 28; [1957] 97 CLR 367</w:t>
      </w:r>
      <w:r>
        <w:rPr>
          <w:rFonts w:ascii="arial" w:eastAsia="arial" w:hAnsi="arial" w:cs="arial"/>
          <w:b w:val="0"/>
          <w:i/>
          <w:strike w:val="0"/>
          <w:noProof w:val="0"/>
          <w:color w:val="000000"/>
          <w:position w:val="0"/>
          <w:sz w:val="18"/>
          <w:u w:val="none"/>
          <w:vertAlign w:val="baseline"/>
        </w:rPr>
        <w:t xml:space="preserve"> at [1]-[2], 371-2;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Baiada v. Waste Recycling &amp;Processing Service of NSW  </w:t>
      </w:r>
      <w:r>
        <w:rPr>
          <w:rFonts w:ascii="arial" w:eastAsia="arial" w:hAnsi="arial" w:cs="arial"/>
          <w:b w:val="0"/>
          <w:i w:val="0"/>
          <w:strike w:val="0"/>
          <w:noProof w:val="0"/>
          <w:color w:val="000000"/>
          <w:position w:val="0"/>
          <w:sz w:val="18"/>
          <w:u w:val="none"/>
          <w:vertAlign w:val="baseline"/>
        </w:rPr>
        <w:t>[1999] NSWCA 139; [1999] 130 LGERA 52</w:t>
      </w:r>
      <w:r>
        <w:rPr>
          <w:rFonts w:ascii="arial" w:eastAsia="arial" w:hAnsi="arial" w:cs="arial"/>
          <w:b w:val="0"/>
          <w:i/>
          <w:strike w:val="0"/>
          <w:noProof w:val="0"/>
          <w:color w:val="000000"/>
          <w:position w:val="0"/>
          <w:sz w:val="18"/>
          <w:u w:val="none"/>
          <w:vertAlign w:val="baseline"/>
        </w:rPr>
        <w:t xml:space="preserve"> at [55], 64 -65. As Hunt J put it in Apollo at 565:</w:t>
      </w:r>
    </w:p>
    <w:p>
      <w:pPr>
        <w:keepNext w:val="0"/>
        <w:spacing w:before="120" w:after="0" w:line="240" w:lineRule="atLeast"/>
        <w:ind w:left="3120" w:right="0"/>
        <w:jc w:val="both"/>
      </w:pPr>
      <w:r>
        <w:br/>
      </w:r>
      <w:r>
        <w:rPr>
          <w:rFonts w:ascii="arial" w:eastAsia="arial" w:hAnsi="arial" w:cs="arial"/>
          <w:b w:val="0"/>
          <w:i/>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provided that the plaintiffs have established sufficient evidence from which the negative proposition may be inferred, the defendant carries what has been called an evidential burden to advance in evidence any particular matters with which (if relevant) the plaintiffs would have to deal in the discharge of their overall burden of proof</w:t>
      </w:r>
      <w:r>
        <w:rPr>
          <w:rFonts w:ascii="arial" w:eastAsia="arial" w:hAnsi="arial" w:cs="arial"/>
          <w:b w:val="0"/>
          <w:i/>
          <w:strike w:val="0"/>
          <w:noProof w:val="0"/>
          <w:color w:val="000000"/>
          <w:position w:val="0"/>
          <w:sz w:val="18"/>
          <w:u w:val="none"/>
          <w:vertAlign w:val="baseline"/>
        </w:rPr>
        <w:t>.... [T]he plaintiffs’ burden of proof of the negative proposition for which they contend is not as difficult in this case as it might otherwise have been because of the defendant’s greater means to produce evidence which contradicts that proposition.”“ (Emphasis added)</w:t>
      </w:r>
      <w:r>
        <w:t>
</w:t>
      </w:r>
    </w:p>
    <w:p/>
    <w:p/>
    <w:p>
      <w:pPr>
        <w:keepNext w:val="0"/>
        <w:spacing w:before="120" w:after="0" w:line="240" w:lineRule="atLeast"/>
        <w:ind w:left="1520" w:right="0"/>
        <w:jc w:val="both"/>
      </w:pPr>
      <w:r>
        <w:rPr>
          <w:rFonts w:ascii="arial" w:eastAsia="arial" w:hAnsi="arial" w:cs="arial"/>
          <w:b w:val="0"/>
          <w:i/>
          <w:strike w:val="0"/>
          <w:noProof w:val="0"/>
          <w:color w:val="000000"/>
          <w:position w:val="0"/>
          <w:sz w:val="18"/>
          <w:u w:val="none"/>
          <w:vertAlign w:val="baseline"/>
        </w:rPr>
        <w:t>[33]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Blatch v. Archer </w:t>
      </w:r>
      <w:r>
        <w:rPr>
          <w:rFonts w:ascii="arial" w:eastAsia="arial" w:hAnsi="arial" w:cs="arial"/>
          <w:b w:val="0"/>
          <w:i w:val="0"/>
          <w:strike w:val="0"/>
          <w:noProof w:val="0"/>
          <w:color w:val="000000"/>
          <w:position w:val="0"/>
          <w:sz w:val="18"/>
          <w:u w:val="none"/>
          <w:vertAlign w:val="baseline"/>
        </w:rPr>
        <w:t>[1774] 1 Cowp. 63</w:t>
      </w:r>
      <w:r>
        <w:rPr>
          <w:rFonts w:ascii="arial" w:eastAsia="arial" w:hAnsi="arial" w:cs="arial"/>
          <w:b w:val="0"/>
          <w:i/>
          <w:strike w:val="0"/>
          <w:noProof w:val="0"/>
          <w:color w:val="000000"/>
          <w:position w:val="0"/>
          <w:sz w:val="18"/>
          <w:u w:val="none"/>
          <w:vertAlign w:val="baseline"/>
        </w:rPr>
        <w:t>, Lord Mansfield said at page 65:</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“It is certainly a maxim that all evidence is to be weighed according to the proof which it was in the power of one side to have produced, and in the power of the other to have contradicted.”</w:t>
      </w:r>
      <w:r>
        <w:t>
</w:t>
      </w:r>
    </w:p>
    <w:p/>
    <w:p>
      <w:pPr>
        <w:keepNext w:val="0"/>
        <w:spacing w:before="120" w:after="0" w:line="240" w:lineRule="atLeast"/>
        <w:ind w:left="1520" w:right="0"/>
        <w:jc w:val="both"/>
      </w:pPr>
      <w:r>
        <w:rPr>
          <w:rFonts w:ascii="arial" w:eastAsia="arial" w:hAnsi="arial" w:cs="arial"/>
          <w:b w:val="0"/>
          <w:i/>
          <w:strike w:val="0"/>
          <w:noProof w:val="0"/>
          <w:color w:val="000000"/>
          <w:position w:val="0"/>
          <w:sz w:val="18"/>
          <w:u w:val="none"/>
          <w:vertAlign w:val="baseline"/>
        </w:rPr>
        <w:t>[34]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Rex v. Cohen  </w:t>
      </w:r>
      <w:r>
        <w:rPr>
          <w:rFonts w:ascii="arial" w:eastAsia="arial" w:hAnsi="arial" w:cs="arial"/>
          <w:b w:val="0"/>
          <w:i w:val="0"/>
          <w:strike w:val="0"/>
          <w:noProof w:val="0"/>
          <w:color w:val="000000"/>
          <w:position w:val="0"/>
          <w:sz w:val="18"/>
          <w:u w:val="none"/>
          <w:vertAlign w:val="baseline"/>
        </w:rPr>
        <w:t>[1951] 1 K.B. 505</w:t>
      </w:r>
      <w:r>
        <w:rPr>
          <w:rFonts w:ascii="arial" w:eastAsia="arial" w:hAnsi="arial" w:cs="arial"/>
          <w:b w:val="0"/>
          <w:i/>
          <w:strike w:val="0"/>
          <w:noProof w:val="0"/>
          <w:color w:val="000000"/>
          <w:position w:val="0"/>
          <w:sz w:val="18"/>
          <w:u w:val="none"/>
          <w:vertAlign w:val="baseline"/>
        </w:rPr>
        <w:t>, 507 Lord Goddard C.J. said:</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 in considering the amount of evidence necessary to shift the burden of proof the court has regard to the opportunities of knowledge with respect to the fact to be proved which may be possessed by the parties respectively.”</w:t>
      </w:r>
      <w:r>
        <w:t>
</w:t>
      </w:r>
    </w:p>
    <w:p/>
    <w:p>
      <w:pPr>
        <w:keepNext w:val="0"/>
        <w:spacing w:before="120" w:after="0" w:line="240" w:lineRule="atLeast"/>
        <w:ind w:left="1520" w:right="0"/>
        <w:jc w:val="both"/>
      </w:pPr>
      <w:r>
        <w:rPr>
          <w:rFonts w:ascii="arial" w:eastAsia="arial" w:hAnsi="arial" w:cs="arial"/>
          <w:b w:val="0"/>
          <w:i/>
          <w:strike w:val="0"/>
          <w:noProof w:val="0"/>
          <w:color w:val="000000"/>
          <w:position w:val="0"/>
          <w:sz w:val="18"/>
          <w:u w:val="none"/>
          <w:vertAlign w:val="baseline"/>
        </w:rPr>
        <w:t>[35] The onus or evidential burden to prove a fact in negative or negative proposition may not be a heavy one depending whether the other party has greater means, power or opportunities of knowledge with respect of the fact concerned.</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[36] In other words, the party’s means, power or opportunities of knowledge may lessen the amount of evidence required for him or her to be led to discharge the onus or evidential burden imposed upon him or her to establish a fact in the negative or negative proposition. It may be that only slight evidence will be enough to discharge the onus or evidentiary burden. However, this is not to say that overall legal burden or burden of proving the fact in the negative or negative proposition has shifted to the other party.</w:t>
      </w:r>
      <w:r>
        <w:rPr>
          <w:rFonts w:ascii="arial" w:eastAsia="arial" w:hAnsi="arial" w:cs="arial"/>
          <w:b w:val="0"/>
          <w:i w:val="0"/>
          <w:strike w:val="0"/>
          <w:noProof w:val="0"/>
          <w:color w:val="000000"/>
          <w:position w:val="0"/>
          <w:sz w:val="18"/>
          <w:u w:val="none"/>
          <w:vertAlign w:val="baseline"/>
        </w:rPr>
        <w:t>”</w:t>
      </w:r>
      <w:r>
        <w:t>
</w:t>
      </w:r>
    </w:p>
    <w:p>
      <w:pPr>
        <w:keepNext w:val="0"/>
        <w:spacing w:before="120"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Company’s Case and Submissions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The Company, in denying the allegation of constructive dismissal by the Claimant, avers as follows:</w:t>
      </w:r>
      <w:r>
        <w:t>
</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did not treat the Claimant unfairly and unjustly;</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being a long time senior employee was fully aware there was no intention by the Company to dismiss him but had suddenly without any prior notice on 30th July 2021 handed over a letter and left the workplace;</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letter dated 30th July 2021 entitled “Outstanding Commissions” (which was disputed) stated he will pursue a constructive dismissal case to recover the Outstanding Commissions;</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 for Outstanding Commissions (which is disputed) has nothing to do with the proceedings before the Court and the proceedings are tainted with </w:t>
      </w:r>
      <w:r>
        <w:rPr>
          <w:rFonts w:ascii="arial" w:eastAsia="arial" w:hAnsi="arial" w:cs="arial"/>
          <w:b w:val="0"/>
          <w:i/>
          <w:strike w:val="0"/>
          <w:noProof w:val="0"/>
          <w:color w:val="000000"/>
          <w:position w:val="0"/>
          <w:sz w:val="24"/>
          <w:u w:val="none"/>
          <w:vertAlign w:val="baseline"/>
        </w:rPr>
        <w:t>mala fide</w:t>
      </w:r>
      <w:r>
        <w:rPr>
          <w:rFonts w:ascii="arial" w:eastAsia="arial" w:hAnsi="arial" w:cs="arial"/>
          <w:b w:val="0"/>
          <w:i w:val="0"/>
          <w:strike w:val="0"/>
          <w:noProof w:val="0"/>
          <w:color w:val="000000"/>
          <w:position w:val="0"/>
          <w:sz w:val="24"/>
          <w:u w:val="none"/>
          <w:vertAlign w:val="baseline"/>
        </w:rPr>
        <w:t>;</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counsel had served on the Company a letter of demand to claim the Outstanding Commissions dated 8 th April 2022;</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issue of Outstanding Commissions and the claim for the said Outstanding Commissions are beyond the scope of jurisdiction of this Court based on the provisions of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never dismissed by the Company; and</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without waiting for the response to his letter dated 30th July 2021, the Claimant took his personal items and left the office premises.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In relation thereto, the Company also contends that –</w:t>
      </w:r>
      <w:r>
        <w:t>
</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actually abandoned his work without any notice on the 30th July 2021 and this is contrary to Clause 18 of his letter of appointment dated 23rd October 2002 which provides for a one-month notice in the event the Claimant wishes to terminate his services with the Company;</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disputes the amount the Claimant had alleged was due as the Outstanding Commissions and puts the Claimant to strict proof. In the alternative the Company maintains it has lawfully paid all sums payable to the Claimant as per the terms of his letter of appointment dated 23rd October 2002;</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March 2020, the Company issued a notice to all employees stating their basic salary will be reduced as the Company could not operate due to the Movement Control Order whereby the employees of the Company had accepted the same including the Claimant. The deduction in salary also applied to the Company’s management;</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did not take any disciplinary action against the Claimant even though the Claimant had never met the sales target;</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relies on the Claimant’s letter dated 1 st July 2021 and the Company’s letter dated 27th July 2021 in which the Company sought a meeting with the Claimant to discuss the Claimant’s role;</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stopped reporting for work and had stopped following instructions issued by the management. Furthermore, rather than meet the management for a discussion, the Claimant elected to abandon his job without notice. As such, there is no constructive dismissal in the present case;</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has never been treated unfairly by the company or the management; and</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has neither dismissed the Claimant nor acted in breach of natural justice or committed unfair labour practices.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The Company,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Company’s Written Submissions received by this Court on 3rd January 2024 and the Company’s Written Submissions in Reply received by this Court on 3rd January 2024, submits that –</w:t>
      </w:r>
      <w:r>
        <w:t>
</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there is nothing in the letter dated 27th July 2021 that mentions the Company will not honor the Outstanding Commissions. Furthermore, the Claimant should have construed the said letter as a whole as the Company had wanted to meet with the Claimant to discuss the role of the Claimant in getting new lead generation. In relation thereto, the Company made reference to the Court of Appeal case of </w:t>
      </w:r>
      <w:r>
        <w:rPr>
          <w:rFonts w:ascii="arial" w:eastAsia="arial" w:hAnsi="arial" w:cs="arial"/>
          <w:b w:val="0"/>
          <w:i/>
          <w:strike w:val="0"/>
          <w:noProof w:val="0"/>
          <w:color w:val="000000"/>
          <w:position w:val="0"/>
          <w:sz w:val="24"/>
          <w:u w:val="none"/>
          <w:vertAlign w:val="baseline"/>
        </w:rPr>
        <w:t xml:space="preserve">Kheamhuat Holdings Sdn Bhd v The Indian Association, Penang  </w:t>
      </w:r>
      <w:r>
        <w:rPr>
          <w:rFonts w:ascii="arial" w:eastAsia="arial" w:hAnsi="arial" w:cs="arial"/>
          <w:b w:val="0"/>
          <w:i w:val="0"/>
          <w:strike w:val="0"/>
          <w:noProof w:val="0"/>
          <w:color w:val="000000"/>
          <w:position w:val="0"/>
          <w:sz w:val="24"/>
          <w:u w:val="none"/>
          <w:vertAlign w:val="baseline"/>
        </w:rPr>
        <w:t xml:space="preserve">[2006] 4 MLJ 656, where at pp. 668 - 669, Mokhtar Sidin JCA, delivering the judgment of the court, stated as follows: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Lim Hong Liang &amp; Anor v Tan Kim Lan @ Tan Kim Leng  </w:t>
      </w:r>
      <w:r>
        <w:rPr>
          <w:rFonts w:ascii="arial" w:eastAsia="arial" w:hAnsi="arial" w:cs="arial"/>
          <w:b w:val="0"/>
          <w:i w:val="0"/>
          <w:strike w:val="0"/>
          <w:noProof w:val="0"/>
          <w:color w:val="000000"/>
          <w:position w:val="0"/>
          <w:sz w:val="18"/>
          <w:u w:val="none"/>
          <w:vertAlign w:val="baseline"/>
        </w:rPr>
        <w:t>[1997] 5 MLJ 157</w:t>
      </w:r>
      <w:r>
        <w:rPr>
          <w:rFonts w:ascii="arial" w:eastAsia="arial" w:hAnsi="arial" w:cs="arial"/>
          <w:b w:val="0"/>
          <w:i/>
          <w:strike w:val="0"/>
          <w:noProof w:val="0"/>
          <w:color w:val="000000"/>
          <w:position w:val="0"/>
          <w:sz w:val="18"/>
          <w:u w:val="none"/>
          <w:vertAlign w:val="baseline"/>
        </w:rPr>
        <w:t>, the parties entered into a memorandum of understanding (MOU) as individual shareholders. … The plaintiffs claimed that the MOU was a legally binding contract, and claimed from the defendants compensation in respect of breaches of the MOU committed by the defendants. On the other hand, the defendants contended that the MOU was not a legally binding contract, and as such the plaintiffs had no enforceable rights. … The issue before the court was whether the MOU was a legally binding contract, and if not, whether the first part of the MOU did give enforceable rights to the plaintiffs. Haidar J (as he then was) stated at pp. 178 -181:</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“The law</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I agree that in construing whether a document has legal effect or not, the label attached to the document say, ‘memorandum of understanding’, is not the criteria for construing such a document. In this regard, the Court of Appeal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Sia Siew Hong &amp; Ors v. Lim Gim Chian &amp; Anor  </w:t>
      </w:r>
      <w:r>
        <w:rPr>
          <w:rFonts w:ascii="arial" w:eastAsia="arial" w:hAnsi="arial" w:cs="arial"/>
          <w:b w:val="0"/>
          <w:i w:val="0"/>
          <w:strike w:val="0"/>
          <w:noProof w:val="0"/>
          <w:color w:val="000000"/>
          <w:position w:val="0"/>
          <w:sz w:val="18"/>
          <w:u w:val="none"/>
          <w:vertAlign w:val="baseline"/>
        </w:rPr>
        <w:t>[1995] 3 MLJ 141</w:t>
      </w:r>
      <w:r>
        <w:rPr>
          <w:rFonts w:ascii="arial" w:eastAsia="arial" w:hAnsi="arial" w:cs="arial"/>
          <w:b w:val="0"/>
          <w:i/>
          <w:strike w:val="0"/>
          <w:noProof w:val="0"/>
          <w:color w:val="000000"/>
          <w:position w:val="0"/>
          <w:sz w:val="18"/>
          <w:u w:val="none"/>
          <w:vertAlign w:val="baseline"/>
        </w:rPr>
        <w:t xml:space="preserve"> in quoting with approval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Addiscombe Garden Estates Ltd v. Crabbe </w:t>
      </w:r>
      <w:r>
        <w:rPr>
          <w:rFonts w:ascii="arial" w:eastAsia="arial" w:hAnsi="arial" w:cs="arial"/>
          <w:b w:val="0"/>
          <w:i w:val="0"/>
          <w:strike w:val="0"/>
          <w:noProof w:val="0"/>
          <w:color w:val="000000"/>
          <w:position w:val="0"/>
          <w:sz w:val="18"/>
          <w:u w:val="none"/>
          <w:vertAlign w:val="baseline"/>
        </w:rPr>
        <w:t>[1958] 1 QB 513 at p 528; [1957] 3 WLR 980</w:t>
      </w:r>
      <w:r>
        <w:rPr>
          <w:rFonts w:ascii="arial" w:eastAsia="arial" w:hAnsi="arial" w:cs="arial"/>
          <w:b w:val="0"/>
          <w:i/>
          <w:strike w:val="0"/>
          <w:noProof w:val="0"/>
          <w:color w:val="000000"/>
          <w:position w:val="0"/>
          <w:sz w:val="18"/>
          <w:u w:val="none"/>
          <w:vertAlign w:val="baseline"/>
        </w:rPr>
        <w:t xml:space="preserve"> at p 981) said at p 147:</w:t>
      </w:r>
    </w:p>
    <w:p>
      <w:pPr>
        <w:keepNext w:val="0"/>
        <w:spacing w:before="120" w:after="0" w:line="240" w:lineRule="atLeast"/>
        <w:ind w:left="3120" w:right="0"/>
        <w:jc w:val="both"/>
      </w:pPr>
      <w:r>
        <w:br/>
      </w:r>
      <w:r>
        <w:rPr>
          <w:rFonts w:ascii="arial" w:eastAsia="arial" w:hAnsi="arial" w:cs="arial"/>
          <w:b w:val="0"/>
          <w:i/>
          <w:strike w:val="0"/>
          <w:noProof w:val="0"/>
          <w:color w:val="000000"/>
          <w:position w:val="0"/>
          <w:sz w:val="18"/>
          <w:u w:val="none"/>
          <w:vertAlign w:val="baseline"/>
        </w:rPr>
        <w:t>No doubt it is described as a guarantee. But in the construction of contracts, the court is not bound by the labels that parties choose to affix onto the particular document. In all such cases, the duty of the court is clear. And that duty is to construe the documents as a whole and to determine from its language and any other admissible evidence its true nature and purport.</w:t>
      </w:r>
      <w:r>
        <w:t>
</w:t>
      </w:r>
    </w:p>
    <w:p/>
    <w:p>
      <w:pPr>
        <w:keepNext w:val="0"/>
        <w:spacing w:before="120" w:after="0" w:line="240" w:lineRule="atLeast"/>
        <w:ind w:left="2320" w:right="0"/>
        <w:jc w:val="both"/>
      </w:pPr>
      <w:r>
        <w:rPr>
          <w:rFonts w:ascii="arial" w:eastAsia="arial" w:hAnsi="arial" w:cs="arial"/>
          <w:b w:val="0"/>
          <w:i/>
          <w:strike w:val="0"/>
          <w:noProof w:val="0"/>
          <w:color w:val="000000"/>
          <w:position w:val="0"/>
          <w:sz w:val="18"/>
          <w:u w:val="none"/>
          <w:vertAlign w:val="baseline"/>
        </w:rPr>
        <w:t>It would then be prudent for me to consider the terms of the first part of the MOU and see whether the parties intended to enter into a legally binding relationship, the breach of which would give rise to enforceable rights as claimed by the plaintiffs. In other words, the court will have to determine from its language and any other admissible evidence its true nature and purport. …</w:t>
      </w:r>
      <w:r>
        <w:rPr>
          <w:rFonts w:ascii="arial" w:eastAsia="arial" w:hAnsi="arial" w:cs="arial"/>
          <w:b w:val="0"/>
          <w:i w:val="0"/>
          <w:strike w:val="0"/>
          <w:noProof w:val="0"/>
          <w:color w:val="000000"/>
          <w:position w:val="0"/>
          <w:sz w:val="18"/>
          <w:u w:val="none"/>
          <w:vertAlign w:val="baseline"/>
        </w:rPr>
        <w:t>”;</w:t>
      </w:r>
      <w:r>
        <w:t>
</w:t>
      </w:r>
    </w:p>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regards the Outstanding Commissions – </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failed to provide proof of the non-payment of the Outstanding Commissions as the Claimant’s Witness Statement did not state when these commissions were payable;</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during cross-examination, agreed that the Company has been paying his commissions from 2002 until 2015 whereby this period coincides with the completion dates of the 1st and 2nd Projects Seringin Residences Condominium Project and Uptown Residences Condominium Project. Thus, the commissions for the 1st and 2nd Projects have been paid by the Company to the Claimant;</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relation to the other three projects which were awarded in 2018, 1001 Colloseum Spa &amp; Hotel Project in Jakarta, Indonesia, Fitness First Grand Indonesia and Fitness First Taman Anggrek in Jakarta, Indonesia, the Claimant had failed to proof based on his salary slips that these commissions have not been paid; and</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27th July 2021, has never admitted that the commissions were outstanding and would not be paid;</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if the Court were to find that the Company had failed to pay the Outstanding Commissions to the Claimant, as the said commissions had been unpaid for years, the Claimant had failed to satisfy the fourth element cited in the Industrial Court case of </w:t>
      </w:r>
      <w:r>
        <w:rPr>
          <w:rFonts w:ascii="arial" w:eastAsia="arial" w:hAnsi="arial" w:cs="arial"/>
          <w:b w:val="0"/>
          <w:i/>
          <w:strike w:val="0"/>
          <w:noProof w:val="0"/>
          <w:color w:val="000000"/>
          <w:position w:val="0"/>
          <w:sz w:val="24"/>
          <w:u w:val="none"/>
          <w:vertAlign w:val="baseline"/>
        </w:rPr>
        <w:t xml:space="preserve">Teh Mun Ling &amp; 3 Ors v TYK Capital Sdn Bhd  </w:t>
      </w:r>
      <w:r>
        <w:rPr>
          <w:rFonts w:ascii="arial" w:eastAsia="arial" w:hAnsi="arial" w:cs="arial"/>
          <w:b w:val="0"/>
          <w:i w:val="0"/>
          <w:strike w:val="0"/>
          <w:noProof w:val="0"/>
          <w:color w:val="000000"/>
          <w:position w:val="0"/>
          <w:sz w:val="24"/>
          <w:u w:val="none"/>
          <w:vertAlign w:val="baseline"/>
        </w:rPr>
        <w:t>[2019] ILJU 186 i.e. the claimant must not delay too long in terminating the contract in response to the company’s breach, otherwise he may be deemed to have waived the breach and agreed to vary the contract; and</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Written Submissions dated 5th December 2023 contain allegations that are either not pleaded in the Statement of Case dated 12th May 2022 or misleading and thus should be disregarded in particular the repayment of the Claimant’s outstanding wages unilaterally deducted during the Movement Control Order.</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Remedies sought by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The Claimant prays that this Court makes such order that he be reinstated to his former position without any loss of wages, allowance, service and seniority, as well as back wages in respect of full salary together with all other privileges or benefits of any kind or alternatively if reinstatement is not appropriate, an award of backwages, all outstanding commissions, bonus, loss of benefits and compensation in lieu of reinstatement together with any other relief the Court deems fit.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Role of the Industrial Court, Burden of Proof and Standard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It is noted that the role or function of the Industrial Court has been clearly stated in the following cases:</w:t>
      </w:r>
      <w:r>
        <w:t>
</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Supreme Court case of </w:t>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 xml:space="preserve">[1988] 1 CLJ (Rep) 298, where at p. 302, Salleh Abas LP, in delivering the judgment of the Supreme Court, referring to section 20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said, “</w:t>
      </w:r>
      <w:r>
        <w:rPr>
          <w:rFonts w:ascii="arial" w:eastAsia="arial" w:hAnsi="arial" w:cs="arial"/>
          <w:b w:val="0"/>
          <w:i/>
          <w:strike w:val="0"/>
          <w:noProof w:val="0"/>
          <w:color w:val="000000"/>
          <w:position w:val="0"/>
          <w:sz w:val="24"/>
          <w:u w:val="none"/>
          <w:vertAlign w:val="baseline"/>
        </w:rPr>
        <w:t>When the Industrial Court is dealing with a reference under</w:t>
      </w:r>
      <w:r>
        <w:rPr>
          <w:rFonts w:ascii="arial" w:eastAsia="arial" w:hAnsi="arial" w:cs="arial"/>
          <w:b w:val="0"/>
          <w:i w:val="0"/>
          <w:strike w:val="0"/>
          <w:noProof w:val="0"/>
          <w:color w:val="000000"/>
          <w:position w:val="0"/>
          <w:sz w:val="24"/>
          <w:u w:val="none"/>
          <w:vertAlign w:val="baseline"/>
        </w:rPr>
        <w:t xml:space="preserve"> s. 20</w:t>
      </w:r>
      <w:r>
        <w:rPr>
          <w:rFonts w:ascii="arial" w:eastAsia="arial" w:hAnsi="arial" w:cs="arial"/>
          <w:b w:val="0"/>
          <w:i/>
          <w:strike w:val="0"/>
          <w:noProof w:val="0"/>
          <w:color w:val="000000"/>
          <w:position w:val="0"/>
          <w:sz w:val="24"/>
          <w:u w:val="none"/>
          <w:vertAlign w:val="baseline"/>
        </w:rPr>
        <w:t>, the first thing that the Court will have to do is to ask itself a question whether there was a dismissal, and if so, whether it was with or without just cause or excuse</w:t>
      </w:r>
      <w:r>
        <w:rPr>
          <w:rFonts w:ascii="arial" w:eastAsia="arial" w:hAnsi="arial" w:cs="arial"/>
          <w:b w:val="0"/>
          <w:i w:val="0"/>
          <w:strike w:val="0"/>
          <w:noProof w:val="0"/>
          <w:color w:val="000000"/>
          <w:position w:val="0"/>
          <w:sz w:val="24"/>
          <w:u w:val="none"/>
          <w:vertAlign w:val="baseline"/>
        </w:rPr>
        <w:t xml:space="preserve"> “; and</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Federal Court in the case of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1 LNS 30, where His Lordship Raja Azlan Shah, CJ (Malaya) (as HRH then was) stated that “</w:t>
      </w:r>
      <w:r>
        <w:rPr>
          <w:rFonts w:ascii="arial" w:eastAsia="arial" w:hAnsi="arial" w:cs="arial"/>
          <w:b w:val="0"/>
          <w:i/>
          <w:strike w:val="0"/>
          <w:noProof w:val="0"/>
          <w:color w:val="000000"/>
          <w:position w:val="0"/>
          <w:sz w:val="24"/>
          <w:u w:val="none"/>
          <w:vertAlign w:val="baseline"/>
        </w:rPr>
        <w:t>Where representations are made and are referred to the Industrial Court for enquiry, it is the duty of that court to determine whether the termination or dismissal is with or without just cause or excuse. If the employer chooses to give a reason for the action taken by him, the duty of the Industrial Court will be to enquire whether that excuse or reason has or has not been made out. If it finds as a fact that it has not been proved, then the inevitable conclusion must be that the termination or dismissal was without just cause or excuse. The proper enquiry of the court is the reason advanced by it and that court or the High Court cannot go into another reason not relied on by the employer or find one for it.</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It is further noted in cases where a claimant is dismissed by the company, the burden is on the company to proof that the dismissal was with just cause or excuse. In the Industrial Court case of </w:t>
      </w:r>
      <w:r>
        <w:rPr>
          <w:rFonts w:ascii="arial" w:eastAsia="arial" w:hAnsi="arial" w:cs="arial"/>
          <w:b w:val="0"/>
          <w:i/>
          <w:strike w:val="0"/>
          <w:noProof w:val="0"/>
          <w:color w:val="000000"/>
          <w:position w:val="0"/>
          <w:sz w:val="24"/>
          <w:u w:val="none"/>
          <w:vertAlign w:val="baseline"/>
        </w:rPr>
        <w:t xml:space="preserve">Ireka Construction Berhad v Chantiravathan a/l Subramaniam James  </w:t>
      </w:r>
      <w:r>
        <w:rPr>
          <w:rFonts w:ascii="arial" w:eastAsia="arial" w:hAnsi="arial" w:cs="arial"/>
          <w:b w:val="0"/>
          <w:i w:val="0"/>
          <w:strike w:val="0"/>
          <w:noProof w:val="0"/>
          <w:color w:val="000000"/>
          <w:position w:val="0"/>
          <w:sz w:val="24"/>
          <w:u w:val="none"/>
          <w:vertAlign w:val="baseline"/>
        </w:rPr>
        <w:t>[1995] 2 ILR 11, where at p. 15, the Learned Chairman, Her Ladyship Siti Saleha Dato’ Sheikh Abu Bakar, stated “</w:t>
      </w:r>
      <w:r>
        <w:rPr>
          <w:rFonts w:ascii="arial" w:eastAsia="arial" w:hAnsi="arial" w:cs="arial"/>
          <w:b w:val="0"/>
          <w:i/>
          <w:strike w:val="0"/>
          <w:noProof w:val="0"/>
          <w:color w:val="000000"/>
          <w:position w:val="0"/>
          <w:sz w:val="24"/>
          <w:u w:val="none"/>
          <w:vertAlign w:val="baseline"/>
        </w:rPr>
        <w:t>It is a basic principle of industrial jurisprudence that in a dismissal case the employer must produce convincing evidence that the workman committed the offence or offences the workman is alleged to have committed for which he has been dismissed. The burden of proof lies on the employer to prove that he has just cause and excuse for taking the decision to impose the disciplinary measure of dismissal upon the employee. The just cause must be, either a misconduct, negligence or poor performance based on the facts of the case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[2002] 3 CLJ 314 the Court of Appeal had laid down the principle that the standard of proof that is required to prove a case in the Industrial Court is one that is on the balance of probabilities. His lordship Justice Abdul Hamid Mohamad, JCA stated “</w:t>
      </w:r>
      <w:r>
        <w:rPr>
          <w:rFonts w:ascii="arial" w:eastAsia="arial" w:hAnsi="arial" w:cs="arial"/>
          <w:b w:val="0"/>
          <w:i/>
          <w:strike w:val="0"/>
          <w:noProof w:val="0"/>
          <w:color w:val="000000"/>
          <w:position w:val="0"/>
          <w:sz w:val="24"/>
          <w:u w:val="none"/>
          <w:vertAlign w:val="baseline"/>
        </w:rPr>
        <w:t xml:space="preserve">[t]hus, we can see that the preponderant view is that the Industrial Court, when hearing a claim of unjust dismissal, even where the ground is one of dishonest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including “theft”, is not required to be satisfied beyond reasonable doubt that the employee has “committed the offence”, as in a criminal prosecution. On the other hand, we see that the courts and learned authors have used such terms as “solid and sensible grounds”, “sufficient to measure up to a preponderance of the evidence,” “whether a case... has been made out”, “on the balance of probabilities” and “evidence of probative value”. In our view the passage quoted from Administrative Law by H.W.R. Wade &amp; C.F. Forsyth offers the clearest statement on the standard of proof required, that is the civil standard based on the balance of probabilities, which is flexible, so that the degree of probability required is proportionate to the nature of gravity of the issue. But, again, if we may add, these are not “passwords” that the failure to use them or if some other words are used, the decision is automatically rendered bad in law</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Thus, the role or function of the Industrial Court is to determine whether there was a dismissal and if so whether on the balance of probabilities the said dismissal was with just cause or excuse.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Issue to be determined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In order for the Court to determine whether there was a dismissal and if so whether on the balance of probabilities the said dismissal was with just cause or excuse, the critical issue this Court would need to determine is whether the re was constructive dismissal of the Claimant’s employment by the Company.</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This Court’s Findings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The concept of constructive dismissal and its application to section 20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has been clearly stated by the Supreme Court in the case of </w:t>
      </w:r>
      <w:r>
        <w:rPr>
          <w:rFonts w:ascii="arial" w:eastAsia="arial" w:hAnsi="arial" w:cs="arial"/>
          <w:b w:val="0"/>
          <w:i/>
          <w:strike w:val="0"/>
          <w:noProof w:val="0"/>
          <w:color w:val="000000"/>
          <w:position w:val="0"/>
          <w:sz w:val="24"/>
          <w:u w:val="none"/>
          <w:vertAlign w:val="baseline"/>
        </w:rPr>
        <w:t xml:space="preserve">Wong Chee Hong v Cathay Organization (M) Sdn Bhd  </w:t>
      </w:r>
      <w:r>
        <w:rPr>
          <w:rFonts w:ascii="arial" w:eastAsia="arial" w:hAnsi="arial" w:cs="arial"/>
          <w:b w:val="0"/>
          <w:i w:val="0"/>
          <w:strike w:val="0"/>
          <w:noProof w:val="0"/>
          <w:color w:val="000000"/>
          <w:position w:val="0"/>
          <w:sz w:val="24"/>
          <w:u w:val="none"/>
          <w:vertAlign w:val="baseline"/>
        </w:rPr>
        <w:t xml:space="preserve">[1988] 1 CLJ 45; [1988] 1 CLJ (Rep) 298. Salleh Abas LP, at pp. 300 – 302,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In England where this expression originated there had been a great deal of unsettled opinions amongst chairmen of industrial tribunals and also among Judges who sat to hear appeals from those tribunals. According to the Court of Appeal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Western Excavation (ECC) Ltd. v. Sharp  </w:t>
      </w:r>
      <w:r>
        <w:rPr>
          <w:rFonts w:ascii="arial" w:eastAsia="arial" w:hAnsi="arial" w:cs="arial"/>
          <w:b w:val="0"/>
          <w:i w:val="0"/>
          <w:strike w:val="0"/>
          <w:noProof w:val="0"/>
          <w:color w:val="000000"/>
          <w:position w:val="0"/>
          <w:sz w:val="18"/>
          <w:u w:val="none"/>
          <w:vertAlign w:val="baseline"/>
        </w:rPr>
        <w:t>[1978] IRLR 27</w:t>
      </w:r>
      <w:r>
        <w:rPr>
          <w:rFonts w:ascii="arial" w:eastAsia="arial" w:hAnsi="arial" w:cs="arial"/>
          <w:b w:val="0"/>
          <w:i/>
          <w:strike w:val="0"/>
          <w:noProof w:val="0"/>
          <w:color w:val="000000"/>
          <w:position w:val="0"/>
          <w:sz w:val="18"/>
          <w:u w:val="none"/>
          <w:vertAlign w:val="baseline"/>
        </w:rPr>
        <w:t>, it means no more than the common law right of an employee to repudiate his contract of service where the conduct of his employer is such that the latter is guilty of a breach going to the root of the contract or where he has evinced an intention no longer to be bound by the contract. In such situations the employee is entitled to regard himself as being dismissed and walk out of his employment.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When the Industrial Court is dealing with a reference under</w:t>
      </w:r>
      <w:r>
        <w:rPr>
          <w:rFonts w:ascii="arial" w:eastAsia="arial" w:hAnsi="arial" w:cs="arial"/>
          <w:b w:val="0"/>
          <w:i w:val="0"/>
          <w:strike w:val="0"/>
          <w:noProof w:val="0"/>
          <w:color w:val="000000"/>
          <w:position w:val="0"/>
          <w:sz w:val="18"/>
          <w:u w:val="none"/>
          <w:vertAlign w:val="baseline"/>
        </w:rPr>
        <w:t xml:space="preserve"> s. 20</w:t>
      </w:r>
      <w:r>
        <w:rPr>
          <w:rFonts w:ascii="arial" w:eastAsia="arial" w:hAnsi="arial" w:cs="arial"/>
          <w:b w:val="0"/>
          <w:i/>
          <w:strike w:val="0"/>
          <w:noProof w:val="0"/>
          <w:color w:val="000000"/>
          <w:position w:val="0"/>
          <w:sz w:val="18"/>
          <w:u w:val="none"/>
          <w:vertAlign w:val="baseline"/>
        </w:rPr>
        <w:t>, the first thing that the Court will have to do is to ask itself a question whether there was a dismissal, and if so, whether it was with or without just cause or excuse. ... We think that the word “dismissal” in this section should be interpreted with reference to the common law principle. Thus it would be a dismissal if an employer is guilty of a breach which goes to the root of the contract or if he has evinced an intention no longer to be bound by it. In such situation the employee is entitled to regard the contract as terminated and himself as being dismissed. (See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Bouzourou v. The Ottoman Bank  </w:t>
      </w:r>
      <w:r>
        <w:rPr>
          <w:rFonts w:ascii="arial" w:eastAsia="arial" w:hAnsi="arial" w:cs="arial"/>
          <w:b w:val="0"/>
          <w:i w:val="0"/>
          <w:strike w:val="0"/>
          <w:noProof w:val="0"/>
          <w:color w:val="000000"/>
          <w:position w:val="0"/>
          <w:sz w:val="18"/>
          <w:u w:val="none"/>
          <w:vertAlign w:val="baseline"/>
        </w:rPr>
        <w:t>[1930] AC 271</w:t>
      </w:r>
      <w:r>
        <w:rPr>
          <w:rFonts w:ascii="arial" w:eastAsia="arial" w:hAnsi="arial" w:cs="arial"/>
          <w:b w:val="0"/>
          <w:i/>
          <w:strike w:val="0"/>
          <w:noProof w:val="0"/>
          <w:color w:val="000000"/>
          <w:position w:val="0"/>
          <w:sz w:val="18"/>
          <w:u w:val="none"/>
          <w:vertAlign w:val="baseline"/>
        </w:rPr>
        <w:t xml:space="preserve"> and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Donovan v. Invicta Airways Ltd.  </w:t>
      </w:r>
      <w:r>
        <w:rPr>
          <w:rFonts w:ascii="arial" w:eastAsia="arial" w:hAnsi="arial" w:cs="arial"/>
          <w:b w:val="0"/>
          <w:i w:val="0"/>
          <w:strike w:val="0"/>
          <w:noProof w:val="0"/>
          <w:color w:val="000000"/>
          <w:position w:val="0"/>
          <w:sz w:val="18"/>
          <w:u w:val="none"/>
          <w:vertAlign w:val="baseline"/>
        </w:rPr>
        <w:t>[1970] Lloyd’s LR 486</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The applicable test as regards constructive dismissal, i.e. the contract test, has also been laid down by the Supreme Court in the abovementioned case of </w:t>
      </w:r>
      <w:r>
        <w:rPr>
          <w:rFonts w:ascii="arial" w:eastAsia="arial" w:hAnsi="arial" w:cs="arial"/>
          <w:b w:val="0"/>
          <w:i/>
          <w:strike w:val="0"/>
          <w:noProof w:val="0"/>
          <w:color w:val="000000"/>
          <w:position w:val="0"/>
          <w:sz w:val="24"/>
          <w:u w:val="none"/>
          <w:vertAlign w:val="baseline"/>
        </w:rPr>
        <w:t>Wong Chee Hong v Cathay Organization (M) Sdn Bhd</w:t>
      </w:r>
      <w:r>
        <w:rPr>
          <w:rFonts w:ascii="arial" w:eastAsia="arial" w:hAnsi="arial" w:cs="arial"/>
          <w:b w:val="0"/>
          <w:i w:val="0"/>
          <w:strike w:val="0"/>
          <w:noProof w:val="0"/>
          <w:color w:val="000000"/>
          <w:position w:val="0"/>
          <w:sz w:val="24"/>
          <w:u w:val="none"/>
          <w:vertAlign w:val="baseline"/>
        </w:rPr>
        <w:t xml:space="preserve">. Salleh Abas LP, at pp. 301 – 302,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The common law has always recognized the right of an employee to terminate his contract of service and therefore to consider himself as discharged from further obligations if the employer is guilty of such breach as affects the foundation of the contract or if the employer has evinced or shown an intention not to be bound by it any longer. It was an attempt to enlarge the right of the employee of unilateral termination of his contract beyond the perimeter of the common law by an unreasonable conduct of his employer that the expression “constructive dismissal” was used. ... But many thought, and a few decisions were made, that an employee in addition to his common law right could terminate the contract if his employer acted unreasonably. Lord Denning MR, with whom the other two Lord Justices in the case of Western Excavation (supra) reiterating an earlier decision of the Court of Appeal presided by him (see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Marriott v. Oxford and District Co-operative Society Ltd.  </w:t>
      </w:r>
      <w:r>
        <w:rPr>
          <w:rFonts w:ascii="arial" w:eastAsia="arial" w:hAnsi="arial" w:cs="arial"/>
          <w:b w:val="0"/>
          <w:i w:val="0"/>
          <w:strike w:val="0"/>
          <w:noProof w:val="0"/>
          <w:color w:val="000000"/>
          <w:position w:val="0"/>
          <w:sz w:val="18"/>
          <w:u w:val="none"/>
          <w:vertAlign w:val="baseline"/>
        </w:rPr>
        <w:t>[1969] 3 All ER 1126</w:t>
      </w:r>
      <w:r>
        <w:rPr>
          <w:rFonts w:ascii="arial" w:eastAsia="arial" w:hAnsi="arial" w:cs="arial"/>
          <w:b w:val="0"/>
          <w:i/>
          <w:strike w:val="0"/>
          <w:noProof w:val="0"/>
          <w:color w:val="000000"/>
          <w:position w:val="0"/>
          <w:sz w:val="18"/>
          <w:u w:val="none"/>
          <w:vertAlign w:val="baseline"/>
        </w:rPr>
        <w:t>) rejected this test of unreasonableness. In no uncertain terms the learned Master of the Rolls declared that the test of dismissal … is a contract test.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Thus it is clear that even in England, “constructive dismissal” does not mean that an employee can automatically terminate the contract when his employer acts or behaves unreasonably towards him. Indeed if it were so, it is dangerous and can lead to abuse and unsettled industrial relation. ... What is left of the expression is now no more than the employee’s right under the common law, which we have stated earlier and goes no further. Alternative expression with the same meaning, such as “implied dismissal” or even “circumstantial dismissal” may well be coined and used. But all these could not go beyond the common law test.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When the Industrial Court is dealing with a reference under</w:t>
      </w:r>
      <w:r>
        <w:rPr>
          <w:rFonts w:ascii="arial" w:eastAsia="arial" w:hAnsi="arial" w:cs="arial"/>
          <w:b w:val="0"/>
          <w:i w:val="0"/>
          <w:strike w:val="0"/>
          <w:noProof w:val="0"/>
          <w:color w:val="000000"/>
          <w:position w:val="0"/>
          <w:sz w:val="18"/>
          <w:u w:val="none"/>
          <w:vertAlign w:val="baseline"/>
        </w:rPr>
        <w:t xml:space="preserve"> s. 20</w:t>
      </w:r>
      <w:r>
        <w:rPr>
          <w:rFonts w:ascii="arial" w:eastAsia="arial" w:hAnsi="arial" w:cs="arial"/>
          <w:b w:val="0"/>
          <w:i/>
          <w:strike w:val="0"/>
          <w:noProof w:val="0"/>
          <w:color w:val="000000"/>
          <w:position w:val="0"/>
          <w:sz w:val="18"/>
          <w:u w:val="none"/>
          <w:vertAlign w:val="baseline"/>
        </w:rPr>
        <w:t>, the first thing that the Court will have to do is to ask itself a question whether there was a dismissal, and if so, whether it was with or without just cause or excuse. Dismissal without just cause or excuse may well be similar in concepts to the UK legislation on unfair dismissal, but these two are not exactly identical.</w:t>
      </w:r>
      <w:r>
        <w:rPr>
          <w:rFonts w:ascii="arial" w:eastAsia="arial" w:hAnsi="arial" w:cs="arial"/>
          <w:b w:val="0"/>
          <w:i w:val="0"/>
          <w:strike w:val="0"/>
          <w:noProof w:val="0"/>
          <w:color w:val="000000"/>
          <w:position w:val="0"/>
          <w:sz w:val="18"/>
          <w:u w:val="none"/>
          <w:vertAlign w:val="baseline"/>
        </w:rPr>
        <w:t xml:space="preserve"> Section 20</w:t>
      </w:r>
      <w:r>
        <w:rPr>
          <w:rFonts w:ascii="arial" w:eastAsia="arial" w:hAnsi="arial" w:cs="arial"/>
          <w:b w:val="0"/>
          <w:i/>
          <w:strike w:val="0"/>
          <w:noProof w:val="0"/>
          <w:color w:val="000000"/>
          <w:position w:val="0"/>
          <w:sz w:val="18"/>
          <w:u w:val="none"/>
          <w:vertAlign w:val="baseline"/>
        </w:rPr>
        <w:t xml:space="preserve"> of our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is entirely different from para. (c) of</w:t>
      </w:r>
      <w:r>
        <w:rPr>
          <w:rFonts w:ascii="arial" w:eastAsia="arial" w:hAnsi="arial" w:cs="arial"/>
          <w:b w:val="0"/>
          <w:i w:val="0"/>
          <w:strike w:val="0"/>
          <w:noProof w:val="0"/>
          <w:color w:val="000000"/>
          <w:position w:val="0"/>
          <w:sz w:val="18"/>
          <w:u w:val="none"/>
          <w:vertAlign w:val="baseline"/>
        </w:rPr>
        <w:t xml:space="preserve"> s. 55(2) of the  UK Protection of 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1978</w:t>
      </w:r>
      <w:r>
        <w:rPr>
          <w:rFonts w:ascii="arial" w:eastAsia="arial" w:hAnsi="arial" w:cs="arial"/>
          <w:b w:val="0"/>
          <w:i/>
          <w:strike w:val="0"/>
          <w:noProof w:val="0"/>
          <w:color w:val="000000"/>
          <w:position w:val="0"/>
          <w:sz w:val="18"/>
          <w:u w:val="none"/>
          <w:vertAlign w:val="baseline"/>
        </w:rPr>
        <w:t>. Therefore we cannot see how the test of unreasonableness which is the basis of the much advocated concept of constructive dismissal by a certain school of thought in UK should be introduced as an aid to the interpretation of the word “dismissal” in our</w:t>
      </w:r>
      <w:r>
        <w:rPr>
          <w:rFonts w:ascii="arial" w:eastAsia="arial" w:hAnsi="arial" w:cs="arial"/>
          <w:b w:val="0"/>
          <w:i w:val="0"/>
          <w:strike w:val="0"/>
          <w:noProof w:val="0"/>
          <w:color w:val="000000"/>
          <w:position w:val="0"/>
          <w:sz w:val="18"/>
          <w:u w:val="none"/>
          <w:vertAlign w:val="baseline"/>
        </w:rPr>
        <w:t xml:space="preserve"> s. 20</w:t>
      </w:r>
      <w:r>
        <w:rPr>
          <w:rFonts w:ascii="arial" w:eastAsia="arial" w:hAnsi="arial" w:cs="arial"/>
          <w:b w:val="0"/>
          <w:i/>
          <w:strike w:val="0"/>
          <w:noProof w:val="0"/>
          <w:color w:val="000000"/>
          <w:position w:val="0"/>
          <w:sz w:val="18"/>
          <w:u w:val="none"/>
          <w:vertAlign w:val="baseline"/>
        </w:rPr>
        <w:t>. We think that the word “dismissal” in this section should be interpreted with reference to the common law principle.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 xml:space="preserve">Thus it would be a dismissal if an employer is guilty of a breach which goes to the </w:t>
      </w:r>
      <w:r>
        <w:rPr>
          <w:rFonts w:ascii="arial" w:eastAsia="arial" w:hAnsi="arial" w:cs="arial"/>
          <w:b/>
          <w:i/>
          <w:strike w:val="0"/>
          <w:noProof w:val="0"/>
          <w:color w:val="000000"/>
          <w:position w:val="0"/>
          <w:sz w:val="18"/>
          <w:u w:val="single"/>
          <w:vertAlign w:val="baseline"/>
        </w:rPr>
        <w:t>root of the contract</w:t>
      </w:r>
      <w:r>
        <w:rPr>
          <w:rFonts w:ascii="arial" w:eastAsia="arial" w:hAnsi="arial" w:cs="arial"/>
          <w:b w:val="0"/>
          <w:i/>
          <w:strike w:val="0"/>
          <w:noProof w:val="0"/>
          <w:color w:val="000000"/>
          <w:position w:val="0"/>
          <w:sz w:val="18"/>
          <w:u w:val="single"/>
          <w:vertAlign w:val="baseline"/>
        </w:rPr>
        <w:t xml:space="preserve"> or if he </w:t>
      </w:r>
      <w:r>
        <w:rPr>
          <w:rFonts w:ascii="arial" w:eastAsia="arial" w:hAnsi="arial" w:cs="arial"/>
          <w:b/>
          <w:i/>
          <w:strike w:val="0"/>
          <w:noProof w:val="0"/>
          <w:color w:val="000000"/>
          <w:position w:val="0"/>
          <w:sz w:val="18"/>
          <w:u w:val="single"/>
          <w:vertAlign w:val="baseline"/>
        </w:rPr>
        <w:t>has evinced an intention no longer to be bound by it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In such situation the employee is entitled to regard the contract as terminated and himself as being dismissed.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Bouzourou v. The Ottoman Bank  </w:t>
      </w:r>
      <w:r>
        <w:rPr>
          <w:rFonts w:ascii="arial" w:eastAsia="arial" w:hAnsi="arial" w:cs="arial"/>
          <w:b w:val="0"/>
          <w:i w:val="0"/>
          <w:strike w:val="0"/>
          <w:noProof w:val="0"/>
          <w:color w:val="000000"/>
          <w:position w:val="0"/>
          <w:sz w:val="18"/>
          <w:u w:val="none"/>
          <w:vertAlign w:val="baseline"/>
        </w:rPr>
        <w:t xml:space="preserve">[1930] AC 271 </w:t>
      </w:r>
      <w:r>
        <w:rPr>
          <w:rFonts w:ascii="arial" w:eastAsia="arial" w:hAnsi="arial" w:cs="arial"/>
          <w:b w:val="0"/>
          <w:i/>
          <w:strike w:val="0"/>
          <w:noProof w:val="0"/>
          <w:color w:val="000000"/>
          <w:position w:val="0"/>
          <w:sz w:val="18"/>
          <w:u w:val="none"/>
          <w:vertAlign w:val="baseline"/>
        </w:rPr>
        <w:t>and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Donovan v. Invicta Airways Ltd.  </w:t>
      </w:r>
      <w:r>
        <w:rPr>
          <w:rFonts w:ascii="arial" w:eastAsia="arial" w:hAnsi="arial" w:cs="arial"/>
          <w:b w:val="0"/>
          <w:i w:val="0"/>
          <w:strike w:val="0"/>
          <w:noProof w:val="0"/>
          <w:color w:val="000000"/>
          <w:position w:val="0"/>
          <w:sz w:val="18"/>
          <w:u w:val="none"/>
          <w:vertAlign w:val="baseline"/>
        </w:rPr>
        <w:t>[1970] Lloyd’s LR 486</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The contract test has been applied by the courts in Malaysia for purposes of constructive dismissal cases including by the Court of Appeal in the case of </w:t>
      </w:r>
      <w:r>
        <w:rPr>
          <w:rFonts w:ascii="arial" w:eastAsia="arial" w:hAnsi="arial" w:cs="arial"/>
          <w:b w:val="0"/>
          <w:i/>
          <w:strike w:val="0"/>
          <w:noProof w:val="0"/>
          <w:color w:val="000000"/>
          <w:position w:val="0"/>
          <w:sz w:val="24"/>
          <w:u w:val="none"/>
          <w:vertAlign w:val="baseline"/>
        </w:rPr>
        <w:t xml:space="preserve">CIMB Bank Bhd v Ahmad Suhairi Mat Ali &amp; Anor  </w:t>
      </w:r>
      <w:r>
        <w:rPr>
          <w:rFonts w:ascii="arial" w:eastAsia="arial" w:hAnsi="arial" w:cs="arial"/>
          <w:b w:val="0"/>
          <w:i w:val="0"/>
          <w:strike w:val="0"/>
          <w:noProof w:val="0"/>
          <w:color w:val="000000"/>
          <w:position w:val="0"/>
          <w:sz w:val="24"/>
          <w:u w:val="none"/>
          <w:vertAlign w:val="baseline"/>
        </w:rPr>
        <w:t>[2023] 4 ILR 1 whereby S Nantha Balan JCA, at pp. 7 – 10, held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[11] In Malaysia, the concept of “constructive dismissal” was given judicial recognition by the then Supreme Court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Wong Chee Hong v Cathay Organization (M) Sdn Bhd  </w:t>
      </w:r>
      <w:r>
        <w:rPr>
          <w:rFonts w:ascii="arial" w:eastAsia="arial" w:hAnsi="arial" w:cs="arial"/>
          <w:b w:val="0"/>
          <w:i w:val="0"/>
          <w:strike w:val="0"/>
          <w:noProof w:val="0"/>
          <w:color w:val="000000"/>
          <w:position w:val="0"/>
          <w:sz w:val="18"/>
          <w:u w:val="none"/>
          <w:vertAlign w:val="baseline"/>
        </w:rPr>
        <w:t>[1988] 1 CLJ 45; [1988] 1 CLJ (Rep) 298; [1988] 1 MLJ 92; [1987] 1 MLRA 346</w:t>
      </w:r>
      <w:r>
        <w:rPr>
          <w:rFonts w:ascii="arial" w:eastAsia="arial" w:hAnsi="arial" w:cs="arial"/>
          <w:b w:val="0"/>
          <w:i/>
          <w:strike w:val="0"/>
          <w:noProof w:val="0"/>
          <w:color w:val="000000"/>
          <w:position w:val="0"/>
          <w:sz w:val="18"/>
          <w:u w:val="none"/>
          <w:vertAlign w:val="baseline"/>
        </w:rPr>
        <w:t xml:space="preserve"> (SC) (“ Wong Chee Hong”).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[14] In the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Bayer (M) Sdn Bhd v. Anwar Abd Rahim  </w:t>
      </w:r>
      <w:r>
        <w:rPr>
          <w:rFonts w:ascii="arial" w:eastAsia="arial" w:hAnsi="arial" w:cs="arial"/>
          <w:b w:val="0"/>
          <w:i w:val="0"/>
          <w:strike w:val="0"/>
          <w:noProof w:val="0"/>
          <w:color w:val="000000"/>
          <w:position w:val="0"/>
          <w:sz w:val="18"/>
          <w:u w:val="none"/>
          <w:vertAlign w:val="baseline"/>
        </w:rPr>
        <w:t>[1996] 2 CLJ 49; [1995] MLJU 558</w:t>
      </w:r>
      <w:r>
        <w:rPr>
          <w:rFonts w:ascii="arial" w:eastAsia="arial" w:hAnsi="arial" w:cs="arial"/>
          <w:b w:val="0"/>
          <w:i/>
          <w:strike w:val="0"/>
          <w:noProof w:val="0"/>
          <w:color w:val="000000"/>
          <w:position w:val="0"/>
          <w:sz w:val="18"/>
          <w:u w:val="none"/>
          <w:vertAlign w:val="baseline"/>
        </w:rPr>
        <w:t xml:space="preserve"> (HC), Low Hop Bing JC (as he then was) applied the principle that was enunciated in Wong Chee Hong (supra) and reiterated that the test in a constructive dismissal case is not the “test of unreasonableness”, but the “contract test”. The learned judge rendered a lucid explanation on the test and the conditions which must be fulfilled in the following words (pp. 52 to 53 of the CLJ report):</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In my judgment, in order to succeed in a claim for constructive dismissal, the employee must prove to the satisfaction of the Court that the employer is guilty of a breach which goes to the root of the contract or if the employer has evinced an intention no longer to be bound by it. It is only in such a situation that the employee is entitled to regard the contract as terminated and treat himself as being dismissed. Constructive dismissal does not mean that an employee can automatically terminate the contract when his employer acts or behaves unreasonably towards him. Indeed, if it were so, it is dangerous and can lead to abuse and unsettled industrial relations. Thus, it is settled law that the test applicable in a constructive dismissal case is “the contract test” and not “the test of reasonableness”. To claim constructive dismissal, four conditions must be fulfilled. These conditions are:</w:t>
      </w:r>
      <w:r>
        <w:t>
</w:t>
      </w:r>
    </w:p>
    <w:p>
      <w:pPr>
        <w:keepNext w:val="0"/>
        <w:numPr>
          <w:numId w:val="25"/>
        </w:numPr>
        <w:spacing w:before="120" w:after="0" w:line="240" w:lineRule="atLeast"/>
        <w:ind w:left="1560" w:right="0"/>
        <w:jc w:val="both"/>
      </w:pPr>
      <w:r>
        <w:rPr>
          <w:rFonts w:ascii="arial" w:eastAsia="arial" w:hAnsi="arial" w:cs="arial"/>
          <w:b w:val="0"/>
          <w:i/>
          <w:strike w:val="0"/>
          <w:noProof w:val="0"/>
          <w:color w:val="000000"/>
          <w:position w:val="0"/>
          <w:sz w:val="18"/>
          <w:u w:val="none"/>
          <w:vertAlign w:val="baseline"/>
        </w:rPr>
        <w:t>There must be a breach of contract by the employer;</w:t>
      </w:r>
    </w:p>
    <w:p>
      <w:pPr>
        <w:keepNext w:val="0"/>
        <w:numPr>
          <w:numId w:val="26"/>
        </w:numPr>
        <w:spacing w:before="120" w:after="0" w:line="240" w:lineRule="atLeast"/>
        <w:ind w:left="1560" w:right="0"/>
        <w:jc w:val="both"/>
      </w:pPr>
      <w:r>
        <w:rPr>
          <w:rFonts w:ascii="arial" w:eastAsia="arial" w:hAnsi="arial" w:cs="arial"/>
          <w:b w:val="0"/>
          <w:i/>
          <w:strike w:val="0"/>
          <w:noProof w:val="0"/>
          <w:color w:val="000000"/>
          <w:position w:val="0"/>
          <w:sz w:val="18"/>
          <w:u w:val="none"/>
          <w:vertAlign w:val="baseline"/>
        </w:rPr>
        <w:t>The breach must be sufficiently important to justify the employee resigning;</w:t>
      </w:r>
    </w:p>
    <w:p>
      <w:pPr>
        <w:keepNext w:val="0"/>
        <w:numPr>
          <w:numId w:val="27"/>
        </w:numPr>
        <w:spacing w:before="120" w:after="0" w:line="240" w:lineRule="atLeast"/>
        <w:ind w:left="1560" w:right="0"/>
        <w:jc w:val="both"/>
      </w:pPr>
      <w:r>
        <w:rPr>
          <w:rFonts w:ascii="arial" w:eastAsia="arial" w:hAnsi="arial" w:cs="arial"/>
          <w:b w:val="0"/>
          <w:i/>
          <w:strike w:val="0"/>
          <w:noProof w:val="0"/>
          <w:color w:val="000000"/>
          <w:position w:val="0"/>
          <w:sz w:val="18"/>
          <w:u w:val="none"/>
          <w:vertAlign w:val="baseline"/>
        </w:rPr>
        <w:t>The employee must leave in response to the breach and not for any other unconnected reasons; and</w:t>
      </w:r>
    </w:p>
    <w:p>
      <w:pPr>
        <w:keepNext w:val="0"/>
        <w:numPr>
          <w:numId w:val="28"/>
        </w:numPr>
        <w:spacing w:before="120" w:after="0" w:line="240" w:lineRule="atLeast"/>
        <w:ind w:left="1560" w:right="0"/>
        <w:jc w:val="both"/>
      </w:pPr>
      <w:r>
        <w:rPr>
          <w:rFonts w:ascii="arial" w:eastAsia="arial" w:hAnsi="arial" w:cs="arial"/>
          <w:b w:val="0"/>
          <w:i/>
          <w:strike w:val="0"/>
          <w:noProof w:val="0"/>
          <w:color w:val="000000"/>
          <w:position w:val="0"/>
          <w:sz w:val="18"/>
          <w:u w:val="none"/>
          <w:vertAlign w:val="baseline"/>
        </w:rPr>
        <w:t>He must not occasion any undue delay in terminating the contract, otherwise he will be deemed to have waived the breach and agreed to vary the contract…</w:t>
      </w:r>
    </w:p>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[15]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Anwar Abdul Rahim v. Bayer (M) Sdn Bhd  </w:t>
      </w:r>
      <w:r>
        <w:rPr>
          <w:rFonts w:ascii="arial" w:eastAsia="arial" w:hAnsi="arial" w:cs="arial"/>
          <w:b w:val="0"/>
          <w:i w:val="0"/>
          <w:strike w:val="0"/>
          <w:noProof w:val="0"/>
          <w:color w:val="000000"/>
          <w:position w:val="0"/>
          <w:sz w:val="18"/>
          <w:u w:val="none"/>
          <w:vertAlign w:val="baseline"/>
        </w:rPr>
        <w:t>[1998] 2 CLJ 197; [1998] 2 MLJ 599</w:t>
      </w:r>
      <w:r>
        <w:rPr>
          <w:rFonts w:ascii="arial" w:eastAsia="arial" w:hAnsi="arial" w:cs="arial"/>
          <w:b w:val="0"/>
          <w:i/>
          <w:strike w:val="0"/>
          <w:noProof w:val="0"/>
          <w:color w:val="000000"/>
          <w:position w:val="0"/>
          <w:sz w:val="18"/>
          <w:u w:val="none"/>
          <w:vertAlign w:val="baseline"/>
        </w:rPr>
        <w:t xml:space="preserve"> (CA), Mahadev Shankar JCA affirmed the decision of the High Court and reiterated that the test for constructive dismissal is the “contract test”.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[16] At p. 205 (CLJ); pp. 605 to 606 of the MLJ report Justice Shankar said:</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It has been repeatedly held by our courts that the proper approach in deciding whether constructive dismissal has taken place is not to ask oneself whether the employer’s conduct was unfair or unreasonable (the unreasonableness test) but whether “the conduct of the employer was such that the employer was guilty of a breach going to the root of the contract or whether he has evinced an intention no longer to be bound by the contract”.</w:t>
      </w:r>
      <w:r>
        <w:t>
</w:t>
      </w:r>
    </w:p>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[18] From the perspective of the “contract test”, constructive dismissal is essentially and conceptually predicated on the employer’s unilateral variation of the contract of employment which amounts to a fundamental breach and regarded as conduct which is repudiatory of the contract of employment, entitling the employee to walk out and claim that he had been constructively dismissed.</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[19] Thus, two questions arise for consideration in determining whether a claim based on constructive dismissal can succeed. The first question is - did the employer’s conduct amount to a breach of the contract of employment going to the root of the contract, (ie, “fundamental breach”)? The second question is - did the employee make up his mind and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at the appropriate point in time soon after the conduct of which he had complained had taken place? This takes us to the question of delay on the part of the employee.</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Thus, based on the abovementioned cases, in a constructive dismissal case, such as the present case, the burden is on the Claimant to proof that on the balance of probabilities, based on the contract test, he has been constructively dismissed.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xml:space="preserve">  As per the conditions laid down in the case of </w:t>
      </w:r>
      <w:r>
        <w:rPr>
          <w:rFonts w:ascii="arial" w:eastAsia="arial" w:hAnsi="arial" w:cs="arial"/>
          <w:b w:val="0"/>
          <w:i/>
          <w:strike w:val="0"/>
          <w:noProof w:val="0"/>
          <w:color w:val="000000"/>
          <w:position w:val="0"/>
          <w:sz w:val="24"/>
          <w:u w:val="none"/>
          <w:vertAlign w:val="baseline"/>
        </w:rPr>
        <w:t xml:space="preserve">Bayer (M) Sdn Bhd v. Anwar Abd Rahim  </w:t>
      </w:r>
      <w:r>
        <w:rPr>
          <w:rFonts w:ascii="arial" w:eastAsia="arial" w:hAnsi="arial" w:cs="arial"/>
          <w:b w:val="0"/>
          <w:i w:val="0"/>
          <w:strike w:val="0"/>
          <w:noProof w:val="0"/>
          <w:color w:val="000000"/>
          <w:position w:val="0"/>
          <w:sz w:val="24"/>
          <w:u w:val="none"/>
          <w:vertAlign w:val="baseline"/>
        </w:rPr>
        <w:t>[1996] 2 CLJ 49; [1995] MLJU 558, the Claimant would have to fulfill the following four conditions –</w:t>
      </w:r>
      <w:r>
        <w:t>
</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breach of the terms of the letter of appointment dated 23rd October 2002 by the Company;</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said breach must be sufficiently important to justify the Claimant’s claim of constructive dismissal;</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left his employment in response to the breach and not for any other unconnected reasons; and</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is no undue delay on the part of the Claimant in leaving his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Having considered the evidence given by the Claimant and the Company as well as the submissions of both the Claimant and the Company, this Court finds that –</w:t>
      </w:r>
      <w:r>
        <w:t>
</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based on the terms and conditions of employment as stipulated in the letter of appointment dated 23rd October 2002, the Claimant,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strike w:val="0"/>
          <w:noProof w:val="0"/>
          <w:color w:val="000000"/>
          <w:position w:val="0"/>
          <w:sz w:val="24"/>
          <w:u w:val="none"/>
          <w:vertAlign w:val="baseline"/>
        </w:rPr>
        <w:t>…will be paid a commission of the sales generated under the guidelines from the management…</w:t>
      </w:r>
      <w:r>
        <w:rPr>
          <w:rFonts w:ascii="arial" w:eastAsia="arial" w:hAnsi="arial" w:cs="arial"/>
          <w:b w:val="0"/>
          <w:i w:val="0"/>
          <w:strike w:val="0"/>
          <w:noProof w:val="0"/>
          <w:color w:val="000000"/>
          <w:position w:val="0"/>
          <w:sz w:val="24"/>
          <w:u w:val="none"/>
          <w:vertAlign w:val="baseline"/>
        </w:rPr>
        <w:t xml:space="preserve">”. These guidelines are appended to the said letter as </w:t>
      </w:r>
      <w:r>
        <w:rPr>
          <w:rFonts w:ascii="arial" w:eastAsia="arial" w:hAnsi="arial" w:cs="arial"/>
          <w:b w:val="0"/>
          <w:i/>
          <w:strike w:val="0"/>
          <w:noProof w:val="0"/>
          <w:color w:val="000000"/>
          <w:position w:val="0"/>
          <w:sz w:val="24"/>
          <w:u w:val="none"/>
          <w:vertAlign w:val="baseline"/>
        </w:rPr>
        <w:t>Addendum to Contract</w:t>
      </w:r>
      <w:r>
        <w:rPr>
          <w:rFonts w:ascii="arial" w:eastAsia="arial" w:hAnsi="arial" w:cs="arial"/>
          <w:b w:val="0"/>
          <w:i w:val="0"/>
          <w:strike w:val="0"/>
          <w:noProof w:val="0"/>
          <w:color w:val="000000"/>
          <w:position w:val="0"/>
          <w:sz w:val="24"/>
          <w:u w:val="none"/>
          <w:vertAlign w:val="baseline"/>
        </w:rPr>
        <w:t>;</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per the </w:t>
      </w:r>
      <w:r>
        <w:rPr>
          <w:rFonts w:ascii="arial" w:eastAsia="arial" w:hAnsi="arial" w:cs="arial"/>
          <w:b w:val="0"/>
          <w:i/>
          <w:strike w:val="0"/>
          <w:noProof w:val="0"/>
          <w:color w:val="000000"/>
          <w:position w:val="0"/>
          <w:sz w:val="24"/>
          <w:u w:val="none"/>
          <w:vertAlign w:val="baseline"/>
        </w:rPr>
        <w:t>Addendum to Contract</w:t>
      </w:r>
      <w:r>
        <w:rPr>
          <w:rFonts w:ascii="arial" w:eastAsia="arial" w:hAnsi="arial" w:cs="arial"/>
          <w:b w:val="0"/>
          <w:i w:val="0"/>
          <w:strike w:val="0"/>
          <w:noProof w:val="0"/>
          <w:color w:val="000000"/>
          <w:position w:val="0"/>
          <w:sz w:val="24"/>
          <w:u w:val="none"/>
          <w:vertAlign w:val="baseline"/>
        </w:rPr>
        <w:t xml:space="preserve"> which is annexed to the letter of appointment dated 23rd October 2002, it is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as follows –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A commission will be paid to the sales executive of the List Price minus the contractor commission and discount as follows:</w:t>
      </w:r>
    </w:p>
    <w:p>
      <w:pPr>
        <w:keepNext w:val="0"/>
        <w:spacing w:before="120" w:after="0" w:line="240" w:lineRule="atLeast"/>
        <w:ind w:left="1520" w:right="0"/>
        <w:jc w:val="both"/>
      </w:pPr>
      <w:r>
        <w:br/>
      </w:r>
      <w:r>
        <w:rPr>
          <w:rFonts w:ascii="arial" w:eastAsia="arial" w:hAnsi="arial" w:cs="arial"/>
          <w:b/>
          <w:i/>
          <w:strike w:val="0"/>
          <w:noProof w:val="0"/>
          <w:color w:val="000000"/>
          <w:position w:val="0"/>
          <w:sz w:val="18"/>
          <w:u w:val="single"/>
          <w:vertAlign w:val="baseline"/>
        </w:rPr>
        <w:t>For Residential Sales</w:t>
      </w:r>
    </w:p>
    <w:p/>
    <w:tbl>
      <w:tblPr>
        <w:tblW w:w="5000" w:type="pct"/>
        <w:jc w:val="left"/>
        <w:tblInd w:w="760" w:type="dxa"/>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4920"/>
        <w:gridCol w:w="4920"/>
      </w:tblGrid>
      <w:tr>
        <w:tblPrEx>
          <w:tblW w:w="5000" w:type="pct"/>
          <w:tblInd w:w="760" w:type="dxa"/>
          <w:tblLayout w:type="fixed"/>
        </w:tblPrEx>
        <w:tc>
          <w:tcPr>
            <w:tcW w:w="4920" w:type="dxa"/>
            <w:tcBorders>
              <w:bottom w:val="single" w:sz="2" w:space="0" w:color="BCBEC0"/>
              <w:right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strike w:val="0"/>
                <w:noProof w:val="0"/>
                <w:color w:val="000000"/>
                <w:position w:val="0"/>
                <w:sz w:val="18"/>
                <w:u w:val="none"/>
                <w:vertAlign w:val="baseline"/>
              </w:rPr>
              <w:t>Monthly Sales Target</w:t>
            </w:r>
          </w:p>
        </w:tc>
        <w:tc>
          <w:tcPr>
            <w:tcW w:w="4920" w:type="dxa"/>
            <w:tcBorders>
              <w:bottom w:val="single" w:sz="2" w:space="0" w:color="BCBEC0"/>
            </w:tcBorders>
            <w:tcMar>
              <w:top w:w="100" w:type="dxa"/>
              <w:bottom w:w="100" w:type="dxa"/>
            </w:tcMar>
            <w:vAlign w:val="top"/>
          </w:tcPr>
          <w:p>
            <w:pPr>
              <w:spacing w:before="120" w:after="0" w:line="220" w:lineRule="atLeast"/>
              <w:ind w:left="360"/>
              <w:jc w:val="center"/>
            </w:pPr>
            <w:r>
              <w:rPr>
                <w:rFonts w:ascii="arial" w:eastAsia="arial" w:hAnsi="arial" w:cs="arial"/>
                <w:b w:val="0"/>
                <w:i/>
                <w:strike w:val="0"/>
                <w:noProof w:val="0"/>
                <w:color w:val="000000"/>
                <w:position w:val="0"/>
                <w:sz w:val="18"/>
                <w:u w:val="none"/>
                <w:vertAlign w:val="baseline"/>
              </w:rPr>
              <w:t>Incentive %</w:t>
            </w:r>
          </w:p>
        </w:tc>
      </w:tr>
      <w:tr>
        <w:tblPrEx>
          <w:tblW w:w="5000" w:type="pct"/>
          <w:tblInd w:w="760" w:type="dxa"/>
          <w:tblLayout w:type="fixed"/>
        </w:tblPrEx>
        <w:tc>
          <w:tcPr>
            <w:tcW w:w="4920" w:type="dxa"/>
            <w:tcBorders>
              <w:bottom w:val="single" w:sz="2" w:space="0" w:color="BCBEC0"/>
              <w:right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strike w:val="0"/>
                <w:noProof w:val="0"/>
                <w:color w:val="000000"/>
                <w:position w:val="0"/>
                <w:sz w:val="18"/>
                <w:u w:val="none"/>
                <w:vertAlign w:val="baseline"/>
              </w:rPr>
              <w:t>Sales volume, value below RM15,000</w:t>
            </w:r>
          </w:p>
        </w:tc>
        <w:tc>
          <w:tcPr>
            <w:tcW w:w="4920" w:type="dxa"/>
            <w:tcBorders>
              <w:bottom w:val="single" w:sz="2" w:space="0" w:color="BCBEC0"/>
            </w:tcBorders>
            <w:tcMar>
              <w:top w:w="100" w:type="dxa"/>
              <w:bottom w:w="100" w:type="dxa"/>
            </w:tcMar>
            <w:vAlign w:val="top"/>
          </w:tcPr>
          <w:p>
            <w:pPr>
              <w:spacing w:before="120" w:after="0" w:line="220" w:lineRule="atLeast"/>
              <w:ind w:left="360"/>
              <w:jc w:val="center"/>
            </w:pPr>
            <w:r>
              <w:rPr>
                <w:rFonts w:ascii="arial" w:eastAsia="arial" w:hAnsi="arial" w:cs="arial"/>
                <w:b w:val="0"/>
                <w:i/>
                <w:strike w:val="0"/>
                <w:noProof w:val="0"/>
                <w:color w:val="000000"/>
                <w:position w:val="0"/>
                <w:sz w:val="18"/>
                <w:u w:val="none"/>
                <w:vertAlign w:val="baseline"/>
              </w:rPr>
              <w:t>0 %</w:t>
            </w:r>
          </w:p>
        </w:tc>
      </w:tr>
      <w:tr>
        <w:tblPrEx>
          <w:tblW w:w="5000" w:type="pct"/>
          <w:tblInd w:w="760" w:type="dxa"/>
          <w:tblLayout w:type="fixed"/>
        </w:tblPrEx>
        <w:tc>
          <w:tcPr>
            <w:tcW w:w="4920" w:type="dxa"/>
            <w:tcBorders>
              <w:bottom w:val="single" w:sz="2" w:space="0" w:color="BCBEC0"/>
              <w:right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strike w:val="0"/>
                <w:noProof w:val="0"/>
                <w:color w:val="000000"/>
                <w:position w:val="0"/>
                <w:sz w:val="18"/>
                <w:u w:val="none"/>
                <w:vertAlign w:val="baseline"/>
              </w:rPr>
              <w:t>Upon achieving sales volume, value of RM15,001 to RM40,000</w:t>
            </w:r>
          </w:p>
        </w:tc>
        <w:tc>
          <w:tcPr>
            <w:tcW w:w="4920" w:type="dxa"/>
            <w:tcBorders>
              <w:bottom w:val="single" w:sz="2" w:space="0" w:color="BCBEC0"/>
            </w:tcBorders>
            <w:tcMar>
              <w:top w:w="100" w:type="dxa"/>
              <w:bottom w:w="100" w:type="dxa"/>
            </w:tcMar>
            <w:vAlign w:val="top"/>
          </w:tcPr>
          <w:p>
            <w:pPr>
              <w:spacing w:before="120" w:after="0" w:line="220" w:lineRule="atLeast"/>
              <w:ind w:left="360"/>
              <w:jc w:val="center"/>
            </w:pPr>
            <w:r>
              <w:rPr>
                <w:rFonts w:ascii="arial" w:eastAsia="arial" w:hAnsi="arial" w:cs="arial"/>
                <w:b w:val="0"/>
                <w:i/>
                <w:strike w:val="0"/>
                <w:noProof w:val="0"/>
                <w:color w:val="000000"/>
                <w:position w:val="0"/>
                <w:sz w:val="18"/>
                <w:u w:val="none"/>
                <w:vertAlign w:val="baseline"/>
              </w:rPr>
              <w:t>4 %</w:t>
            </w:r>
          </w:p>
        </w:tc>
      </w:tr>
      <w:tr>
        <w:tblPrEx>
          <w:tblW w:w="5000" w:type="pct"/>
          <w:tblInd w:w="760" w:type="dxa"/>
          <w:tblLayout w:type="fixed"/>
        </w:tblPrEx>
        <w:tc>
          <w:tcPr>
            <w:tcW w:w="4920" w:type="dxa"/>
            <w:tcBorders>
              <w:bottom w:val="single" w:sz="2" w:space="0" w:color="BCBEC0"/>
              <w:right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strike w:val="0"/>
                <w:noProof w:val="0"/>
                <w:color w:val="000000"/>
                <w:position w:val="0"/>
                <w:sz w:val="18"/>
                <w:u w:val="none"/>
                <w:vertAlign w:val="baseline"/>
              </w:rPr>
              <w:t>Upon achieving sales volume, value of RM40,001 to RM60,000</w:t>
            </w:r>
          </w:p>
        </w:tc>
        <w:tc>
          <w:tcPr>
            <w:tcW w:w="4920" w:type="dxa"/>
            <w:tcBorders>
              <w:bottom w:val="single" w:sz="2" w:space="0" w:color="BCBEC0"/>
            </w:tcBorders>
            <w:tcMar>
              <w:top w:w="100" w:type="dxa"/>
              <w:bottom w:w="100" w:type="dxa"/>
            </w:tcMar>
            <w:vAlign w:val="top"/>
          </w:tcPr>
          <w:p>
            <w:pPr>
              <w:spacing w:before="120" w:after="0" w:line="220" w:lineRule="atLeast"/>
              <w:ind w:left="360"/>
              <w:jc w:val="center"/>
            </w:pPr>
            <w:r>
              <w:rPr>
                <w:rFonts w:ascii="arial" w:eastAsia="arial" w:hAnsi="arial" w:cs="arial"/>
                <w:b w:val="0"/>
                <w:i/>
                <w:strike w:val="0"/>
                <w:noProof w:val="0"/>
                <w:color w:val="000000"/>
                <w:position w:val="0"/>
                <w:sz w:val="18"/>
                <w:u w:val="none"/>
                <w:vertAlign w:val="baseline"/>
              </w:rPr>
              <w:t>5%</w:t>
            </w:r>
          </w:p>
        </w:tc>
      </w:tr>
      <w:tr>
        <w:tblPrEx>
          <w:tblW w:w="5000" w:type="pct"/>
          <w:tblInd w:w="760" w:type="dxa"/>
          <w:tblLayout w:type="fixed"/>
        </w:tblPrEx>
        <w:tc>
          <w:tcPr>
            <w:tcW w:w="4920" w:type="dxa"/>
            <w:tcBorders>
              <w:bottom w:val="single" w:sz="2" w:space="0" w:color="BCBEC0"/>
              <w:right w:val="single" w:sz="2" w:space="0" w:color="BCBEC0"/>
            </w:tcBorders>
            <w:tcMar>
              <w:top w:w="100" w:type="dxa"/>
              <w:bottom w:w="100" w:type="dxa"/>
            </w:tcMar>
            <w:vAlign w:val="top"/>
          </w:tcPr>
          <w:p>
            <w:pPr>
              <w:spacing w:before="120" w:after="0" w:line="220" w:lineRule="atLeast"/>
              <w:ind w:left="360"/>
              <w:jc w:val="left"/>
            </w:pPr>
            <w:r>
              <w:rPr>
                <w:rFonts w:ascii="arial" w:eastAsia="arial" w:hAnsi="arial" w:cs="arial"/>
                <w:b w:val="0"/>
                <w:i/>
                <w:strike w:val="0"/>
                <w:noProof w:val="0"/>
                <w:color w:val="000000"/>
                <w:position w:val="0"/>
                <w:sz w:val="18"/>
                <w:u w:val="none"/>
                <w:vertAlign w:val="baseline"/>
              </w:rPr>
              <w:t>Upon achieving sales volume, value of more than RM60,000</w:t>
            </w:r>
          </w:p>
        </w:tc>
        <w:tc>
          <w:tcPr>
            <w:tcW w:w="4920" w:type="dxa"/>
            <w:tcBorders>
              <w:bottom w:val="single" w:sz="2" w:space="0" w:color="BCBEC0"/>
            </w:tcBorders>
            <w:tcMar>
              <w:top w:w="100" w:type="dxa"/>
              <w:bottom w:w="100" w:type="dxa"/>
            </w:tcMar>
            <w:vAlign w:val="top"/>
          </w:tcPr>
          <w:p>
            <w:pPr>
              <w:spacing w:before="120" w:after="0" w:line="220" w:lineRule="atLeast"/>
              <w:ind w:left="360"/>
              <w:jc w:val="center"/>
            </w:pPr>
            <w:r>
              <w:rPr>
                <w:rFonts w:ascii="arial" w:eastAsia="arial" w:hAnsi="arial" w:cs="arial"/>
                <w:b w:val="0"/>
                <w:i/>
                <w:strike w:val="0"/>
                <w:noProof w:val="0"/>
                <w:color w:val="000000"/>
                <w:position w:val="0"/>
                <w:sz w:val="18"/>
                <w:u w:val="none"/>
                <w:vertAlign w:val="baseline"/>
              </w:rPr>
              <w:t>6%</w:t>
            </w:r>
          </w:p>
        </w:tc>
      </w:tr>
      <w:tr>
        <w:tblPrEx>
          <w:tblW w:w="5000" w:type="pct"/>
          <w:tblInd w:w="760" w:type="dxa"/>
          <w:tblLayout w:type="fixed"/>
        </w:tblPrEx>
        <w:tc>
          <w:tcPr>
            <w:tcW w:w="9840" w:type="dxa"/>
            <w:gridSpan w:val="2"/>
            <w:tcMar>
              <w:top w:w="100" w:type="dxa"/>
              <w:bottom w:w="100" w:type="dxa"/>
            </w:tcMar>
            <w:vAlign w:val="top"/>
          </w:tcPr>
          <w:p>
            <w:pPr>
              <w:spacing w:before="120" w:after="0" w:line="220" w:lineRule="atLeast"/>
              <w:ind w:left="360"/>
              <w:jc w:val="left"/>
            </w:pPr>
            <w:r>
              <w:rPr>
                <w:rFonts w:ascii="arial" w:eastAsia="arial" w:hAnsi="arial" w:cs="arial"/>
                <w:b w:val="0"/>
                <w:i/>
                <w:strike w:val="0"/>
                <w:noProof w:val="0"/>
                <w:color w:val="000000"/>
                <w:position w:val="0"/>
                <w:sz w:val="18"/>
                <w:u w:val="none"/>
                <w:vertAlign w:val="baseline"/>
              </w:rPr>
              <w:t>Annual Incentive Target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If you have achieved total sales of 250,000 by the end of June 2003, which is the end of the company’s financial year, you will be guaranteed a 5% incentive of all sales. This figure will hereafter be adjusted to RM500,000 for the following year or as directed by the management</w:t>
            </w:r>
          </w:p>
        </w:tc>
      </w:tr>
    </w:tbl>
    <w:p/>
    <w:p>
      <w:pPr>
        <w:keepNext w:val="0"/>
        <w:spacing w:before="120" w:after="0" w:line="240" w:lineRule="atLeast"/>
        <w:ind w:left="1120" w:right="0" w:firstLine="0"/>
        <w:jc w:val="both"/>
      </w:pPr>
      <w:r>
        <w:rPr>
          <w:rFonts w:ascii="arial" w:eastAsia="arial" w:hAnsi="arial" w:cs="arial"/>
          <w:b/>
          <w:i/>
          <w:strike w:val="0"/>
          <w:noProof w:val="0"/>
          <w:color w:val="000000"/>
          <w:position w:val="0"/>
          <w:sz w:val="18"/>
          <w:u w:val="single"/>
          <w:vertAlign w:val="baseline"/>
        </w:rPr>
        <w:t>For Commercial Sales</w:t>
      </w:r>
    </w:p>
    <w:p>
      <w:pPr>
        <w:keepNext w:val="0"/>
        <w:spacing w:before="120" w:after="0" w:line="240" w:lineRule="atLeast"/>
        <w:ind w:left="1120" w:right="0" w:firstLine="0"/>
        <w:jc w:val="both"/>
      </w:pPr>
      <w:r>
        <w:br/>
      </w:r>
      <w:r>
        <w:rPr>
          <w:rFonts w:ascii="arial" w:eastAsia="arial" w:hAnsi="arial" w:cs="arial"/>
          <w:b w:val="0"/>
          <w:i/>
          <w:strike w:val="0"/>
          <w:noProof w:val="0"/>
          <w:color w:val="000000"/>
          <w:position w:val="0"/>
          <w:sz w:val="18"/>
          <w:u w:val="single"/>
          <w:vertAlign w:val="baseline"/>
        </w:rPr>
        <w:t>Definition:</w:t>
      </w:r>
      <w:r>
        <w:rPr>
          <w:rFonts w:ascii="arial" w:eastAsia="arial" w:hAnsi="arial" w:cs="arial"/>
          <w:b w:val="0"/>
          <w:i/>
          <w:strike w:val="0"/>
          <w:noProof w:val="0"/>
          <w:color w:val="000000"/>
          <w:position w:val="0"/>
          <w:sz w:val="18"/>
          <w:u w:val="none"/>
          <w:vertAlign w:val="baseline"/>
        </w:rPr>
        <w:t xml:space="preserve"> A sale that is made through a developer, contractor or the owner of any, hotel, condominium, restaurants, factory etc. not considered as an individual domestic sale.</w:t>
      </w:r>
    </w:p>
    <w:p>
      <w:pPr>
        <w:keepNext w:val="0"/>
        <w:spacing w:before="120" w:after="0" w:line="240" w:lineRule="atLeast"/>
        <w:ind w:left="1120" w:right="0" w:firstLine="0"/>
        <w:jc w:val="both"/>
      </w:pPr>
      <w:r>
        <w:br/>
      </w:r>
      <w:r>
        <w:rPr>
          <w:rFonts w:ascii="arial" w:eastAsia="arial" w:hAnsi="arial" w:cs="arial"/>
          <w:b w:val="0"/>
          <w:i/>
          <w:strike w:val="0"/>
          <w:noProof w:val="0"/>
          <w:color w:val="000000"/>
          <w:position w:val="0"/>
          <w:sz w:val="18"/>
          <w:u w:val="single"/>
          <w:vertAlign w:val="baseline"/>
        </w:rPr>
        <w:t>Commission: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There would be a benchmark of minimum 2% of the total sale excluding commission to third party if any. The percentage of increment would be based on company’s discretion and also a review of sales persons input of the project.</w:t>
      </w:r>
      <w:r>
        <w:rPr>
          <w:rFonts w:ascii="arial" w:eastAsia="arial" w:hAnsi="arial" w:cs="arial"/>
          <w:b w:val="0"/>
          <w:i w:val="0"/>
          <w:strike w:val="0"/>
          <w:noProof w:val="0"/>
          <w:color w:val="000000"/>
          <w:position w:val="0"/>
          <w:sz w:val="18"/>
          <w:u w:val="none"/>
          <w:vertAlign w:val="baseline"/>
        </w:rPr>
        <w:t>”;</w:t>
      </w:r>
      <w:r>
        <w:t>
</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during cross examination COWS-1 confirmed that the Company has consistently treated the Claimant’s commissions as part of the Claimant’s salary to which the Claimant is contractually entitled to pursuant to Clause 3 of the letter of appointment dated 23 rd October 2002;</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had made verbal requests to the Company as regards his Outstanding Commissions but were told to hold on and that the Company was looking into it. Subsequently,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letters dated 3rd February 2021 and 1st July 2021, the Claimant sought clarification and verification from the Company as regards the said Outstanding Commissions;</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via Peter Jakobsen i.e. owner of the Company, only replied to the Claimant’s letter dated 1st July 2022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27th July 2021, and said,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the Company had “</w:t>
      </w:r>
      <w:r>
        <w:rPr>
          <w:rFonts w:ascii="arial" w:eastAsia="arial" w:hAnsi="arial" w:cs="arial"/>
          <w:b w:val="0"/>
          <w:i/>
          <w:strike w:val="0"/>
          <w:noProof w:val="0"/>
          <w:color w:val="000000"/>
          <w:position w:val="0"/>
          <w:sz w:val="24"/>
          <w:u w:val="none"/>
          <w:vertAlign w:val="baseline"/>
        </w:rPr>
        <w:t>...no wish not to honor the commission... earned...</w:t>
      </w:r>
      <w:r>
        <w:rPr>
          <w:rFonts w:ascii="arial" w:eastAsia="arial" w:hAnsi="arial" w:cs="arial"/>
          <w:b w:val="0"/>
          <w:i w:val="0"/>
          <w:strike w:val="0"/>
          <w:noProof w:val="0"/>
          <w:color w:val="000000"/>
          <w:position w:val="0"/>
          <w:sz w:val="24"/>
          <w:u w:val="none"/>
          <w:vertAlign w:val="baseline"/>
        </w:rPr>
        <w:t>” and that “</w:t>
      </w:r>
      <w:r>
        <w:rPr>
          <w:rFonts w:ascii="arial" w:eastAsia="arial" w:hAnsi="arial" w:cs="arial"/>
          <w:b w:val="0"/>
          <w:i/>
          <w:strike w:val="0"/>
          <w:noProof w:val="0"/>
          <w:color w:val="000000"/>
          <w:position w:val="0"/>
          <w:sz w:val="24"/>
          <w:u w:val="none"/>
          <w:vertAlign w:val="baseline"/>
        </w:rPr>
        <w:t>...sales people need to generate sales– and if the sales is not generated, we cannot pay our commitments including the commissions earned…</w:t>
      </w:r>
      <w:r>
        <w:rPr>
          <w:rFonts w:ascii="arial" w:eastAsia="arial" w:hAnsi="arial" w:cs="arial"/>
          <w:b w:val="0"/>
          <w:i w:val="0"/>
          <w:strike w:val="0"/>
          <w:noProof w:val="0"/>
          <w:color w:val="000000"/>
          <w:position w:val="0"/>
          <w:sz w:val="24"/>
          <w:u w:val="none"/>
          <w:vertAlign w:val="baseline"/>
        </w:rPr>
        <w:t>”;</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a result of the Company’s letter dated 27th July 2021, the Claimant realised that the Company has refused to pay the Outstanding Commissions and this refusal constituted a unilateral and significant breach of a fundamental term of the terms and conditions of the Claimant’s employment as stipulated in the letter of appointment dated 23rd October 2002, going to the root of his contract of employment;</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three (3) days later, the Claimant gave notice to the Company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30th July 2021 that he considered himself to be constructively dismissed by the Company and he left the employment immediately;</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COWS-1 confirmed at the hearing that – </w:t>
      </w:r>
    </w:p>
    <w:p>
      <w:pPr>
        <w:keepNext w:val="0"/>
        <w:numPr>
          <w:numId w:val="3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five projects which is the subject matter of the Outstanding Commissions claimed by the Claimant (Seringin Residence Condominium Project, Uptown Residences Condominium Project, 1001 Colloseum Spa &amp; Hotel Project in Jakarta, Indonesia, Fitness First Grand Project in Jakarta, Indonesia and Fitness First Taman Anggrek Project in Jakarta, Indonesia) are all in relation to commercial sales;</w:t>
      </w:r>
    </w:p>
    <w:p>
      <w:pPr>
        <w:keepNext w:val="0"/>
        <w:numPr>
          <w:numId w:val="3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the sales person who had brought in all the above mentioned five projects; and</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has consistently treated the Claimant’s commissions as part of the Claimant’s salary;</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evidence given by the Claimant’s as regards the following was also not disputed by COWS-1 – </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for the Seringin Residence Condominium Project the Claimant generated sales of RM2,878,080.00, for the Uptown Residences Condominium Project generated sales of RM1,145,448.00, for the 1001 Colloseum Spa &amp; Hotel Project in Jakarta, Indonesia generated sales of RM485,714.00, for the Fitness First Grand Project in Jakarta, Indonesia generated sales of RM211,355.00, and for the Fitness First Taman Anggrek Project in Jakarta, Indonesia generated sales of RM140,630.00; and</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Seringin Residence Condominium Project, based on 2% of the total sales, the Claimant earned commissions of RM57,561.60. For the Uptown Residences Condominium Project, the Claimant earned commissions of RM22,908.96. For the 1001 Colloseum Spa &amp; Hotel Project in Jakarta, Indonesia, the Claimant earned commissions of RM9,714.28. For the Fitness First Grand Project in Jakarta, Indonesia, the Claimant earned commissions of RM4,227.10. For the Fitness First Taman Anggrek Project in Jakarta, Indonesia, the Claimant earned commissions of RM2,812.60. The total commissions that were payable to the Claimant by the Company for the above five projects was RM97,224.54; and</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was paid by the clients from whom the sales were generated;</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devoid of any supporting evidence, the Company is trying to contend that– </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lawfully paid all sums payable to the Claimant as per the terms of employment contained in the letter of appointment dated 23rd October 2002; and</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commissions for the 1st and 2nd Projects have been paid by the Company as the Claimant had agreed during cross-examination that the Company has been paying his commissions from 2002 until 2015 whereby this period coincides with the completion dates of the 1st and 2nd Projects i.e. Seringin Residences Condominium Project and Uptown Residences Condominium Project;</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contention in the abovementioned subparagraph j(i) is incompatible with the contention in subparagraph j(ii) as it would seem on the one hand the Company is contending that it had paid all commissions due and owing to the Claimant but on the other hand the Company is contending that only the commissions for the 1st and 2nd Projects have been paid by the Company; and</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are a few inconsistencies in the Company’s Written Submissions i.e. whilst paragraph 10 states that there is nothing in the letter dated 27th July 2021 that mentions the Company will not honor the Outstanding Commissions, paragraph 17 states that based on the evidence adduced the Claimant has failed to proof there was commissions due and payable that were not paid.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Upon perusal of the letter dated 27th July 2021, this Court further finds –</w:t>
      </w:r>
      <w:r>
        <w:t>
</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made reference to the Claimant’s letter dated 1st July 2021;</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failed to deny that the five projects mentioned in the Claimant’s letter dated 1st July 2021 have been finalized and paid by the clients;</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failed to repudiate the claims made by the Claimant as regards the Outstanding Commissions for the five projects mentioned in the Claimant’s letter dated 1st July 2021 and that the Claimant has yet to receive the said commissions;</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Company’s answer was merely to state that they </w:t>
      </w:r>
      <w:r>
        <w:rPr>
          <w:rFonts w:ascii="arial" w:eastAsia="arial" w:hAnsi="arial" w:cs="arial"/>
          <w:b w:val="0"/>
          <w:i/>
          <w:strike w:val="0"/>
          <w:noProof w:val="0"/>
          <w:color w:val="000000"/>
          <w:position w:val="0"/>
          <w:sz w:val="24"/>
          <w:u w:val="none"/>
          <w:vertAlign w:val="baseline"/>
        </w:rPr>
        <w:t>“…have no wish not to honor the commissions that you have earned,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single"/>
          <w:vertAlign w:val="baseline"/>
        </w:rPr>
        <w:t>however</w:t>
      </w:r>
      <w:r>
        <w:rPr>
          <w:rFonts w:ascii="arial" w:eastAsia="arial" w:hAnsi="arial" w:cs="arial"/>
          <w:b w:val="0"/>
          <w:i/>
          <w:strike w:val="0"/>
          <w:noProof w:val="0"/>
          <w:color w:val="000000"/>
          <w:position w:val="0"/>
          <w:sz w:val="24"/>
          <w:u w:val="single"/>
          <w:vertAlign w:val="baseline"/>
        </w:rPr>
        <w:t xml:space="preserve"> … sales people need to generate sales – and if the sales is not generated, we cannot pay our commitments including the commissions earned</w:t>
      </w:r>
      <w:r>
        <w:rPr>
          <w:rFonts w:ascii="arial" w:eastAsia="arial" w:hAnsi="arial" w:cs="arial"/>
          <w:b w:val="0"/>
          <w:i w:val="0"/>
          <w:strike w:val="0"/>
          <w:noProof w:val="0"/>
          <w:color w:val="000000"/>
          <w:position w:val="0"/>
          <w:sz w:val="24"/>
          <w:u w:val="none"/>
          <w:vertAlign w:val="baseline"/>
        </w:rPr>
        <w:t>”;</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instead of providing clarification as regards the Outstanding Commissions, the Company sidestepped the issue by pointing out the Claimant’s sales record from 2017 until 2020 and stating that the Company had paid the Claimant an additional RM1,500.00 per month which the Company considered as commission payout. However, no mention is made in the letter that the additional RM1,500.00 per month paid by the Company was in relation to the five projects; and</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once again instead of providing clarification when the Outstanding Commissions would be paid, the Company merely states “</w:t>
      </w:r>
      <w:r>
        <w:rPr>
          <w:rFonts w:ascii="arial" w:eastAsia="arial" w:hAnsi="arial" w:cs="arial"/>
          <w:b w:val="0"/>
          <w:i/>
          <w:strike w:val="0"/>
          <w:noProof w:val="0"/>
          <w:color w:val="000000"/>
          <w:position w:val="0"/>
          <w:sz w:val="24"/>
          <w:u w:val="single"/>
          <w:vertAlign w:val="baseline"/>
        </w:rPr>
        <w:t>when the remaining commission shall be paid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 will depend on the company’s performance, </w:t>
      </w:r>
      <w:r>
        <w:rPr>
          <w:rFonts w:ascii="arial" w:eastAsia="arial" w:hAnsi="arial" w:cs="arial"/>
          <w:b/>
          <w:i/>
          <w:strike w:val="0"/>
          <w:noProof w:val="0"/>
          <w:color w:val="000000"/>
          <w:position w:val="0"/>
          <w:sz w:val="24"/>
          <w:u w:val="none"/>
          <w:vertAlign w:val="baseline"/>
        </w:rPr>
        <w:t>but</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as it stands now this cannot happen before the business restart and money again will flow into the company</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xml:space="preserve">  Based on the above observations, this Court finds the Company has evinced an intention that the Company is no longer bound by the provisions of Clause 3 as contained in the letter of appointment dated 23 rd October 2002, in particular that the Claimant will be paid a commission of the sales generated as per the guidelines outlined in the </w:t>
      </w:r>
      <w:r>
        <w:rPr>
          <w:rFonts w:ascii="arial" w:eastAsia="arial" w:hAnsi="arial" w:cs="arial"/>
          <w:b w:val="0"/>
          <w:i/>
          <w:strike w:val="0"/>
          <w:noProof w:val="0"/>
          <w:color w:val="000000"/>
          <w:position w:val="0"/>
          <w:sz w:val="24"/>
          <w:u w:val="none"/>
          <w:vertAlign w:val="baseline"/>
        </w:rPr>
        <w:t>Addendum to Contract</w:t>
      </w:r>
      <w:r>
        <w:rPr>
          <w:rFonts w:ascii="arial" w:eastAsia="arial" w:hAnsi="arial" w:cs="arial"/>
          <w:b w:val="0"/>
          <w:i w:val="0"/>
          <w:strike w:val="0"/>
          <w:noProof w:val="0"/>
          <w:color w:val="000000"/>
          <w:position w:val="0"/>
          <w:sz w:val="24"/>
          <w:u w:val="none"/>
          <w:vertAlign w:val="baseline"/>
        </w:rPr>
        <w:t>. As such, this Court further finds that there had been a fundamental breach by the Company of the Claimant’s terms of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xml:space="preserve">  This Court also finds that the Claimant has fulfilled the four conditions laid down by the case of </w:t>
      </w:r>
      <w:r>
        <w:rPr>
          <w:rFonts w:ascii="arial" w:eastAsia="arial" w:hAnsi="arial" w:cs="arial"/>
          <w:b w:val="0"/>
          <w:i/>
          <w:strike w:val="0"/>
          <w:noProof w:val="0"/>
          <w:color w:val="000000"/>
          <w:position w:val="0"/>
          <w:sz w:val="24"/>
          <w:u w:val="none"/>
          <w:vertAlign w:val="baseline"/>
        </w:rPr>
        <w:t xml:space="preserve">Bayer (M) Sdn Bhd v. Anwar Abd Rahim  </w:t>
      </w:r>
      <w:r>
        <w:rPr>
          <w:rFonts w:ascii="arial" w:eastAsia="arial" w:hAnsi="arial" w:cs="arial"/>
          <w:b w:val="0"/>
          <w:i w:val="0"/>
          <w:strike w:val="0"/>
          <w:noProof w:val="0"/>
          <w:color w:val="000000"/>
          <w:position w:val="0"/>
          <w:sz w:val="24"/>
          <w:u w:val="none"/>
          <w:vertAlign w:val="baseline"/>
        </w:rPr>
        <w:t>[1996] 2 CLJ 49; [1995] MLJU 558 as follows –</w:t>
      </w:r>
      <w:r>
        <w:t>
</w:t>
      </w:r>
    </w:p>
    <w:p>
      <w:pPr>
        <w:keepNext w:val="0"/>
        <w:numPr>
          <w:numId w:val="4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breach of the terms of the letter of appointment dated 23 rd October 2002 by the Company;</w:t>
      </w:r>
    </w:p>
    <w:p>
      <w:pPr>
        <w:keepNext w:val="0"/>
        <w:numPr>
          <w:numId w:val="4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said breach was sufficiently important to justify the Claimant’s claim of constructive dismissal;</w:t>
      </w:r>
    </w:p>
    <w:p>
      <w:pPr>
        <w:keepNext w:val="0"/>
        <w:numPr>
          <w:numId w:val="4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left his employment in response to the breach and not for any other unconnected reasons; and</w:t>
      </w:r>
    </w:p>
    <w:p>
      <w:pPr>
        <w:keepNext w:val="0"/>
        <w:numPr>
          <w:numId w:val="4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there is no undue delay on the part of the Claimant in leaving his employment i.e. upon receipt of the Company’s letter dated 27th July 2021, the Claimant within three (3) days gave notice to the Company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30th July 2021 that he considered himself to be constructively dismissed by the Company and left the employment immediately.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Pursuant to the abovementioned circumstances, this Court finds that Claimant has succeeded in proving on the balance of probabilities that he has been constructively dismissed.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Since the Claimant has succeeded in proving that he had been constructively dismissed, the Company would now need to proof that the dismissal was not due to an unjust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The Company contends that –</w:t>
      </w:r>
      <w:r>
        <w:t>
</w:t>
      </w:r>
    </w:p>
    <w:p>
      <w:pPr>
        <w:keepNext w:val="0"/>
        <w:numPr>
          <w:numId w:val="4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actually abandoned his work without any notice on the 30th July 2021 and this is contrary to Clause 18 of his letter of appointment dated 23rd October 2002 which provides for a one-month notice in the event the Claimant wishes to terminate his services with the Company; and</w:t>
      </w:r>
    </w:p>
    <w:p>
      <w:pPr>
        <w:keepNext w:val="0"/>
        <w:numPr>
          <w:numId w:val="4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stopped reporting for work and had stopped following instructions issued by the management. Furthermore, rather than meet the management for a discussion, the Claimant elected to abandon his job without notice.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xml:space="preserve">  This Court is unable to accept the Company’s contention mentioned above as the letter dated 27th July 2021 clearly states,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the pandemic is mentally tough for everyone, however we as a company has taken the stand to help everyone through the best as we can and try to avoid laying staff off or sending staff on unpaid leave.</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single"/>
          <w:vertAlign w:val="baseline"/>
        </w:rPr>
        <w:t>We have promised all staff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who take full turn under reduced salary,</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will be well rewarded once we are through the storm</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single"/>
          <w:vertAlign w:val="baseline"/>
        </w:rPr>
        <w:t>however we also accept if staff choose other employments, they are free to choose this option.</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Honestly I do not know where we stand with you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 xml:space="preserve">I can only assume that you are not or only partly working for our company, </w:t>
      </w:r>
      <w:r>
        <w:rPr>
          <w:rFonts w:ascii="arial" w:eastAsia="arial" w:hAnsi="arial" w:cs="arial"/>
          <w:b/>
          <w:i/>
          <w:strike w:val="0"/>
          <w:noProof w:val="0"/>
          <w:color w:val="000000"/>
          <w:position w:val="0"/>
          <w:sz w:val="18"/>
          <w:u w:val="single"/>
          <w:vertAlign w:val="baseline"/>
        </w:rPr>
        <w:t>which is fine with me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Furthermore, as the Claimant has succeeded in proving on the balance of probabilities that he has been constructively dismissed, the Company’s averment that the Claimant stopped reporting for work and had stopped following instructions issued by the management as well as elected to abandon his job without notice is no longer a relevant or cogent argument.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The Company further asserts that the Company had only sought a meeting with the Claimant to discuss the Claimant’s role in getting new lead generation and there is nothing in the letter dated 27th July 2021 that mentions the Company will not honor the Outstanding Commissions.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xml:space="preserve">  This Court find the abovementioned assertion could not stand as the letter clearly mentions </w:t>
      </w:r>
      <w:r>
        <w:rPr>
          <w:rFonts w:ascii="arial" w:eastAsia="arial" w:hAnsi="arial" w:cs="arial"/>
          <w:b w:val="0"/>
          <w:i/>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however</w:t>
      </w:r>
      <w:r>
        <w:rPr>
          <w:rFonts w:ascii="arial" w:eastAsia="arial" w:hAnsi="arial" w:cs="arial"/>
          <w:b w:val="0"/>
          <w:i/>
          <w:strike w:val="0"/>
          <w:noProof w:val="0"/>
          <w:color w:val="000000"/>
          <w:position w:val="0"/>
          <w:sz w:val="24"/>
          <w:u w:val="none"/>
          <w:vertAlign w:val="baseline"/>
        </w:rPr>
        <w:t xml:space="preserve"> … sales people need to generate sales – and if the sales is not generated, we cannot pay our commitments including the commissions earned</w:t>
      </w:r>
      <w:r>
        <w:rPr>
          <w:rFonts w:ascii="arial" w:eastAsia="arial" w:hAnsi="arial" w:cs="arial"/>
          <w:b w:val="0"/>
          <w:i w:val="0"/>
          <w:strike w:val="0"/>
          <w:noProof w:val="0"/>
          <w:color w:val="000000"/>
          <w:position w:val="0"/>
          <w:sz w:val="24"/>
          <w:u w:val="none"/>
          <w:vertAlign w:val="baseline"/>
        </w:rPr>
        <w:t>” and “</w:t>
      </w:r>
      <w:r>
        <w:rPr>
          <w:rFonts w:ascii="arial" w:eastAsia="arial" w:hAnsi="arial" w:cs="arial"/>
          <w:b w:val="0"/>
          <w:i/>
          <w:strike w:val="0"/>
          <w:noProof w:val="0"/>
          <w:color w:val="000000"/>
          <w:position w:val="0"/>
          <w:sz w:val="24"/>
          <w:u w:val="none"/>
          <w:vertAlign w:val="baseline"/>
        </w:rPr>
        <w:t>when the remaining commission shall be paid, will depend on the company’s performance, but as it stands now this cannot happen before the business restart and money again will flow into the company…</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xml:space="preserve">  Bearing in mind subsection 30(5)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acting according to equity and good conscience and the substantial merits of the case without regard to technicalities and legal form, this Court thus finds that the Claimant’s dismissal was without just cause or excuse.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This Court will now proceed to consider the appropriate remedy applicable to the Claimant. The Claimant prays that he be reinstated to his former position without any loss of wages, allowance, service and seniority, as well as back wages in respect of full salary together with all other privileges or benefits of any kind or alternatively if reinstatement is not appropriate an award of backwages, all outstanding commissions, bonus, loss of benefits and compensation in lieu of reinstatement together with any other relief the Court deems fit.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Based on the facts of this case, this Court views that reinstatement of the Claimant to his former position is not a suitable remedy and not in the interest of industrial harmony. Hence, the Court will not order reinstatement of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As such, the appropriate remedy in the circumstances of this case will be compensation in lieu of reinstatement. Thus, this Court orders that the Claimant be paid one month wages of the last drawn salary of RM 6,500.00 prior to the deduction during the Movement Control Order, for every year of service completed i.e. 18 years.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This Court further orders that the Claimant be paid compensation in the form of back wages. As there is no evidence of any post dismissal earnings or income of the Claimant in this case, this Court views twenty (20) months back wages should be the appropriate sum to be awarded to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As the evidence given by the Claimant as regards the Outstanding Commissions was not disputed by COWS-1 and the fact that the said Outstanding Commissions forms part of the Claimant’s salary to which the Claimant is contractually entitled to pursuant to Clause 3 of the letter of appointment dated 23rd October 2002, this Court also orders that the Claimant be paid the Outstanding Commissions amounting to RM97,224.54.</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Therefore, based on the Claimant’s last drawn salary of RM6,500.00, the total amount of compensation in lieu of reinstatement and back wages payable to the Claimant is as follows:</w:t>
      </w:r>
      <w:r>
        <w:t>
</w:t>
      </w:r>
    </w:p>
    <w:p>
      <w:pPr>
        <w:keepNext w:val="0"/>
        <w:numPr>
          <w:numId w:val="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Compensation in lieu of reinstatement</w:t>
      </w:r>
    </w:p>
    <w:p>
      <w:pPr>
        <w:keepNext w:val="0"/>
        <w:numPr>
          <w:numId w:val="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RM6,500.00 x 18 months = RM117,00.00;</w:t>
      </w:r>
    </w:p>
    <w:p>
      <w:pPr>
        <w:keepNext w:val="0"/>
        <w:numPr>
          <w:numId w:val="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Backwages</w:t>
      </w:r>
    </w:p>
    <w:p>
      <w:pPr>
        <w:keepNext w:val="0"/>
        <w:numPr>
          <w:numId w:val="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RM6,500.00 x 20 months = RM130,000.00;</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and</w:t>
      </w:r>
    </w:p>
    <w:p>
      <w:pPr>
        <w:keepNext w:val="0"/>
        <w:numPr>
          <w:numId w:val="4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Outstanding Commissions</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RM97,224.54;</w:t>
      </w:r>
    </w:p>
    <w:p>
      <w:pPr>
        <w:keepNext w:val="0"/>
        <w:numPr>
          <w:numId w:val="4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TOTAL = RM344,224.54</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Order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xml:space="preserve">  This Court hereby orders that the Company pays the Claimant the total sum of </w:t>
      </w:r>
      <w:r>
        <w:rPr>
          <w:rFonts w:ascii="arial" w:eastAsia="arial" w:hAnsi="arial" w:cs="arial"/>
          <w:b/>
          <w:i w:val="0"/>
          <w:strike w:val="0"/>
          <w:noProof w:val="0"/>
          <w:color w:val="000000"/>
          <w:position w:val="0"/>
          <w:sz w:val="24"/>
          <w:u w:val="none"/>
          <w:vertAlign w:val="baseline"/>
        </w:rPr>
        <w:t>Ringgit Malaysia Three Hundred Forty Four Thousand Two Hundred Twenty Four and Sen Fifty Four (RM344,224.54)</w:t>
      </w:r>
      <w:r>
        <w:rPr>
          <w:rFonts w:ascii="arial" w:eastAsia="arial" w:hAnsi="arial" w:cs="arial"/>
          <w:b w:val="0"/>
          <w:i w:val="0"/>
          <w:strike w:val="0"/>
          <w:noProof w:val="0"/>
          <w:color w:val="000000"/>
          <w:position w:val="0"/>
          <w:sz w:val="24"/>
          <w:u w:val="none"/>
          <w:vertAlign w:val="baseline"/>
        </w:rPr>
        <w:t xml:space="preserve"> within 30 days from the date of this Award.</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Kenny Bernard Saw v Aumada Energy &amp; Technologies (M) Sdn Bhd  [2024] ILJU 150</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2"/>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3"/>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4"/>
      <w:numFmt w:val="decimal"/>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Kenny Bernard Saw v Aumada Energy &amp; Technologies (M) Sdn Bhd  [2024] ILJU 150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V8-8SF3-MBCP-K0MM-00000-00">
    <vt:lpwstr>Doc::/shared/document|contextualFeaturePermID::1522468</vt:lpwstr>
  </property>
  <property fmtid="{D5CDD505-2E9C-101B-9397-08002B2CF9AE}" pid="4" name="LNDeliveryID">
    <vt:lpwstr>283274893</vt:lpwstr>
  </property>
  <property fmtid="{D5CDD505-2E9C-101B-9397-08002B2CF9AE}" pid="5" name="UserPermID">
    <vt:lpwstr>urn:user:PA196491919</vt:lpwstr>
  </property>
</Properties>
</file>