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Kong Choon Hong v Logistics Worldwide Express (M) Sdn Bhd  [2024] ILJU 75</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200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5 February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Brenda Chan Qing Wen (Meng Wai &amp; Assoc)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The company – absent.</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dated 17 March 2021 made by the Minister of Human Resources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Kong Choon Hong</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Logistics Worldwide Express (M) Sdn. Bhd.</w:t>
      </w:r>
      <w:r>
        <w:rPr>
          <w:rFonts w:ascii="arial" w:eastAsia="arial" w:hAnsi="arial" w:cs="arial"/>
          <w:b w:val="0"/>
          <w:i w:val="0"/>
          <w:strike w:val="0"/>
          <w:noProof w:val="0"/>
          <w:color w:val="000000"/>
          <w:position w:val="0"/>
          <w:sz w:val="24"/>
          <w:u w:val="none"/>
          <w:vertAlign w:val="baseline"/>
        </w:rPr>
        <w:t xml:space="preserve"> (“the Company”) on 12 October 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Claimant was appointed as Assistant Fnance Manager of the Company on 7 December 2017 via letter dated 28 September 2017. In October 2018, the Claimant was promoted to the post of Cost Accountant. At around June 2020, the Claimant found out that the Company was not making the Employee’s Provident Fund (“EPF”) and Income Tax (“LHDN”) deductions from the Claimant’s salary. Then in July of 2020, the Company was not consistent in making salary payments to the Claimant. Due to all of these, the Claimant tendered his resignation on the grounds of constructive dismissal on 12 October 2020. The Claimant had actually tendered another resignation on 4 September 2020 but he clarified with another letter claiming that his resignation was based on constructive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Company, in return took some initial action but did not file any Statement in Reply. On record there was a Form A and B which means that the Company was represented. The Company’s solicitors did attend some of the e-mentions and physical mentions and have been placed on the Court’s records. Subsequently, the Company’s solicitors withdrew as the counsel for the Company. It should be noted that during the physical mentions, the Company’s representatives never attended even after their solicitor’s have withdrawn. The issue is the Company was initially under judicial management and after several extensions the order has lapsed. This Court has been made aware by the Claimant’s solicitors that the date of the petition of winding up is fixed on both 5 February 2024 and 21 February 2024.</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Since there was no valid order for judicial management in operation the Court proceeded to hear the matter </w:t>
      </w:r>
      <w:r>
        <w:rPr>
          <w:rFonts w:ascii="arial" w:eastAsia="arial" w:hAnsi="arial" w:cs="arial"/>
          <w:b w:val="0"/>
          <w:i/>
          <w:strike w:val="0"/>
          <w:noProof w:val="0"/>
          <w:color w:val="000000"/>
          <w:position w:val="0"/>
          <w:sz w:val="24"/>
          <w:u w:val="none"/>
          <w:vertAlign w:val="baseline"/>
        </w:rPr>
        <w:t>ex parte.</w:t>
      </w:r>
      <w:r>
        <w:rPr>
          <w:rFonts w:ascii="arial" w:eastAsia="arial" w:hAnsi="arial" w:cs="arial"/>
          <w:b w:val="0"/>
          <w:i w:val="0"/>
          <w:strike w:val="0"/>
          <w:noProof w:val="0"/>
          <w:color w:val="000000"/>
          <w:position w:val="0"/>
          <w:sz w:val="24"/>
          <w:u w:val="none"/>
          <w:vertAlign w:val="baseline"/>
        </w:rPr>
        <w:t xml:space="preserve"> The hearing was concluded within a day; namely on 20 November 2023. There was only one witness called for the entire case namely the Claimant himself. Upon conclusion of the trial on the same day, the Court instructed the Claimant to submit their written submissions. The Claimant’s Counsel opted for an oral submission.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Court has gone through the evidence as given through testimony in Court and the documents that have been filed. Those documents are listed for ease of reference as follows: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filed on 26 August 2021;</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Bundle of Documents filed on 20 November 2023 marked as exhibit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 and</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the Claimant dated 20 November 2023 marked as exhibit </w:t>
      </w:r>
      <w:r>
        <w:rPr>
          <w:rFonts w:ascii="arial" w:eastAsia="arial" w:hAnsi="arial" w:cs="arial"/>
          <w:b w:val="0"/>
          <w:i/>
          <w:strike w:val="0"/>
          <w:noProof w:val="0"/>
          <w:color w:val="000000"/>
          <w:position w:val="0"/>
          <w:sz w:val="24"/>
          <w:u w:val="none"/>
          <w:vertAlign w:val="baseline"/>
        </w:rPr>
        <w:t>CLWS-1</w:t>
      </w:r>
      <w:r>
        <w:rPr>
          <w:rFonts w:ascii="arial" w:eastAsia="arial" w:hAnsi="arial" w:cs="arial"/>
          <w:b w:val="0"/>
          <w:i w:val="0"/>
          <w:strike w:val="0"/>
          <w:noProof w:val="0"/>
          <w:color w:val="000000"/>
          <w:position w:val="0"/>
          <w:sz w:val="24"/>
          <w:u w:val="none"/>
          <w:vertAlign w:val="baseline"/>
        </w:rPr>
        <w:t>.</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Is Leave a Pre-requisite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xml:space="preserve">  This Court had actually visited this issue in length in the case of </w:t>
      </w:r>
      <w:r>
        <w:rPr>
          <w:rFonts w:ascii="arial" w:eastAsia="arial" w:hAnsi="arial" w:cs="arial"/>
          <w:b w:val="0"/>
          <w:i/>
          <w:strike w:val="0"/>
          <w:noProof w:val="0"/>
          <w:color w:val="000000"/>
          <w:position w:val="0"/>
          <w:sz w:val="24"/>
          <w:u w:val="none"/>
          <w:vertAlign w:val="baseline"/>
        </w:rPr>
        <w:t xml:space="preserve">Chong Jee Fatt v Tee E &amp; C (Malaysia)  </w:t>
      </w:r>
      <w:r>
        <w:rPr>
          <w:rFonts w:ascii="arial" w:eastAsia="arial" w:hAnsi="arial" w:cs="arial"/>
          <w:b w:val="0"/>
          <w:i w:val="0"/>
          <w:strike w:val="0"/>
          <w:noProof w:val="0"/>
          <w:color w:val="000000"/>
          <w:position w:val="0"/>
          <w:sz w:val="24"/>
          <w:u w:val="none"/>
          <w:vertAlign w:val="baseline"/>
        </w:rPr>
        <w:t>[2023] 3 ILR 204. The difference with that case was that the Court entered this hearing fully aware that the Company was virtually on the cusps of being wound up. However, there was no order issued as yet. The Court has proceeded and felt that in the interest of justice that the Award can proceed. It would be unconscionable if the Claimant was allowed to wait all this while when the Company could not even turn up to the case and provide the Court with the status of their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xml:space="preserve">  It was based on the above and subsection 30(3)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where the Court should “…make its award without delay and where practicable within thirty days from the date of reference…”. This case has gone beyond the thirty-day time frame but the second limb does state where practicable and it would not be practicable if the matter was left in abeyance for too long.</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Coming back to the case, the Court proceeded with the knowledge of section 471 of the  Companies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2016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As mentioned in the </w:t>
      </w:r>
      <w:r>
        <w:rPr>
          <w:rFonts w:ascii="arial" w:eastAsia="arial" w:hAnsi="arial" w:cs="arial"/>
          <w:b/>
          <w:i/>
          <w:strike w:val="0"/>
          <w:noProof w:val="0"/>
          <w:color w:val="000000"/>
          <w:position w:val="0"/>
          <w:sz w:val="24"/>
          <w:u w:val="none"/>
          <w:vertAlign w:val="baseline"/>
        </w:rPr>
        <w:t>Chong Jee Fatt</w:t>
      </w:r>
      <w:r>
        <w:rPr>
          <w:rFonts w:ascii="arial" w:eastAsia="arial" w:hAnsi="arial" w:cs="arial"/>
          <w:b w:val="0"/>
          <w:i w:val="0"/>
          <w:strike w:val="0"/>
          <w:noProof w:val="0"/>
          <w:color w:val="000000"/>
          <w:position w:val="0"/>
          <w:sz w:val="24"/>
          <w:u w:val="none"/>
          <w:vertAlign w:val="baseline"/>
        </w:rPr>
        <w:t xml:space="preserve"> case above, the Court is of the view that the case does not fall within the ambit of the situations described in section 471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Therefore, the Court proceeded. Now looking at the case itself, the Court will peruse the documents submitted into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The Court had stated its stand on the issue of the role of the Court in earlier reported cases. This has been discussed at length in the cases of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 xml:space="preserve">[2023] 3 ILR 204 where the Court was referring to its role in cases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Court also referred to the oft-cited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the Federal Court case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Court does not intend to repeat itself so parties are free to view the Courts views in those cases rearding the role of the Court. Similarly for the issue of burden and onus of proof which is discussed below.</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Burden and Onus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The Court also refers to its previous case with regards the burden of proof as well as adducing evidence in the case. The case is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 xml:space="preserve">[2023] MELRU 2317 whereby this Court refers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the evidence submitted, the burden and standard of the proof of the case of both parties. Since this matter was heard </w:t>
      </w:r>
      <w:r>
        <w:rPr>
          <w:rFonts w:ascii="arial" w:eastAsia="arial" w:hAnsi="arial" w:cs="arial"/>
          <w:b w:val="0"/>
          <w:i/>
          <w:strike w:val="0"/>
          <w:noProof w:val="0"/>
          <w:color w:val="000000"/>
          <w:position w:val="0"/>
          <w:sz w:val="24"/>
          <w:u w:val="none"/>
          <w:vertAlign w:val="baseline"/>
        </w:rPr>
        <w:t>ex-parte</w:t>
      </w:r>
      <w:r>
        <w:rPr>
          <w:rFonts w:ascii="arial" w:eastAsia="arial" w:hAnsi="arial" w:cs="arial"/>
          <w:b w:val="0"/>
          <w:i w:val="0"/>
          <w:strike w:val="0"/>
          <w:noProof w:val="0"/>
          <w:color w:val="000000"/>
          <w:position w:val="0"/>
          <w:sz w:val="24"/>
          <w:u w:val="none"/>
          <w:vertAlign w:val="baseline"/>
        </w:rPr>
        <w:t>, hence the Claimant must prove his case on the balance of probabilities.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Hearing the Matter </w:t>
      </w:r>
      <w:r>
        <w:rPr>
          <w:rFonts w:ascii="arial" w:eastAsia="arial" w:hAnsi="arial" w:cs="arial"/>
          <w:b/>
          <w:i/>
          <w:strike w:val="0"/>
          <w:noProof w:val="0"/>
          <w:color w:val="000000"/>
          <w:position w:val="0"/>
          <w:sz w:val="24"/>
          <w:u w:val="none"/>
          <w:vertAlign w:val="baseline"/>
        </w:rPr>
        <w:t>Ex Parte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As stated earlier, this matter was heard </w:t>
      </w:r>
      <w:r>
        <w:rPr>
          <w:rFonts w:ascii="arial" w:eastAsia="arial" w:hAnsi="arial" w:cs="arial"/>
          <w:b w:val="0"/>
          <w:i/>
          <w:strike w:val="0"/>
          <w:noProof w:val="0"/>
          <w:color w:val="000000"/>
          <w:position w:val="0"/>
          <w:sz w:val="24"/>
          <w:u w:val="none"/>
          <w:vertAlign w:val="baseline"/>
        </w:rPr>
        <w:t>ex parte.</w:t>
      </w:r>
      <w:r>
        <w:rPr>
          <w:rFonts w:ascii="arial" w:eastAsia="arial" w:hAnsi="arial" w:cs="arial"/>
          <w:b w:val="0"/>
          <w:i w:val="0"/>
          <w:strike w:val="0"/>
          <w:noProof w:val="0"/>
          <w:color w:val="000000"/>
          <w:position w:val="0"/>
          <w:sz w:val="24"/>
          <w:u w:val="none"/>
          <w:vertAlign w:val="baseline"/>
        </w:rPr>
        <w:t xml:space="preserve"> It did not begin that way as the Company had attended some of the earlier mention dates as listed earlier in this award. However, the Company did not file any papers or pleadings into Court. The Company was fully aware of the case since the Company had attended the earlier mention dates. The Court continued with the hearing based on paragraph 29(d)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The paragraph reads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29.</w:t>
      </w:r>
      <w:r>
        <w:rPr>
          <w:rFonts w:ascii="arial" w:eastAsia="arial" w:hAnsi="arial" w:cs="arial"/>
          <w:b w:val="0"/>
          <w:i w:val="0"/>
          <w:strike w:val="0"/>
          <w:noProof w:val="0"/>
          <w:color w:val="000000"/>
          <w:position w:val="0"/>
          <w:sz w:val="18"/>
          <w:u w:val="none"/>
          <w:vertAlign w:val="baseline"/>
        </w:rPr>
        <w:t xml:space="preserve"> The Court may, in any proceedings before it-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(d) hear and determine the matter before it notwithstanding the failure of any party to submit any written statement whether of case or reply to the Court within such time as may be prescribed by the President or in the absence of any party to the proceedings who has been served with a notice or summons to appear;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The Company was given ample time to file the necessary documents and pleadings but to no avail. This Court has earlier decided another case </w:t>
      </w:r>
      <w:r>
        <w:rPr>
          <w:rFonts w:ascii="arial" w:eastAsia="arial" w:hAnsi="arial" w:cs="arial"/>
          <w:b w:val="0"/>
          <w:i/>
          <w:strike w:val="0"/>
          <w:noProof w:val="0"/>
          <w:color w:val="000000"/>
          <w:position w:val="0"/>
          <w:sz w:val="24"/>
          <w:u w:val="none"/>
          <w:vertAlign w:val="baseline"/>
        </w:rPr>
        <w:t>ex parte</w:t>
      </w:r>
      <w:r>
        <w:rPr>
          <w:rFonts w:ascii="arial" w:eastAsia="arial" w:hAnsi="arial" w:cs="arial"/>
          <w:b w:val="0"/>
          <w:i w:val="0"/>
          <w:strike w:val="0"/>
          <w:noProof w:val="0"/>
          <w:color w:val="000000"/>
          <w:position w:val="0"/>
          <w:sz w:val="24"/>
          <w:u w:val="none"/>
          <w:vertAlign w:val="baseline"/>
        </w:rPr>
        <w:t xml:space="preserve">, the case of </w:t>
      </w:r>
      <w:r>
        <w:rPr>
          <w:rFonts w:ascii="arial" w:eastAsia="arial" w:hAnsi="arial" w:cs="arial"/>
          <w:b w:val="0"/>
          <w:i/>
          <w:strike w:val="0"/>
          <w:noProof w:val="0"/>
          <w:color w:val="000000"/>
          <w:position w:val="0"/>
          <w:sz w:val="24"/>
          <w:u w:val="none"/>
          <w:vertAlign w:val="baseline"/>
        </w:rPr>
        <w:t xml:space="preserve">Mohamad Tuah Safar v. Beni Sdn Bhd  </w:t>
      </w:r>
      <w:r>
        <w:rPr>
          <w:rFonts w:ascii="arial" w:eastAsia="arial" w:hAnsi="arial" w:cs="arial"/>
          <w:b w:val="0"/>
          <w:i w:val="0"/>
          <w:strike w:val="0"/>
          <w:noProof w:val="0"/>
          <w:color w:val="000000"/>
          <w:position w:val="0"/>
          <w:sz w:val="24"/>
          <w:u w:val="none"/>
          <w:vertAlign w:val="baseline"/>
        </w:rPr>
        <w:t>[2023] 1 ILR 570;  (Award No. 435 of 2023</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In the award, was quoted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“OP Malhotra, </w:t>
      </w:r>
      <w:r>
        <w:rPr>
          <w:rFonts w:ascii="arial" w:eastAsia="arial" w:hAnsi="arial" w:cs="arial"/>
          <w:b w:val="0"/>
          <w:i/>
          <w:strike w:val="0"/>
          <w:noProof w:val="0"/>
          <w:color w:val="000000"/>
          <w:position w:val="0"/>
          <w:sz w:val="18"/>
          <w:u w:val="none"/>
          <w:vertAlign w:val="baseline"/>
        </w:rPr>
        <w:t>“The Law of Industrial Disputes”,</w:t>
      </w:r>
      <w:r>
        <w:rPr>
          <w:rFonts w:ascii="arial" w:eastAsia="arial" w:hAnsi="arial" w:cs="arial"/>
          <w:b w:val="0"/>
          <w:i w:val="0"/>
          <w:strike w:val="0"/>
          <w:noProof w:val="0"/>
          <w:color w:val="000000"/>
          <w:position w:val="0"/>
          <w:sz w:val="18"/>
          <w:u w:val="none"/>
          <w:vertAlign w:val="baseline"/>
        </w:rPr>
        <w:t xml:space="preserve"> Vol. 1, 6</w:t>
      </w:r>
      <w:r>
        <w:rPr>
          <w:rFonts w:ascii="arial" w:eastAsia="arial" w:hAnsi="arial" w:cs="arial"/>
          <w:b w:val="0"/>
          <w:i w:val="0"/>
          <w:strike w:val="0"/>
          <w:noProof w:val="0"/>
          <w:color w:val="000000"/>
          <w:position w:val="0"/>
          <w:sz w:val="18"/>
          <w:u w:val="none"/>
          <w:vertAlign w:val="superscript"/>
        </w:rPr>
        <w:t>th</w:t>
      </w:r>
      <w:r>
        <w:rPr>
          <w:rFonts w:ascii="arial" w:eastAsia="arial" w:hAnsi="arial" w:cs="arial"/>
          <w:b w:val="0"/>
          <w:i w:val="0"/>
          <w:strike w:val="0"/>
          <w:noProof w:val="0"/>
          <w:color w:val="000000"/>
          <w:position w:val="0"/>
          <w:sz w:val="18"/>
          <w:u w:val="none"/>
          <w:vertAlign w:val="baseline"/>
        </w:rPr>
        <w:t xml:space="preserve"> Edn, at p. 1062 states: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If, however, a party wilfully absents himself in such a way that the adjudication is likely to be impede, or wilfully tries to delay or avoid the proceedings, the tribunal may fix a preemptory hearing on a particular day. After reasonable notice of hearing has been given to the defaulting party, if he still neglects or refuses to attend, the tribunal may and ought to hear in his absence. Prompt discharge of business is of particular importance before a tribunal adjudicating an industrial dispute.</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Therefore, based on the circumstances of this case, the court proceeded with </w:t>
      </w:r>
      <w:r>
        <w:rPr>
          <w:rFonts w:ascii="arial" w:eastAsia="arial" w:hAnsi="arial" w:cs="arial"/>
          <w:b w:val="0"/>
          <w:i/>
          <w:strike w:val="0"/>
          <w:noProof w:val="0"/>
          <w:color w:val="000000"/>
          <w:position w:val="0"/>
          <w:sz w:val="18"/>
          <w:u w:val="none"/>
          <w:vertAlign w:val="baseline"/>
        </w:rPr>
        <w:t>ex parte</w:t>
      </w:r>
      <w:r>
        <w:rPr>
          <w:rFonts w:ascii="arial" w:eastAsia="arial" w:hAnsi="arial" w:cs="arial"/>
          <w:b w:val="0"/>
          <w:i w:val="0"/>
          <w:strike w:val="0"/>
          <w:noProof w:val="0"/>
          <w:color w:val="000000"/>
          <w:position w:val="0"/>
          <w:sz w:val="18"/>
          <w:u w:val="none"/>
          <w:vertAlign w:val="baseline"/>
        </w:rPr>
        <w:t xml:space="preserve"> hearing on 10 November 2020 due to the company’s failure to attend court, failure to file its statement in reply and failure to file any document. The court had also sent all the relevant forms, notices and letters to the company at its last known address, informing the company of the mention dates and hearing date.”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This Court is aware that the Company is facing a winding up petition, but that does not absolve the Company from its duties in other court proceedings. The Court had no other option but to proceed with the case </w:t>
      </w:r>
      <w:r>
        <w:rPr>
          <w:rFonts w:ascii="arial" w:eastAsia="arial" w:hAnsi="arial" w:cs="arial"/>
          <w:b w:val="0"/>
          <w:i/>
          <w:strike w:val="0"/>
          <w:noProof w:val="0"/>
          <w:color w:val="000000"/>
          <w:position w:val="0"/>
          <w:sz w:val="24"/>
          <w:u w:val="none"/>
          <w:vertAlign w:val="baseline"/>
        </w:rPr>
        <w:t>ex parte</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Constructive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This is a constructive dismissal case and, in this case obviously not objected too. The counsel for the Claimant had submitted that this is a straightforward case whereby the documents submitted in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xml:space="preserve"> clearly shows the salary that was not paid as well as the EPF and LHDN deductions that were not done. The latter being a statutory requirement which the Company had defaulted on. There being no evidence to rebut the said evidence, there is no case to answer.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Nonetheless, it is encumbered on this Court to scrutinise the evidence based on the </w:t>
      </w:r>
      <w:r>
        <w:rPr>
          <w:rFonts w:ascii="arial" w:eastAsia="arial" w:hAnsi="arial" w:cs="arial"/>
          <w:b/>
          <w:i/>
          <w:strike w:val="0"/>
          <w:noProof w:val="0"/>
          <w:color w:val="000000"/>
          <w:position w:val="0"/>
          <w:sz w:val="24"/>
          <w:u w:val="none"/>
          <w:vertAlign w:val="baseline"/>
        </w:rPr>
        <w:t>International Times</w:t>
      </w:r>
      <w:r>
        <w:rPr>
          <w:rFonts w:ascii="arial" w:eastAsia="arial" w:hAnsi="arial" w:cs="arial"/>
          <w:b w:val="0"/>
          <w:i w:val="0"/>
          <w:strike w:val="0"/>
          <w:noProof w:val="0"/>
          <w:color w:val="000000"/>
          <w:position w:val="0"/>
          <w:sz w:val="24"/>
          <w:u w:val="none"/>
          <w:vertAlign w:val="baseline"/>
        </w:rPr>
        <w:t xml:space="preserve"> case mentioned above. It is true that Claimant has submitted the documents to show that the Company did in fact make delayed payments and defaulted on the EPF and LHDN deductions. It was further enhanced by the messages between the Claimant and an officer in the Company inquiring about the delayed payments. The Company’s reply in the messages acknowledged the fact and said they were trying their best to make the said payments. This is basically an admission of the facts of the case by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next part of the constructive dismissal is the actual dismissal. In this case, the Claimant tendered his resignation on 4 September 2020 giving the Company the required two-month notice. The Company accepted the resignation via a letter dated 9 September 2020 and informed the Claimant that his last day in office was 30 October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Subsequently, on 12 October 2020, the Claimant wrote in to inform that he was resigning based on constructive dismissal and gave the reasons as well as listing out the non-payments by the Company. The Company did not reply to this letter, or to be more accurate there is no evidence in Court that the Company replied. However, there was an acknowledged receipt of the letter by the Company dated the same day as the letter. Based on that, it would be a grounded assumption that the Company was informed that the Claimant resigned due to constructive dismissal and the Company did not object at that time.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There being no other evidence available and the obvious evidence in Court does indeed show that the constructive dismissal was warranted without any evidence otherwise, the Court has no other option but to find that the Claimant has proven its case on the balance of probabilities.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Therefore, based on all the factors above,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namely equity, good conscience, and substantial merits of the case without regard to technicalities and legal form and all the evidence adduced in this Court, this Court finds that the Claimant has proven on the balance of probabilities that the Claimant was constructively dismissed by the actions of the Company. The Court agrees that the Company’s action was without just cause or excuse. The quantum of the Award will be listed below.</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The general remedy available for a successful claimant is both backwages and the ultimate redress would be reinstatement. The Court will delve into backwages first.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The Award of backwages relates to the fact that the Claimant has lost his employment and is recompensated for the time he is unemployed. However, there is no evidence that the Claimant is has obtained any employment as of now. The Claimant has not submitted any copies of the latest EPF statement. The only EPF statements that have been submitted are only up to 2020. The Court does not have any evidence of whether the Claimant is employed or not. The rational assumption is that he is currently employed and based on this it would be ludicrous to award the full 24 months compensation; especially taking into consideration the fact that the Claimant has only been employed with the Company for just under three years.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The 24 months above is based on the general rule for backwages as provided for in s. 30(6A)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 factors specified in the paragraphs 1 and 2 of the </w:t>
      </w:r>
      <w:r>
        <w:rPr>
          <w:rFonts w:ascii="arial" w:eastAsia="arial" w:hAnsi="arial" w:cs="arial"/>
          <w:b w:val="0"/>
          <w:i w:val="0"/>
          <w:strike w:val="0"/>
          <w:noProof w:val="0"/>
          <w:color w:val="000000"/>
          <w:position w:val="0"/>
          <w:sz w:val="24"/>
          <w:u w:val="single"/>
          <w:vertAlign w:val="baseline"/>
        </w:rPr>
        <w:t>Second Schedule</w:t>
      </w:r>
      <w:r>
        <w:rPr>
          <w:rFonts w:ascii="arial" w:eastAsia="arial" w:hAnsi="arial" w:cs="arial"/>
          <w:b w:val="0"/>
          <w:i w:val="0"/>
          <w:strike w:val="0"/>
          <w:noProof w:val="0"/>
          <w:color w:val="000000"/>
          <w:position w:val="0"/>
          <w:sz w:val="24"/>
          <w:u w:val="none"/>
          <w:vertAlign w:val="baseline"/>
        </w:rPr>
        <w:t>, which states as follows:</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event that backwages are to be given, such backwages shall not exceed twenty-four months’ backwages from the date of dismissal based on the last-drawn salary of the person who has been dismissed without just cause or excuse;</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case of a probationer who has been dismissed without just cause or excuse, any backwages shall not exceed twelve months’ backwages from the date of dismissal based on his last-drawn salary;</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However, taking into consideration all the issues above, the Court has determined that the fair amount of backwages is nine months.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Whereas, on the issue of reinstatement, which the Court feels is totally justified based on the fact that the Claimant was constructively dismissed. However, it would be counter intuitive to be reinstated into a company that the Claimant himself resigned due to constructive dismissal. The Court feels that reinstatement is not in good conscience and would instead award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The Award for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may be referred to either the Practice Note No. 3 of 2019 or subregulations 3(1) and 6(1) of Employment (Termination and Lay-Off Benefits) Regulations 1980 (PU (A) 278/80).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This Court refers to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[2012] 1 LNS 1296 has stated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[19]</w:t>
      </w:r>
      <w:r>
        <w:rPr>
          <w:rFonts w:ascii="arial" w:eastAsia="arial" w:hAnsi="arial" w:cs="arial"/>
          <w:b w:val="0"/>
          <w:i w:val="0"/>
          <w:strike w:val="0"/>
          <w:noProof w:val="0"/>
          <w:color w:val="000000"/>
          <w:position w:val="0"/>
          <w:sz w:val="18"/>
          <w:u w:val="none"/>
          <w:vertAlign w:val="baseline"/>
        </w:rPr>
        <w:t xml:space="preserve"> We say so because a compensation of back wages is based on the underlying principle envisaged under the </w:t>
      </w:r>
      <w:r>
        <w:rPr>
          <w:rFonts w:ascii="arial" w:eastAsia="arial" w:hAnsi="arial" w:cs="arial"/>
          <w:b w:val="0"/>
          <w:i w:val="0"/>
          <w:strike w:val="0"/>
          <w:noProof w:val="0"/>
          <w:color w:val="000000"/>
          <w:position w:val="0"/>
          <w:sz w:val="18"/>
          <w:u w:val="single"/>
          <w:vertAlign w:val="baseline"/>
        </w:rPr>
        <w:t>Employment (Termination and Lay-Offs Benefits) Regulations 1980</w:t>
      </w:r>
      <w:r>
        <w:rPr>
          <w:rFonts w:ascii="arial" w:eastAsia="arial" w:hAnsi="arial" w:cs="arial"/>
          <w:b w:val="0"/>
          <w:i w:val="0"/>
          <w:strike w:val="0"/>
          <w:noProof w:val="0"/>
          <w:color w:val="000000"/>
          <w:position w:val="0"/>
          <w:sz w:val="18"/>
          <w:u w:val="none"/>
          <w:vertAlign w:val="baseline"/>
        </w:rPr>
        <w:t xml:space="preserve">, made under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is not applicable to the respondent, he not being an employee with less than RM2,000 salary per month. Even under the Regulations, a person employed more than one year would be entitled to ten days wages for one year of service. For others, it would depend on his contract of employment or in a case of unionised employee the term of their respective collective agreements. A standard industry labour practice is to compensate the retrenched employee with a salary of one month to one year of service. The compensation granted in this case far exceeded any of these.”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Based on the Court of Appeal case above, it is quite clear that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is applicable in the Industrial Court but not applicable for this case because the Claimant has exceeded the threshold set by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Notwithstanding that fact, this Court is of the view that since the Claimant’s salary was above the threshold set in subregulation 6(1)PU(A)278/80 does not automatically negate its applicability. The Court has to consider the requirement as well under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whereby the Court has to take into consideration the economic situation of the country.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The Court feels that balancing all the above, the Claimant should also be given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based on subregulation 6(1) PU (A) 278/80.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There is another Award that has to be given is the outstanding contractual obligations. The Claimant should also be paid the amount he sought in his revised letter of resignation. Since it was due to him, up to the date of his resignation, the Claimant is entitled to 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Therefore the Claimant’s Award is as follows:</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5228"/>
        <w:gridCol w:w="5228"/>
      </w:tblGrid>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 Backwages</w:t>
            </w:r>
          </w:p>
        </w:tc>
        <w:tc>
          <w:tcPr>
            <w:tcW w:w="5120" w:type="dxa"/>
            <w:tcBorders>
              <w:bottom w:val="single" w:sz="2" w:space="0" w:color="BCBEC0"/>
            </w:tcBorders>
            <w:tcMar>
              <w:top w:w="100" w:type="dxa"/>
              <w:bottom w:w="100" w:type="dxa"/>
            </w:tcMar>
            <w:vAlign w:val="top"/>
          </w:tcP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RM9,200.00 x 9 months</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RM82,800.00</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 Total</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RM82,800.00</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Add</w:t>
            </w:r>
          </w:p>
        </w:tc>
        <w:tc>
          <w:tcPr>
            <w:tcW w:w="5120" w:type="dxa"/>
            <w:tcBorders>
              <w:bottom w:val="single" w:sz="2" w:space="0" w:color="BCBEC0"/>
            </w:tcBorders>
            <w:tcMar>
              <w:top w:w="100" w:type="dxa"/>
              <w:bottom w:w="100" w:type="dxa"/>
            </w:tcMar>
            <w:vAlign w:val="top"/>
          </w:tcP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(ii) Compensation </w:t>
            </w:r>
            <w:r>
              <w:rPr>
                <w:rFonts w:ascii="arial" w:eastAsia="arial" w:hAnsi="arial" w:cs="arial"/>
                <w:b w:val="0"/>
                <w:i/>
                <w:strike w:val="0"/>
                <w:noProof w:val="0"/>
                <w:color w:val="000000"/>
                <w:position w:val="0"/>
                <w:sz w:val="18"/>
                <w:u w:val="none"/>
                <w:vertAlign w:val="baseline"/>
              </w:rPr>
              <w:t>in lieu</w:t>
            </w:r>
            <w:r>
              <w:rPr>
                <w:rFonts w:ascii="arial" w:eastAsia="arial" w:hAnsi="arial" w:cs="arial"/>
                <w:b w:val="0"/>
                <w:i w:val="0"/>
                <w:strike w:val="0"/>
                <w:noProof w:val="0"/>
                <w:color w:val="000000"/>
                <w:position w:val="0"/>
                <w:sz w:val="18"/>
                <w:u w:val="none"/>
                <w:vertAlign w:val="baseline"/>
              </w:rPr>
              <w:t xml:space="preserve"> of reinstatement</w:t>
            </w:r>
          </w:p>
        </w:tc>
        <w:tc>
          <w:tcPr>
            <w:tcW w:w="5120" w:type="dxa"/>
            <w:tcBorders>
              <w:bottom w:val="single" w:sz="2" w:space="0" w:color="BCBEC0"/>
            </w:tcBorders>
            <w:tcMar>
              <w:top w:w="100" w:type="dxa"/>
              <w:bottom w:w="100" w:type="dxa"/>
            </w:tcMar>
            <w:vAlign w:val="top"/>
          </w:tcP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RM9,200.00 x 15/30 x 3 years</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RM13,800.00</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 Total</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RM13,800.00</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Add</w:t>
            </w:r>
          </w:p>
        </w:tc>
        <w:tc>
          <w:tcPr>
            <w:tcW w:w="5120" w:type="dxa"/>
            <w:tcBorders>
              <w:bottom w:val="single" w:sz="2" w:space="0" w:color="BCBEC0"/>
            </w:tcBorders>
            <w:tcMar>
              <w:top w:w="100" w:type="dxa"/>
              <w:bottom w:w="100" w:type="dxa"/>
            </w:tcMar>
            <w:vAlign w:val="top"/>
          </w:tcP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(iii) Contractual Obligation</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RM56,420.85</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Grand total</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RM82,800.00 + RM13,800.00 + RM56,420.85</w:t>
            </w:r>
          </w:p>
        </w:tc>
      </w:tr>
      <w:tr>
        <w:tblPrEx>
          <w:tblW w:w="5000" w:type="pct"/>
          <w:tblLayout w:type="fixed"/>
        </w:tblPrEx>
        <w:tc>
          <w:tcPr>
            <w:tcW w:w="5120" w:type="dxa"/>
            <w:tcBorders>
              <w:right w:val="single" w:sz="2" w:space="0" w:color="BCBEC0"/>
            </w:tcBorders>
            <w:tcMar>
              <w:top w:w="100" w:type="dxa"/>
              <w:bottom w:w="100" w:type="dxa"/>
            </w:tcMar>
            <w:vAlign w:val="top"/>
          </w:tcPr>
          <w:p/>
        </w:tc>
        <w:tc>
          <w:tcPr>
            <w:tcW w:w="5120"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RM153,020.85</w:t>
            </w:r>
          </w:p>
        </w:tc>
      </w:tr>
    </w:tbl>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Court hereby orders that the Company pays the Claimant the total sum of Ringgit Malaysia One hundred fifty-three thousand and twenty and eighty five cents (RM153,020.85) within 30 days from the date of this Award.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Kong Choon Hong v Logistics Worldwide Express (M) Sdn Bhd  [2024] ILJU 75</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2"/>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Kong Choon Hong v Logistics Worldwide Express (M) Sdn Bhd  [2024] ILJU 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P5-VFC3-MCMS-B3TD-00000-00">
    <vt:lpwstr>Doc::/shared/document|contextualFeaturePermID::1522468</vt:lpwstr>
  </property>
  <property fmtid="{D5CDD505-2E9C-101B-9397-08002B2CF9AE}" pid="4" name="LNDeliveryID">
    <vt:lpwstr>283274891</vt:lpwstr>
  </property>
  <property fmtid="{D5CDD505-2E9C-101B-9397-08002B2CF9AE}" pid="5" name="UserPermID">
    <vt:lpwstr>urn:user:PA196491919</vt:lpwstr>
  </property>
</Properties>
</file>