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keepNext w:val="0"/>
        <w:spacing w:after="0" w:line="34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7" o:title=""/>
          </v:shape>
        </w:pict>
      </w:r>
      <w:r>
        <w:t xml:space="preserve">  </w:t>
      </w:r>
      <w:r>
        <w:t> </w:t>
      </w:r>
      <w:r>
        <w:rPr>
          <w:rFonts w:ascii="arial" w:eastAsia="arial" w:hAnsi="arial" w:cs="arial"/>
          <w:b w:val="0"/>
          <w:i w:val="0"/>
          <w:strike w:val="0"/>
          <w:noProof w:val="0"/>
          <w:color w:val="000000"/>
          <w:position w:val="0"/>
          <w:sz w:val="28"/>
          <w:u w:val="none"/>
          <w:vertAlign w:val="baseline"/>
        </w:rPr>
        <w:t xml:space="preserve">               LORD WBK HAULAGE SDN BHD v JAMALUDIN BIN ISMAIL</w:t>
      </w:r>
    </w:p>
    <w:p>
      <w:pPr>
        <w:spacing w:line="240" w:lineRule="exact"/>
      </w:pPr>
    </w:p>
    <w:p>
      <w:pPr>
        <w:keepNext w:val="0"/>
        <w:spacing w:after="0" w:line="240" w:lineRule="atLeast"/>
        <w:ind w:right="0"/>
        <w:jc w:val="center"/>
      </w:pPr>
      <w:r>
        <w:rPr>
          <w:rFonts w:ascii="arial" w:eastAsia="arial" w:hAnsi="arial" w:cs="arial"/>
          <w:b/>
          <w:i w:val="0"/>
          <w:strike w:val="0"/>
          <w:noProof w:val="0"/>
          <w:color w:val="BE161D"/>
          <w:position w:val="0"/>
          <w:sz w:val="24"/>
          <w:u w:val="none"/>
          <w:vertAlign w:val="baseline"/>
        </w:rPr>
        <w:t>CaseAnalysis</w:t>
      </w:r>
      <w:r>
        <w:rPr>
          <w:rFonts w:ascii="arial" w:eastAsia="arial" w:hAnsi="arial" w:cs="arial"/>
          <w:b w:val="0"/>
          <w:i w:val="0"/>
          <w:strike w:val="0"/>
          <w:noProof w:val="0"/>
          <w:color w:val="000000"/>
          <w:position w:val="0"/>
          <w:sz w:val="24"/>
          <w:u w:val="none"/>
          <w:vertAlign w:val="baseline"/>
        </w:rPr>
        <w:t xml:space="preserve">                                                                                                                                                                                                                                                                                                                                                                                                                                                                                    </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[2023] MLJU 3240</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 xml:space="preserve">[2024] 11 MLJ 46                                                                  </w:t>
      </w:r>
      <w:r>
        <w:cr/>
      </w:r>
    </w:p>
    <w:p>
      <w:r>
        <w:pict>
          <v:line id="_x0000_s1026" style="position:absolute;z-index:251658240" from="0,2pt" to="512pt,2pt" strokecolor="gray">
            <v:stroke linestyle="single"/>
          </v:line>
        </w:pict>
      </w:r>
    </w:p>
    <w:p>
      <w:pPr>
        <w:pStyle w:val="Heading1"/>
        <w:keepNext w:val="0"/>
        <w:spacing w:before="0" w:after="60" w:line="340" w:lineRule="atLeast"/>
        <w:ind w:left="120" w:right="0" w:firstLine="0"/>
        <w:jc w:val="center"/>
      </w:pPr>
      <w:r>
        <w:br/>
      </w:r>
      <w:r>
        <w:pict>
          <v:shape id="_x0000_i1027" type="#_x0000_t75" style="width:12.75pt;height:12.75pt">
            <v:imagedata r:id="rId7" o:title=""/>
          </v:shape>
        </w:pict>
      </w:r>
      <w:r>
        <w:rPr>
          <w:rFonts w:ascii="arial" w:eastAsia="arial" w:hAnsi="arial" w:cs="arial"/>
          <w:b/>
          <w:i w:val="0"/>
          <w:strike w:val="0"/>
          <w:noProof w:val="0"/>
          <w:color w:val="0077CC"/>
          <w:position w:val="0"/>
          <w:sz w:val="28"/>
          <w:u w:val="none"/>
          <w:vertAlign w:val="baseline"/>
        </w:rPr>
        <w:t xml:space="preserve">               LORD WBK HAULAGE SDN BHD v JAMALUDIN BIN ISMAIL</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 xml:space="preserve">                                                                                                                                                                                                                                                                                                                                                                                                                                                                                    [2023] MLJU 3240;                         [2024] 11 MLJ 46                                                                  </w:t>
      </w:r>
    </w:p>
    <w:p/>
    <w:p>
      <w:pPr>
        <w:spacing w:line="200" w:lineRule="exact"/>
      </w:pP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Court:</w:t>
      </w:r>
      <w:r>
        <w:rPr>
          <w:rFonts w:ascii="arial" w:eastAsia="arial" w:hAnsi="arial" w:cs="arial"/>
          <w:b w:val="0"/>
          <w:i w:val="0"/>
          <w:strike w:val="0"/>
          <w:noProof w:val="0"/>
          <w:color w:val="000000"/>
          <w:position w:val="0"/>
          <w:sz w:val="24"/>
          <w:u w:val="none"/>
          <w:vertAlign w:val="baseline"/>
        </w:rPr>
        <w:t> MALAYSIA HIGH COURT</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Judges:</w:t>
      </w:r>
      <w:r>
        <w:rPr>
          <w:rFonts w:ascii="arial" w:eastAsia="arial" w:hAnsi="arial" w:cs="arial"/>
          <w:b w:val="0"/>
          <w:i w:val="0"/>
          <w:strike w:val="0"/>
          <w:noProof w:val="0"/>
          <w:color w:val="000000"/>
          <w:position w:val="0"/>
          <w:sz w:val="24"/>
          <w:u w:val="none"/>
          <w:vertAlign w:val="baseline"/>
        </w:rPr>
        <w:t xml:space="preserve">                   AZIZAN MD ARSHAD JC               </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Judgment Date:</w:t>
      </w:r>
      <w:r>
        <w:rPr>
          <w:rFonts w:ascii="arial" w:eastAsia="arial" w:hAnsi="arial" w:cs="arial"/>
          <w:b w:val="0"/>
          <w:i w:val="0"/>
          <w:strike w:val="0"/>
          <w:noProof w:val="0"/>
          <w:color w:val="000000"/>
          <w:position w:val="0"/>
          <w:sz w:val="24"/>
          <w:u w:val="none"/>
          <w:vertAlign w:val="baseline"/>
        </w:rPr>
        <w:t xml:space="preserve">                   26/12/2023               </w:t>
      </w:r>
    </w:p>
    <w:p>
      <w:pPr>
        <w:keepNext/>
        <w:spacing w:before="120" w:after="0" w:line="340" w:lineRule="atLeast"/>
        <w:ind w:left="0" w:right="0" w:firstLine="0"/>
        <w:jc w:val="left"/>
      </w:pPr>
      <w:bookmarkStart w:id="0" w:name="Catchwords &amp; Digest"/>
      <w:bookmarkEnd w:id="0"/>
      <w:r>
        <w:rPr>
          <w:rFonts w:ascii="arial" w:eastAsia="arial" w:hAnsi="arial" w:cs="arial"/>
          <w:b/>
          <w:i w:val="0"/>
          <w:strike w:val="0"/>
          <w:noProof w:val="0"/>
          <w:color w:val="000000"/>
          <w:position w:val="0"/>
          <w:sz w:val="28"/>
          <w:u w:val="none"/>
          <w:vertAlign w:val="baseline"/>
        </w:rPr>
        <w:t>Catchwords &amp; Digest</w:t>
      </w:r>
    </w:p>
    <w:p>
      <w:pPr>
        <w:spacing w:line="60" w:lineRule="exact"/>
      </w:pPr>
      <w:r>
        <w:pict>
          <v:line id="_x0000_s1028" style="position:absolute;z-index:251659264" from="0,2pt" to="512pt,2pt" strokecolor="#009ddb" strokeweight="2pt">
            <v:stroke linestyle="single"/>
          </v:line>
        </w:pict>
      </w:r>
    </w:p>
    <w:p>
      <w:pPr>
        <w:spacing w:line="240" w:lineRule="exact"/>
      </w:pPr>
    </w:p>
    <w:p>
      <w:pPr>
        <w:keepNext w:val="0"/>
        <w:pBdr>
          <w:top w:val="single" w:sz="8" w:space="5" w:color="DCDCDC"/>
          <w:left w:val="single" w:sz="8" w:space="2" w:color="DCDCDC"/>
          <w:right w:val="single" w:sz="8" w:space="2" w:color="DCDCDC"/>
        </w:pBdr>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 xml:space="preserve">Labour Law — Award — Appeal against order of Director General of Labour — Allegation that issues raised by employer at Labour Office not addressed by Labour Office — Whether labour office formulated own issues in grounds of judgment — Whether Labour Office addressed settlement signed between parties — Whether Labour Office erred in equating basic wages to minimum wages — Whether employees deemed laid off — Whether claim time barred — Whether employees employment contract co-extensive with employer’s contract with another company — Employment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1955 ss 2, 33, 69 (1)(a)</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Held</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allowing the appeal in part:</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parties actually intended for this case to be settled without any disputes related to it in the future and the appellant himself had failed to fully comply with the settlement agreement. This action by the appellant was an action that could not be defended, and the respondent was entitled to bring this action again without hindrance or res judicata because it was not decided on merit by any party that had the authority to do so. The court agreed with the judgment of the Labour Office that this complaint could be heard and decided and was not bound to the settlement which was never complied with by the appellant (see para 25).                  </w:t>
      </w:r>
      <w:r>
        <w:rPr>
          <w:rFonts w:ascii="arial" w:eastAsia="arial" w:hAnsi="arial" w:cs="arial"/>
          <w:b w:val="0"/>
          <w:i w:val="0"/>
          <w:strike w:val="0"/>
          <w:noProof w:val="0"/>
          <w:color w:val="000000"/>
          <w:position w:val="0"/>
          <w:sz w:val="24"/>
          <w:u w:val="none"/>
          <w:vertAlign w:val="baseline"/>
        </w:rPr>
        <w:t xml:space="preserve">                  </w:t>
      </w:r>
    </w:p>
    <w:p>
      <w:pPr>
        <w:keepNext w:val="0"/>
        <w:numPr>
          <w:numId w:val="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the question of fact and law, there was no error in the decision of the Labour Office regarding the issue that the appellant had paid a wage contrary to the minimum wages and wages paid were below the minimum wage as defined under s 2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The appellant’s actions could not be normalised as a practice in the industry, regardless of which industry the company was in (see paras 35–36).                  </w:t>
      </w:r>
      <w:r>
        <w:rPr>
          <w:rFonts w:ascii="arial" w:eastAsia="arial" w:hAnsi="arial" w:cs="arial"/>
          <w:b w:val="0"/>
          <w:i w:val="0"/>
          <w:strike w:val="0"/>
          <w:noProof w:val="0"/>
          <w:color w:val="000000"/>
          <w:position w:val="0"/>
          <w:sz w:val="24"/>
          <w:u w:val="none"/>
          <w:vertAlign w:val="baseline"/>
        </w:rPr>
        <w:t xml:space="preserve">                  </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Complaints to the Director General for Employer related to wages must be made within 90 days, but complaints against Employer for other financial claims could not be brought under s 33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but under s 69 of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itself. For complaints under section 69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(for other financial claims) was not subject to a time limit as complaints under s 33(1) (c)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(for wages) (see para 61 ).                  </w:t>
      </w:r>
      <w:r>
        <w:rPr>
          <w:rFonts w:ascii="arial" w:eastAsia="arial" w:hAnsi="arial" w:cs="arial"/>
          <w:b w:val="0"/>
          <w:i w:val="0"/>
          <w:strike w:val="0"/>
          <w:noProof w:val="0"/>
          <w:color w:val="000000"/>
          <w:position w:val="0"/>
          <w:sz w:val="24"/>
          <w:u w:val="none"/>
          <w:vertAlign w:val="baseline"/>
        </w:rPr>
        <w:t xml:space="preserve">                  </w:t>
      </w:r>
    </w:p>
    <w:p>
      <w:pPr>
        <w:keepNext w:val="0"/>
        <w:numPr>
          <w:numId w:val="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decision of The Labour Office was correct when it decided that the provision of Regulation 5 of the Employment Regulations (Termination and Temporary Employment Benefits) 1980 referred to by the appellant was not applicable, as it was proved that the appellant was still giving work instructions to the respondent. This provision only applied if no work was provided for a period of four consecutive weeks. The decision of the Director General of Labour Office was affirmed on this issue. The termination notice only applied in May 2021 and the opening in June 2014. This claim could still be made and was not hindered by the time limit (see para 71).                  </w:t>
      </w:r>
      <w:r>
        <w:rPr>
          <w:rFonts w:ascii="arial" w:eastAsia="arial" w:hAnsi="arial" w:cs="arial"/>
          <w:b w:val="0"/>
          <w:i w:val="0"/>
          <w:strike w:val="0"/>
          <w:noProof w:val="0"/>
          <w:color w:val="000000"/>
          <w:position w:val="0"/>
          <w:sz w:val="24"/>
          <w:u w:val="none"/>
          <w:vertAlign w:val="baseline"/>
        </w:rPr>
        <w:t xml:space="preserve">                  </w:t>
      </w:r>
    </w:p>
    <w:p>
      <w:pPr>
        <w:keepNext w:val="0"/>
        <w:numPr>
          <w:numId w:val="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was inappropriate for appellant to rely on the termination of the appellant’s contact with Shell as a reason for the termination of the respondents’ relationship. That clause on the notice to terminate service  of the respondents had nothing to do with Shell’s contract. Even though the appellant’s company contract with Shell had ended, the employment contract relationship between the appellant and the respondent still existed and was in force, and no termination had been made (see paras 86–87).                  </w:t>
      </w:r>
      <w:r>
        <w:rPr>
          <w:rFonts w:ascii="arial" w:eastAsia="arial" w:hAnsi="arial" w:cs="arial"/>
          <w:b w:val="0"/>
          <w:i w:val="0"/>
          <w:strike w:val="0"/>
          <w:noProof w:val="0"/>
          <w:color w:val="000000"/>
          <w:position w:val="0"/>
          <w:sz w:val="24"/>
          <w:u w:val="none"/>
          <w:vertAlign w:val="baseline"/>
        </w:rPr>
        <w:t xml:space="preserve">                  </w:t>
      </w:r>
    </w:p>
    <w:p>
      <w:pPr>
        <w:keepNext w:val="0"/>
        <w:numPr>
          <w:numId w:val="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period of service of the respondent together with the appellant was more than twelve months. Since the respondent had been terminated by the appellant, the respondent could rely on reg 6(1) of the Employment Regulations (Termination and Temporary Employment Benefits) 1980 for the calculation and formula of payment of the respondent’s wage rate and length of service with the appellant. The additional issues which had been argued by the appellant was not in favour of the appellant and would not change the outcome of the appeal. There were serious appealable errors by Director-General of Labour Office that warranted the interference and ought to be corrected by the court (see paras 88–89 &amp; 92).                  </w:t>
      </w:r>
      <w:r>
        <w:rPr>
          <w:rFonts w:ascii="arial" w:eastAsia="arial" w:hAnsi="arial" w:cs="arial"/>
          <w:b w:val="0"/>
          <w:i w:val="0"/>
          <w:strike w:val="0"/>
          <w:noProof w:val="0"/>
          <w:color w:val="000000"/>
          <w:position w:val="0"/>
          <w:sz w:val="24"/>
          <w:u w:val="none"/>
          <w:vertAlign w:val="baseline"/>
        </w:rPr>
        <w:t xml:space="preserve">               </w:t>
      </w:r>
    </w:p>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Summary :</w:t>
      </w:r>
      <w:r>
        <w:rPr>
          <w:rFonts w:ascii="arial" w:eastAsia="arial" w:hAnsi="arial" w:cs="arial"/>
          <w:b w:val="0"/>
          <w:i w:val="0"/>
          <w:strike w:val="0"/>
          <w:noProof w:val="0"/>
          <w:color w:val="000000"/>
          <w:position w:val="0"/>
          <w:sz w:val="24"/>
          <w:u w:val="none"/>
          <w:vertAlign w:val="baseline"/>
        </w:rPr>
        <w:t xml:space="preserve">               </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was appeal by the appellant against the order of the Director-General of Labour through its Labour Officer in awarding the total sum of RM387,555.19 to the respondents. The respondents filed a complaint against the company under s 69 (1)(a)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under three heads of claims, namely: (a) shortfall of minimum wages; (b) compensation for termination; and (c) compensation in lieu of notice of termination. An enquiry was held by the Labour Office wherein the issues raised by the appellant were that: (i) there was already a settlement signed by the respondents and duly acknowledged by the Labour Court; (ii) the claims were time-barred; (iii) there was no shortfall in minimum wages; (iv) the respondents were deemed laid off by way of reg. 5 of the Employment (Termination and Lay-off Benefits) Regulations 1980 (‘Regulations’); and (v) a term of the employment contract of the respondents made the contract co-extensive with the main contract between the appellant and Shell Malaysia, ie, in the event Shell terminated the contract with the appellant, the respondents’ contract were </w:t>
      </w:r>
      <w:r>
        <w:rPr>
          <w:rFonts w:ascii="arial" w:eastAsia="arial" w:hAnsi="arial" w:cs="arial"/>
          <w:b w:val="0"/>
          <w:i/>
          <w:strike w:val="0"/>
          <w:noProof w:val="0"/>
          <w:color w:val="000000"/>
          <w:position w:val="0"/>
          <w:sz w:val="24"/>
          <w:u w:val="none"/>
          <w:vertAlign w:val="baseline"/>
        </w:rPr>
        <w:t>ipso facto</w:t>
      </w:r>
      <w:r>
        <w:rPr>
          <w:rFonts w:ascii="arial" w:eastAsia="arial" w:hAnsi="arial" w:cs="arial"/>
          <w:b w:val="0"/>
          <w:i w:val="0"/>
          <w:strike w:val="0"/>
          <w:noProof w:val="0"/>
          <w:color w:val="000000"/>
          <w:position w:val="0"/>
          <w:sz w:val="24"/>
          <w:u w:val="none"/>
          <w:vertAlign w:val="baseline"/>
        </w:rPr>
        <w:t xml:space="preserve"> terminated. After a full hearing, the Labour Office granted an order in favour of the respondent. However, in the grounds of the Labour Officer, the Labour Officer formulated only three issues, namely: (A) whether the respondents were workers within the definition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(B) whether the respondents were eligible to seek balance of minimum wages; and (C) in the event there was termination of service, whether the workers were eligible for payment in lieu of notice and termination of benefit. Hence the present appeal. The issues raised related to the grounds of the judgment (‘GOJ’) by the Labour Office, primarily, that several issues raised by the appellant were not decided by the Labour Office and that the Labour Office only responded to three issues in the GOJ. The issues that arose for determination, inter alia, were: (1) whether the Labour Officer addressed his mind to the settlement signed by the parties; (2)  whether the Labour Officer erred in law and fact in equating basic wages to minimum wages; (3) whether the respondents were deemed laid off; (4) whether the respondent’s claim were time barred; and (5) whether the employment contract was co-extensive with the employer’s contract with Shell Malaysia Trading Sdn Bhd.</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1" w:name="Cases considered by this case"/>
      <w:bookmarkEnd w:id="1"/>
      <w:r>
        <w:rPr>
          <w:rFonts w:ascii="arial" w:eastAsia="arial" w:hAnsi="arial" w:cs="arial"/>
          <w:b/>
          <w:i w:val="0"/>
          <w:strike w:val="0"/>
          <w:noProof w:val="0"/>
          <w:color w:val="000000"/>
          <w:position w:val="0"/>
          <w:sz w:val="28"/>
          <w:u w:val="none"/>
          <w:vertAlign w:val="baseline"/>
        </w:rPr>
        <w:t>Cases considered by this case</w:t>
      </w:r>
    </w:p>
    <w:p>
      <w:pPr>
        <w:spacing w:line="60" w:lineRule="exact"/>
      </w:pPr>
      <w:r>
        <w:pict>
          <v:line id="_x0000_s1029" style="position:absolute;z-index:251660288" from="0,2pt" to="512pt,2pt" strokecolor="#009ddb" strokeweight="2pt">
            <v:stroke linestyle="single"/>
          </v:line>
        </w:pict>
      </w:r>
    </w:p>
    <w:p>
      <w:pPr>
        <w:spacing w:line="240" w:lineRule="exact"/>
      </w:pP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0"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ASWJ KONSORTIUM SDN BHD v AIRPORT LIMO (M) SDN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[2023] MLJU 1487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E98310"/>
                <w:vertAlign w:val="baseline"/>
              </w:rPr>
              <w:t>(distd)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6/6/2023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1"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LING TOWI SING &amp; ORS v SINO AMERICA TOURS CORPORATION PTE LTD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[2022] 3 MLJ 821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9/3/2022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2"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CRYSTAL CROWN HOTEL PETALING JAYA) v KESATUAN KEBANGSAAN PEKERJA-PEKERJA HOTEL, BAR &amp; RESTORAN SEMENANJUNG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[2021] 3 MLJ 466;                               [2021] MLJU 385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24/3/2021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3"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PACIFIC SANCTUARY HOLDINGS SDN BHD (FORMERLY KNOWN AS IDEAL PRESTIGE SDN BHD) v MASALAND CONSTRUCTION SDN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3 MLJ 692;                               [2020] MLJU 89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31/1/2020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SENI JAYA SDN BHD &amp; ANOR v DATO’ HJ AHMAD TARMIZI HJ PUTEH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2 MLJ 154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21/11/2018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KESATUAN PEKERJA-PEKERJA BUKAN EKSEKUTIF MAYBANK BHD v KESATUAN KEBANGSAAN PEKERJA-PEKERJA BANK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[2017] 4 CLJ 265;                               [2018] 2 MLJ 590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10/3/2017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BUKIT CERAKAH DEVELOPMENT SDN BHD) v MENTA CONSTRUCTION SDN BHD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[2013] 2 AMCR 161;                               [2013] 1 LNS 148;                               [2014] 1 MLJ 287;                               [2013] MLJU 211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18/1/2013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ROBERT LEE @ ROBERT SEET &amp; ANOR v WONG AH YAP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[2007] 4 AMR 1;                               [2007] 4 CLJ 1;                               [2007] 4 MLJ 393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11/5/2007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MYCA</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KUMARAN SUPPIAH v DATO’ NOH BIN HAJI OMAR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[2006] 6 MLJ 393;                               [2006] MLJU 375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22/9/2006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9"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KUMARAN SUPPIAH v DATO’ NOH BIN HAJI OMAR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[2006] 4 CLJ 675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6/3/2006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0"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DALIP BHAGWAN SINGH v PUBLIC PROSECUTOR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[1997] 4 AMR 4029;                               [1997] 4 CLJ 645;                               [1998] 1 MLJ 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4/11/1997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1"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SAMBU (M) SDN BHD v STONE WORLD SDN BHD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[1996] MLJU 510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26/11/1996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UVARAJAH KANASEVAN &amp; ANOR. v PENOLONG PENGARAH BURUH, BUTTERWORTH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[1992] 2 MLJ 152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15/5/1992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3"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LEE FATT SENG v HARPER GILFILLAN [1980] SDN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[1988] 1 MLJ 245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18/12/1987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ASIA MOTOR (K.L.) SDN. BHD. v RAM RAJ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1 LNS 34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ASIA MOTOR (K.L.) SDN. BHD. v RAM RAJ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2 MLJ 203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BADRI PRASAD v RAM NARAIN SINGH AIR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1939 201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CRYSTAL CROWN HOTEL PETALING JAYA) v KESATUAN KEBANGSAAN PEKERJA-PEKERJA HOTEL, BAR &amp; RESTORAN SEMENANJUNG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[2021] 2 ILR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CRYSTAL CROWN HOTEL PETALING JAYA) v KESATUAN KEBANGSAAN PEKERJA-PEKERJA HOTEL, BAR &amp; RESTORAN SEMENANJUNG MALAYSIA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[2021] 4 CLJ 775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49"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DEUTSCHE BANK (M) BHD v MBF HOLDINGS BHD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[2015] 8 CLJ 1068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GREEN v ROZEN</w:t>
            </w:r>
            <w:r>
              <w:br/>
            </w:r>
          </w:p>
          <w:p>
            <w:pPr>
              <w:keepNext w:val="0"/>
              <w:spacing w:after="20" w:line="24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val="0"/>
                  <w:strike w:val="0"/>
                  <w:noProof w:val="0"/>
                  <w:color w:val="0077CC"/>
                  <w:position w:val="0"/>
                  <w:sz w:val="18"/>
                  <w:u w:val="single"/>
                  <w:shd w:val="clear" w:color="auto" w:fill="FFFFFF"/>
                  <w:vertAlign w:val="baseline"/>
                </w:rPr>
                <w:t>[1995] 1 WLR 741</w:t>
              </w:r>
            </w:hyperlink>
            <w:r>
              <w:t xml:space="preserve"> </w:t>
            </w:r>
            <w:r>
              <w:pict>
                <v:shape id="_x0000_i1051" type="#_x0000_t75" style="width:11pt;height:10pt">
                  <v:imagedata r:id="rId11" o:title=""/>
                </v:shape>
              </w:pict>
            </w:r>
            <w:r>
              <w:rPr>
                <w:rFonts w:ascii="arial" w:eastAsia="arial" w:hAnsi="arial" w:cs="arial"/>
                <w:b w:val="0"/>
                <w:i w:val="0"/>
                <w:strike w:val="0"/>
                <w:noProof w:val="0"/>
                <w:color w:val="000000"/>
                <w:position w:val="0"/>
                <w:sz w:val="18"/>
                <w:u w:val="none"/>
                <w:vertAlign w:val="baseline"/>
              </w:rPr>
              <w:t xml:space="preserve">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KESATUAN KEBANGSAAN PEKERJA-PEKERJA LADANG (NUPW) v PERSATUAN PENGELUAR-PENGELUAR PERTANIAN TANAH MELAYU (MAPA)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[2011] 1 ILJ 405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3"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KESATUAN KEBANGSAAN PEKERJA-PEKERJA LADANG (NUPW) v PERSATUAN PENGELUAR-PENGELUAR PERTANIAN TANAH MELAYU (MAPA)</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[2011] 1 ILR 179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4"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KESATUAN PEKERJA-PEKERJA BUKAN EKSEKUTIF MAYBANK BHD v KESATUAN KEBANGSAAN PEKERJA-PEKERJA BANK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[2017] 2 ILR 230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5"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LEE FATT SENG v HARPER GILFILLAN [1980] SDN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[1988] 1 CLJ Rep 156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6"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LING TOWI SING &amp; ORS v SINO AMERICA TOURS CORPORATION PTE LTD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[2022] 6 CLJ 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7"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LORD ROMILLY MR IN PLUMLEY v HORRELL</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[1869] 20 LT 473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PACIFIC SANCTUARY HOLDINGS SDN BHD v MASALAND CONSTRUCTION SDN BHD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[2020] 4 CLJ 490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59"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R v SURREY (NE AREA) ASSESSMENT COMMITTEE</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[1948] 1 KB 28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SAMBU (M) SDN BHD v STONE WORLD SDN BHD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[1996] 2 CLJ 523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1"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SENI JAYA SDN BHD &amp; ANOR v DATO’ HJ AHMAD TARMIZI HJ PUTEH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1 CLJ 713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62"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TUD CLUB AUTO EMPORIUM PTE LTD AND OTHERS v YEO BOONG HUA AND OTHERS AND ANOTHER APPEAL AND OTHER MATTERS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[2017] 2 SLR 12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r>
        <w:tblPrEx>
          <w:tblW w:w="5000" w:type="pct"/>
          <w:tblLayout w:type="fixed"/>
        </w:tblPrEx>
        <w:tc>
          <w:tcPr>
            <w:tcW w:w="7168" w:type="dxa"/>
            <w:tcBorders>
              <w:right w:val="nil"/>
            </w:tcBorders>
            <w:tcMar>
              <w:top w:w="100" w:type="dxa"/>
              <w:bottom w:w="100" w:type="dxa"/>
            </w:tcMar>
            <w:vAlign w:val="top"/>
          </w:tcPr>
          <w:p>
            <w:pPr>
              <w:keepNext w:val="0"/>
              <w:spacing w:after="60" w:line="340" w:lineRule="atLeast"/>
              <w:ind w:left="0" w:right="0"/>
              <w:jc w:val="left"/>
            </w:pPr>
            <w:r>
              <w:pict>
                <v:shape id="_x0000_i1063"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UVARAJAH KANASEVAN &amp; ANOR. v PENOLONG PENGARAH BURUH, BUTTERWORTH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[1992] 1 CLJ Rep 348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bl>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2" w:name="Legislation considered by this case"/>
      <w:bookmarkEnd w:id="2"/>
      <w:r>
        <w:rPr>
          <w:rFonts w:ascii="arial" w:eastAsia="arial" w:hAnsi="arial" w:cs="arial"/>
          <w:b/>
          <w:i w:val="0"/>
          <w:strike w:val="0"/>
          <w:noProof w:val="0"/>
          <w:color w:val="000000"/>
          <w:position w:val="0"/>
          <w:sz w:val="28"/>
          <w:u w:val="none"/>
          <w:vertAlign w:val="baseline"/>
        </w:rPr>
        <w:t>Legislation considered by this case</w:t>
      </w:r>
    </w:p>
    <w:p>
      <w:pPr>
        <w:spacing w:line="60" w:lineRule="exact"/>
      </w:pPr>
      <w:r>
        <w:pict>
          <v:line id="_x0000_s1064" style="position:absolute;z-index:251661312" from="0,2pt" to="512pt,2pt" strokecolor="#009ddb" strokeweight="2pt">
            <v:stroke linestyle="single"/>
          </v:line>
        </w:pict>
      </w:r>
    </w:p>
    <w:p>
      <w:pPr>
        <w:spacing w:line="240" w:lineRule="exact"/>
      </w:pP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6274"/>
        <w:gridCol w:w="4182"/>
      </w:tblGrid>
      <w:tr>
        <w:tblPrEx>
          <w:tblW w:w="5000" w:type="pct"/>
          <w:tblLayout w:type="fixed"/>
        </w:tblPrEx>
        <w:trPr>
          <w:tblHeader/>
        </w:trPr>
        <w:tc>
          <w:tcPr>
            <w:tcW w:w="6144"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Legislation Name &amp; Jurisdiction</w:t>
            </w:r>
          </w:p>
        </w:tc>
        <w:tc>
          <w:tcPr>
            <w:tcW w:w="4096"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Provisions</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Employment (Termination and Lay-Off Benefits) Regulations 1980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 5</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Employment (Termination and Temporary Employment Benefits) Regulations 1980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regs 3(1), 6(1)</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1955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 2, 12(2), 18, 19, 33, 69, Part III</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Employment Regulations 1957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Form C</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Limitation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1953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3</w:t>
            </w:r>
          </w:p>
        </w:tc>
      </w:tr>
      <w:tr>
        <w:tblPrEx>
          <w:tblW w:w="5000" w:type="pct"/>
          <w:tblLayout w:type="fixed"/>
        </w:tblPrEx>
        <w:tc>
          <w:tcPr>
            <w:tcW w:w="614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Public Authorities Protection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1948                                                                                                               </w:t>
            </w:r>
          </w:p>
        </w:tc>
        <w:tc>
          <w:tcPr>
            <w:tcW w:w="4096"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2</w:t>
            </w:r>
          </w:p>
        </w:tc>
      </w:tr>
    </w:tbl>
    <w:p/>
    <w:p>
      <w:pPr>
        <w:ind w:left="200"/>
      </w:pPr>
      <w:r>
        <w:br/>
      </w:r>
      <w:r>
        <w:pict>
          <v:line id="_x0000_s1065"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 xml:space="preserve">               LORD WBK HAULAGE SDN BHD v JAMALUDIN BIN ISMAIL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iclr.co.uk/pubrefLookup/redirectTo?ref=1995+1+WLR+741" TargetMode="External" /><Relationship Id="rId11" Type="http://schemas.openxmlformats.org/officeDocument/2006/relationships/image" Target="media/image4.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LORD WBK HAULAGE SDN BHD v JAMALUDIN BIN ISMAIL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M5-J4H3-RVDR-904G-00000-00">
    <vt:lpwstr>Doc::/shared/document|contextualFeaturePermID::1522468</vt:lpwstr>
  </property>
  <property fmtid="{D5CDD505-2E9C-101B-9397-08002B2CF9AE}" pid="4" name="LNDeliveryID">
    <vt:lpwstr>286221148</vt:lpwstr>
  </property>
  <property fmtid="{D5CDD505-2E9C-101B-9397-08002B2CF9AE}" pid="5" name="UserPermID">
    <vt:lpwstr>urn:user:PA196491919</vt:lpwstr>
  </property>
</Properties>
</file>