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Leo Anthony a/l P R Benedict Francis v KL Wellness City Sdn Bhd  [2025] ILJU 460</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AHMAD RAZIF MOHD SIDEK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1547 OF 2025</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7 October 2025</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Clement Ng Yen Han (Bestian Ng &amp; Co)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Chan Hoo Yan (Gan &amp; Zul) for the respondent.</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53"/>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Ahmad Razif Mohd Sidek C"/>
            <w:bookmarkEnd w:id="1"/>
            <w:r>
              <w:rPr>
                <w:rFonts w:ascii="arial" w:eastAsia="arial" w:hAnsi="arial" w:cs="arial"/>
                <w:b/>
                <w:i w:val="0"/>
                <w:strike w:val="0"/>
                <w:noProof w:val="0"/>
                <w:color w:val="000000"/>
                <w:position w:val="0"/>
                <w:sz w:val="30"/>
                <w:u w:val="none"/>
                <w:vertAlign w:val="baseline"/>
              </w:rPr>
              <w:t>Ahmad Razif Mohd Sidek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made under 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dated 25.07.2023 arising out of the dismissal of Leo Anthony A/L P R Benedict Francis (hereinafter referred to as “the Claimant”) by KL Wellness City Sdn. Bhd. (hereinafter referred to as “the Respondent”) on 19.01.2023.</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This is the Respondent’s application by way of a Notice of Application dated 03.07.2025 pursuant to section 29(fa) and section 20(1A)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and supported by an Affidavit in Support duly affirmed by Sin Chin Yan on 30.06.2025 to strike out the Claimant’s respective complaints as observed in Industrial Court Cases No. 3/4-1285/23, 19/4-1296/23 and 4/4-1303/23 which has been consolidated on the ground that the Claimant’s respective complaints were filed prematurely, misconceived and invalid in law.</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Court considered all the following cause papers and submissions filed by the parties in handing down this Award: -</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23.08.2023;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10.11.2023;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Notice of Application dated 03.07.2025 (the Application filed by the Respondent - (Enclosure 55A);</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Affidavit in Support affirmed by Sin Chee Yan on 30.06.2025 - (Enclosure 55B);</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Affidavit in Reply affirmed by Liew Kim Feat on 14.07.2025;</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Affidavit in Reply affirmed by Sin Chee Yan on 24.07.2025;</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Respondent’s Written Submission dated on 07.08.2025;</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Written Submission dated 22.08.2025;</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Respondent’s Submission in Reply dated 02.09.2025; and</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Written Submission in Reply dated 18.09.2025.</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Vide Enclosure 55A, the Respondent prays under section 29(fa) and section 20(1A)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for the Industrial Court Suit No. 3/41285/23, 19/4-1296/23 and 4/4-1303/23 be struck off on the following grounds: -</w:t>
      </w:r>
      <w:r>
        <w:t>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that the Claimants’ respective representation pursuant to Section 20(1A)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is premature, misconceived and invalid in law;</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that the Claimants in the respective cases were never dismissed by the Respondent prior to the Claimants making their respective representations to the Director General pursuant to section 20(1A)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that the Claimants’ respective representations made to the Director General are premature, misconceived and invalid and the Industrial Court lacks the jurisdiction to hear the case; and</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that should the Claimants have made the respective representations on the grounds that the Claimants were constructively dismissed on 17.10.2022, which the Respondent disagrees, the Claimants’ respective representation would have been made out of time and must not be entertained by the Director General.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Claimants were employed by the Respondent on 01.12.2021 as Sales Manager and Sales Executives. The Claimants were internally transferred to KL Wellness City (H) Sdn Bhd on 17.10.2022 and had thereafter on 26.10.2022, 23.11.2022 and 21.12.2022 received monthly wages from KL Wellness City (H) Sdn Bhd.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 Respondent had issued a show cause letter to Leo Anthony A/L P R Benedict Francis on 09.12.2022 for failure to hit the KPI from 11.11.2022 to 30.11.2022. Leo Anthony A/L P R Benedict Francis had provided an explanation to the show’s cause letter, vide letter dated 09.12.2022. Vide a letter dated 13.12.2022, the Respondent issued a warning letter to Leo Anthony A/L P R Benedict Francis and Leo Anthony A/L P R Benedict Francis responded to the warning letter vide letter dated 15.12.2022. Vide letter dated 17.12.2022, Leo Anthony A/L P R Benedict Francis received show cause letter from KL Wellness City (H) Sdn Bhd for failure to hit the KPI for the period of 01.12.2022 to 15.12.2022. Vide a letter dated 29.12.2022, KL Wellness City (H) Sdn Bhd replied to Leo Anthony A/L P R Benedict Francis’s letter dated 15.12.2022. KL Wellness City (H) Sdn Bhd further issued a show cause letter to Leo Anthony A/L P R Benedict Francis vide a letter dated 17.01.2023, for Leo Anthony A/L P R Benedict Francis’s failure to hit the KPI from 01.01.2023 to 15.01.2023.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Respondent had issued a show cause letter to Wong Yi Ling on 30.11.2022 for failure to comply with the attendance policy. Wong Yi Ling had provided an explanation to the show’s cause letter, vide letter dated 01.12.2022. Vide a letter dated 02.12.2022,the Respondent issued a warning letter to the Wong Yi Ling. Vide letter dated 16.12.2022, Wong Yi Ling received show cause letter from KL Wellness City (H) Sdn Bhd for failure to hit the KPI for the period of 01.12.2022 to 15.12.2022. Vide a letter dated 21.12.2022, Wong Yi Ling had provided an explanation vide email dated 21.12.2022 to KL Wellness City (H) Sdn Bhd. Vide letter dated 22.12.2022, KL Wellness City (H) Sdn Bhd had issued a warning letter to Wong Yi Ling. Vide letter dated 03.01.2023 the Respondent had issued a show caused letter to Wong Yi Ling for failure to hit the KPI for the period of 01.12.2022 to 15.12.2022. On 10.01.2023, Wong Yi Ling provided an explanation letter vide email dated 10.01.2023. Vide letter dated 11.01.2023,KL Wellness City (H) Sdn Bhd had issued warning letter to Wong Yi Ling.Vide letter dated 17.01.2023, KL Wellness City (H) Sdn Bhd had issued a show cause letter to Wong Yi Ling for the failure to submit Sales Performance Appraisal Form.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Respondent had issued a show cause letter to Liew Kim Feat on 09.12.2022 for failure to hit the KPI from 11.11.2022 to 30.11.2022. Liew Kim Feat had provided an explanation to the show’s cause letter, vide letter dated 10.12.2022. Vide a letter dated 27.12.2022, the Respondent issued a warning letter to Liew Kim Feat and vide letter dated 03.01.2023 the Respondent had issued a show caused letter to Liew Kim Feat for failure to hit the KPI for the period of 01.12.2022 to 15.12.2022. On 05.01.2023, Liew Kim Feat provided an explanation letter vide email dated 05.01.2023. Vide letter dated 11.01.2023,KL Wellness City (H) Sdn Bhd had issued warning letter to Liew Kim Feat.Vide letter dated 17.01.2023, KL Wellness City (H) Sdn Bhd had issued a show cause letter to Liew Kim Feat for the failure to submit Sales Performance Appraisal Form.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Claimants, vide Letter of Demand dated 13.01.2023, had through their Solicitors, Messrs M Raman &amp; Associates demanded from the Respondent for outstanding wages amounting to RM66,207.00.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Claimants in their Statement of Case pleaded that they was constructively dismissed on 17.10.2022 when the Respondent decided to transfer the Claimants internally to KL Wellness City (H) Sdn Bhd. The dispute regarding the constructive dismissal of the Claimants by the Respondent was referred by the Director General of Malaysian Industrial Relations for a decision and the reference was accepted by this Court on 28.07.2023.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On the Claimants contention that the constructive dismissal stemmed from the decision made by the Respondent to transfer the Claimants internally to KL Wellness City (H) Sdn Bhd on 17.10.2022, the Respondent submitted that the Claimants’ contentions are misconceived on and untenable on the ground that the Claimants have knowledge of the internal transfer on 17.10.2022 when the Complainant acknowledged the said letter of internal transfer and further, the Claimants had on 26.10.2022, 23.11.2022 and 21.12.2022 respectively, received monthly wages from KL Wellness City (H) Sdn Bhd.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There is no evidence that the Claimants had opposed the transfer to KL Wellness City (H) Sdn Bhd. Further, the term of the internal transfer had provided that all the employment terms after the internal transfer will remain the same and as such it is deemed that KL Wellness City (H) Sdn Bhd would remunerate the sales commissions payment pursuant to the incentive policies. In this case, the Claimants did not leave the KL Wellness City (H) Sdn Bhd after the internal transfer on 17.10.2022 and the Claimants had duly accepted monthly wages from KL Wellness City (H) Sdn Bhd since the internal transfer occurred.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The Claimants in their Statement of Case had also pleaded that the show cause letter issued was unreasonable and unjust. It is also pertinent to note that the Claimants, however, did not plead in his Statement of Case that such show cause letters caused fundamental breach of the terms and conditions in their respective Statement of Case. The show cause letters and warning letters issued to the Claimants were merely disciplinary actions taken by the Respondent to ensure that the Claimants comply with the KPI target.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The Claimants had duly responded to the show cause letters issued and the Claimants in their reply to the show cause letters, did not raise any objection. Further, the show cause letters, and warning letters issued to the Claimants do not constitute a fundamental breach to the terms and conditions of the Claimants’ respective employment contract as to give rise to “constructive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The allegation of fraud and forgery by the Claimants were not the reasons relied by the Claimants when claiming that there is constructive dismissal as such, the issue of fraud and forgery is irrelevant and cannot be considered by this Court. This Court shall only consider the complaints made by Claimants in the letter of resignation which led to the constructive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From the letter of demand dated 13.01.2023, the complaints that were made by the Claimants were on the non-payment of commissions and the Claimant did not raise the issue of fraud and forgery in the said letter of demand and as such this Court shall not address the issue of fraud and forgery as it was only raised for the first time by the Claimant in the Claimants’ affidavit. In the case of </w:t>
      </w:r>
      <w:r>
        <w:rPr>
          <w:rFonts w:ascii="arial" w:eastAsia="arial" w:hAnsi="arial" w:cs="arial"/>
          <w:b w:val="0"/>
          <w:i/>
          <w:strike w:val="0"/>
          <w:noProof w:val="0"/>
          <w:color w:val="000000"/>
          <w:position w:val="0"/>
          <w:sz w:val="24"/>
          <w:u w:val="none"/>
          <w:vertAlign w:val="baseline"/>
        </w:rPr>
        <w:t xml:space="preserve">Rokiah bt Suhaili v Emly Batu ak Bagang &amp; Ors </w:t>
      </w:r>
      <w:r>
        <w:rPr>
          <w:rFonts w:ascii="arial" w:eastAsia="arial" w:hAnsi="arial" w:cs="arial"/>
          <w:b w:val="0"/>
          <w:i w:val="0"/>
          <w:strike w:val="0"/>
          <w:noProof w:val="0"/>
          <w:color w:val="000000"/>
          <w:position w:val="0"/>
          <w:sz w:val="24"/>
          <w:u w:val="none"/>
          <w:vertAlign w:val="baseline"/>
        </w:rPr>
        <w:t>[2014] 7 MLJ 452</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 High Court in relation to the principles of pleading fraud held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“[11]...</w:t>
      </w:r>
      <w:r>
        <w:rPr>
          <w:rFonts w:ascii="arial" w:eastAsia="arial" w:hAnsi="arial" w:cs="arial"/>
          <w:b w:val="0"/>
          <w:i w:val="0"/>
          <w:strike w:val="0"/>
          <w:noProof w:val="0"/>
          <w:color w:val="000000"/>
          <w:position w:val="0"/>
          <w:sz w:val="18"/>
          <w:u w:val="none"/>
          <w:vertAlign w:val="baseline"/>
        </w:rPr>
        <w:t xml:space="preserve"> Order 18 rule 12(2) </w:t>
      </w:r>
      <w:r>
        <w:rPr>
          <w:rFonts w:ascii="arial" w:eastAsia="arial" w:hAnsi="arial" w:cs="arial"/>
          <w:b w:val="0"/>
          <w:i/>
          <w:strike w:val="0"/>
          <w:noProof w:val="0"/>
          <w:color w:val="000000"/>
          <w:position w:val="0"/>
          <w:sz w:val="18"/>
          <w:u w:val="none"/>
          <w:vertAlign w:val="baseline"/>
        </w:rPr>
        <w:t>provides that particulars of fraud or misrepresentation must be given in the pleading. In my view, the three paragraphs directed against the 3 rd and 4th defendant are general averments only which are singularly lacking in particulars. The rationale for particulars where fraud is alleged was given 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John Wallingford v Mutual Society </w:t>
      </w:r>
      <w:r>
        <w:rPr>
          <w:rFonts w:ascii="arial" w:eastAsia="arial" w:hAnsi="arial" w:cs="arial"/>
          <w:b w:val="0"/>
          <w:i w:val="0"/>
          <w:strike w:val="0"/>
          <w:noProof w:val="0"/>
          <w:color w:val="000000"/>
          <w:position w:val="0"/>
          <w:sz w:val="18"/>
          <w:u w:val="none"/>
          <w:vertAlign w:val="baseline"/>
        </w:rPr>
        <w:t>(1880) 5 App Cas 685</w:t>
      </w:r>
      <w:r>
        <w:rPr>
          <w:rFonts w:ascii="arial" w:eastAsia="arial" w:hAnsi="arial" w:cs="arial"/>
          <w:b w:val="0"/>
          <w:i/>
          <w:strike w:val="0"/>
          <w:noProof w:val="0"/>
          <w:color w:val="000000"/>
          <w:position w:val="0"/>
          <w:sz w:val="18"/>
          <w:u w:val="none"/>
          <w:vertAlign w:val="baseline"/>
        </w:rPr>
        <w:t xml:space="preserve"> (folld) where Lord Blackburn said as follows in this passage (cited with approval by Zakaria Yatim J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Malaysian French Bank Bhd v Abdullah bin Mohd Yusof &amp; Ors </w:t>
      </w:r>
      <w:r>
        <w:rPr>
          <w:rFonts w:ascii="arial" w:eastAsia="arial" w:hAnsi="arial" w:cs="arial"/>
          <w:b w:val="0"/>
          <w:i w:val="0"/>
          <w:strike w:val="0"/>
          <w:noProof w:val="0"/>
          <w:color w:val="000000"/>
          <w:position w:val="0"/>
          <w:sz w:val="18"/>
          <w:u w:val="none"/>
          <w:vertAlign w:val="baseline"/>
        </w:rPr>
        <w:t>[1991] 2 MLJ 475</w:t>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I think that when the affidavits are brought forward to raise that defence they must, if I may use the expression, condescend upon particulars. It is not enough to swear, ‘I say I owe the man nothing’. Doubtless, if it was true, that you owed the man nothing, as you swear, that would be a good defence. But that is not enough. You must satisfy the judge that there is reasonable ground for saying so. So again, if you swear that there was fraud, that will not do. It is difficult to define it, but you must give such an extent of definite facts pointing to the fraud as to satisfy the judge that those are facts which make it reasonable that you should be allowed to raise that defence. And in like manner as to illegality, and every other defence that might be mentioned.</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[12] The above passage also found its way into Mallal’s Supreme Court Practice, where it is stated (at pp 204 - 205 of the 4th Ed) that:</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single"/>
          <w:vertAlign w:val="baseline"/>
        </w:rPr>
        <w:t>Particulars of fraud must be pleaded. A general allegation of fraud, however strong the words used, where there is no statement of circumstances relied on as constituting the alleged fraud, is insufficient even to amount to an averment of fraud of which any court ought to take notice:</w:t>
      </w:r>
      <w:r>
        <w:rPr>
          <w:rFonts w:ascii="arial" w:eastAsia="arial" w:hAnsi="arial" w:cs="arial"/>
          <w:b w:val="0"/>
          <w:i/>
          <w:strike w:val="0"/>
          <w:noProof w:val="0"/>
          <w:color w:val="000000"/>
          <w:position w:val="0"/>
          <w:sz w:val="18"/>
          <w:u w:val="none"/>
          <w:vertAlign w:val="baseline"/>
        </w:rPr>
        <w:t xml:space="preserve"> John Wallingford v The Directors &amp; C of the Mutual Society and the Official Liquidator thereof (1879-80) 5 App Cas 685 atpp 697,701 and 709.”</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In the Federal Court case of </w:t>
      </w:r>
      <w:r>
        <w:rPr>
          <w:rFonts w:ascii="arial" w:eastAsia="arial" w:hAnsi="arial" w:cs="arial"/>
          <w:b w:val="0"/>
          <w:i/>
          <w:strike w:val="0"/>
          <w:noProof w:val="0"/>
          <w:color w:val="000000"/>
          <w:position w:val="0"/>
          <w:sz w:val="24"/>
          <w:u w:val="none"/>
          <w:vertAlign w:val="baseline"/>
        </w:rPr>
        <w:t xml:space="preserve">R Rama Chandran v Industrial Court of Malaysia &amp; Anor </w:t>
      </w:r>
      <w:r>
        <w:rPr>
          <w:rFonts w:ascii="arial" w:eastAsia="arial" w:hAnsi="arial" w:cs="arial"/>
          <w:b w:val="0"/>
          <w:i w:val="0"/>
          <w:strike w:val="0"/>
          <w:noProof w:val="0"/>
          <w:color w:val="000000"/>
          <w:position w:val="0"/>
          <w:sz w:val="24"/>
          <w:u w:val="none"/>
          <w:vertAlign w:val="baseline"/>
        </w:rPr>
        <w:t>[1997] 1 CLJ 147</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it was held that although the Industrial Court is not bound by all the technicalities of a civil Court (s. 30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the Industrial Court must follow the same general pattern:-</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is trite law that a party is bound by its pleadings. The Industrial Court must scrutinise the pleadings and identify the issues, take evidence hear the parties arguments and finally pronunce its judgment having strict regards to the issues</w:t>
      </w:r>
      <w:r>
        <w:rPr>
          <w:rFonts w:ascii="arial" w:eastAsia="arial" w:hAnsi="arial" w:cs="arial"/>
          <w:b w:val="0"/>
          <w:i/>
          <w:strike w:val="0"/>
          <w:noProof w:val="0"/>
          <w:color w:val="000000"/>
          <w:position w:val="0"/>
          <w:sz w:val="18"/>
          <w:u w:val="single"/>
          <w:vertAlign w:val="baseline"/>
        </w:rPr>
        <w:t xml:space="preserve">. It is true that the Industrial Court is not bound by all the technicalities of a civil Court (s. 30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1967) but it must follow the same general pattern. The object of pleadings is to determine what are the issues and to narrow the area of conflict. The Industrial Court cannot ignore the pleadings and treat them as mere pedantry or formalism, because if it does so, it may lose sight of the issues, admit evidence irrelevant to the issues or reject evidence relevant to the issues and come to the wrong conclusion.</w:t>
      </w:r>
      <w:r>
        <w:rPr>
          <w:rFonts w:ascii="arial" w:eastAsia="arial" w:hAnsi="arial" w:cs="arial"/>
          <w:b w:val="0"/>
          <w:i/>
          <w:strike w:val="0"/>
          <w:noProof w:val="0"/>
          <w:color w:val="000000"/>
          <w:position w:val="0"/>
          <w:sz w:val="18"/>
          <w:u w:val="none"/>
          <w:vertAlign w:val="baseline"/>
        </w:rPr>
        <w:t xml:space="preserve"> The Industrial Court must at all times keep itself alert to the issues and attend to matters it is bound to consider. In this case, the industrial Court had totally failed to consider the allegations of misconduct but simply concluded that because the letter of termination was grounded on retrenchment exercise, it is not bound, and therefore, not obliged to consider the issues of bias and misconduct.”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The Court agrees with the submission of the Respondent that the issue of fraud was clearly not pleaded in the Claimants’ respective Statement of Case and has been raised in the said affidavit at this juncture merely to respond to this application and such amounts to an afterthought. While this Court is not bound by the technicalities in the Evidence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 the fundamental principle that parties are bound by the four corners of pleadings still applies. Such can be observed from the case of </w:t>
      </w:r>
      <w:r>
        <w:rPr>
          <w:rFonts w:ascii="arial" w:eastAsia="arial" w:hAnsi="arial" w:cs="arial"/>
          <w:b w:val="0"/>
          <w:i/>
          <w:strike w:val="0"/>
          <w:noProof w:val="0"/>
          <w:color w:val="000000"/>
          <w:position w:val="0"/>
          <w:sz w:val="24"/>
          <w:u w:val="none"/>
          <w:vertAlign w:val="baseline"/>
        </w:rPr>
        <w:t xml:space="preserve">Ranjit Kaur a/p S. Gopal Singh v Hotel Excelsior (M) Sdn Bhd </w:t>
      </w:r>
      <w:r>
        <w:rPr>
          <w:rFonts w:ascii="arial" w:eastAsia="arial" w:hAnsi="arial" w:cs="arial"/>
          <w:b w:val="0"/>
          <w:i w:val="0"/>
          <w:strike w:val="0"/>
          <w:noProof w:val="0"/>
          <w:color w:val="000000"/>
          <w:position w:val="0"/>
          <w:sz w:val="24"/>
          <w:u w:val="none"/>
          <w:vertAlign w:val="baseline"/>
        </w:rPr>
        <w:t xml:space="preserve">[2010]4 ILR 475 where the principles laid down by the Federal Court was also adopted by His Lordship YA Roslan Mat Nor H sitting at the High Court of Temerloh in the case of </w:t>
      </w:r>
      <w:r>
        <w:rPr>
          <w:rFonts w:ascii="arial" w:eastAsia="arial" w:hAnsi="arial" w:cs="arial"/>
          <w:b/>
          <w:i w:val="0"/>
          <w:strike w:val="0"/>
          <w:noProof w:val="0"/>
          <w:color w:val="000000"/>
          <w:position w:val="0"/>
          <w:sz w:val="24"/>
          <w:u w:val="none"/>
          <w:vertAlign w:val="baseline"/>
        </w:rPr>
        <w:t>Mohamad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Basri Izan Bin Said Mohammad Dan Lain-lain lwn Global Force Security Sdn Bhd </w:t>
      </w:r>
      <w:r>
        <w:rPr>
          <w:rFonts w:ascii="arial" w:eastAsia="arial" w:hAnsi="arial" w:cs="arial"/>
          <w:b w:val="0"/>
          <w:i w:val="0"/>
          <w:strike w:val="0"/>
          <w:noProof w:val="0"/>
          <w:color w:val="000000"/>
          <w:position w:val="0"/>
          <w:sz w:val="24"/>
          <w:u w:val="none"/>
          <w:vertAlign w:val="baseline"/>
        </w:rPr>
        <w:t>[2025] 2 ILR 1 had relied on the held as follows: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“[28] ... The Industrial Court, like the civil courts must confine itself to the four corners of the pleading. This had been held to be so by this court in Rama Chandran which are as follows:</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It is trite law that a party is bound by its pleadings. The Industrial Court must scrutinise the pleadings and identify the issues, take evidence, hear the parties’ arguments and finally pronounce its judgment having strict regards to the issues.</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[29] There is no reason to depart from the above view. Pleadings in the Industrial Court are as important as in the civil courts. The appellant must plead its case and the Industrial Court must decide on the appellant’s pleaded case. This is important in order to prevent element of surprise and provide room for the other party to adduce evidence once the fact or an issue is pleaded.”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The Court also agrees with the Respondent submission that the Claimants’ submissions that the issue of waiving the Claimants’ statutory rights does not arise in this Court as the Claimants’ contention on enforcing wages entitlement before this Court is misconceived since the Claimants ‘claims against the Respondent are for the nonpayment of commissions which are not constituted as wages according to the First Schedule of Section 3 Of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which states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“3. For the purpose of this Schedule ‘wages” means wages as defined in</w:t>
      </w:r>
      <w:r>
        <w:rPr>
          <w:rFonts w:ascii="arial" w:eastAsia="arial" w:hAnsi="arial" w:cs="arial"/>
          <w:b w:val="0"/>
          <w:i w:val="0"/>
          <w:strike w:val="0"/>
          <w:noProof w:val="0"/>
          <w:color w:val="000000"/>
          <w:position w:val="0"/>
          <w:sz w:val="18"/>
          <w:u w:val="none"/>
          <w:vertAlign w:val="baseline"/>
        </w:rPr>
        <w:t xml:space="preserve"> section 2, </w:t>
      </w:r>
      <w:r>
        <w:rPr>
          <w:rFonts w:ascii="arial" w:eastAsia="arial" w:hAnsi="arial" w:cs="arial"/>
          <w:b w:val="0"/>
          <w:i/>
          <w:strike w:val="0"/>
          <w:noProof w:val="0"/>
          <w:color w:val="000000"/>
          <w:position w:val="0"/>
          <w:sz w:val="18"/>
          <w:u w:val="none"/>
          <w:vertAlign w:val="baseline"/>
        </w:rPr>
        <w:t>but shall not include any payment by way of commission, subsistence allowance and overtime payment.”</w:t>
      </w:r>
      <w:r>
        <w:t>
</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Further, the issue before this Court is not in relation to the jurisdiction of the Director General of Labour. This Court agrees with the Respondent’s submission that the allegations of fraud and forgery raised at this juncture are mere afterthought and raised only to respond to this application.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The Court also agrees with the Respondent’s submission that the Claimants’ contention that the Respondent ought to file an application for judicial review is completely without merit as it does not reflect on the current position of the law. Pursuant to section 29(fa)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this Court is vested with the power to strike out a claim and one of the grounds for this Court to do so is when this Court has no jurisdiction to hear the case. Such observation can be made in the case of </w:t>
      </w:r>
      <w:r>
        <w:rPr>
          <w:rFonts w:ascii="arial" w:eastAsia="arial" w:hAnsi="arial" w:cs="arial"/>
          <w:b w:val="0"/>
          <w:i/>
          <w:strike w:val="0"/>
          <w:noProof w:val="0"/>
          <w:color w:val="000000"/>
          <w:position w:val="0"/>
          <w:sz w:val="24"/>
          <w:u w:val="none"/>
          <w:vertAlign w:val="baseline"/>
        </w:rPr>
        <w:t xml:space="preserve">Institut Integriti Malaysia v Roziah &amp; Anor </w:t>
      </w:r>
      <w:r>
        <w:rPr>
          <w:rFonts w:ascii="arial" w:eastAsia="arial" w:hAnsi="arial" w:cs="arial"/>
          <w:b w:val="0"/>
          <w:i w:val="0"/>
          <w:strike w:val="0"/>
          <w:noProof w:val="0"/>
          <w:color w:val="000000"/>
          <w:position w:val="0"/>
          <w:sz w:val="24"/>
          <w:u w:val="none"/>
          <w:vertAlign w:val="baseline"/>
        </w:rPr>
        <w:t>[2024] 10 CLJ 894</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where the Court of Appeal had made the following findings: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“[15] Respectfully, we cannot agree with the claimant’s contention and the High Court’s ruling that Kathiravelu’s case applies and that the Institute ought to have filed for judicial review to quash the reference under</w:t>
      </w:r>
      <w:r>
        <w:rPr>
          <w:rFonts w:ascii="arial" w:eastAsia="arial" w:hAnsi="arial" w:cs="arial"/>
          <w:b w:val="0"/>
          <w:i w:val="0"/>
          <w:strike w:val="0"/>
          <w:noProof w:val="0"/>
          <w:color w:val="000000"/>
          <w:position w:val="0"/>
          <w:sz w:val="18"/>
          <w:u w:val="none"/>
          <w:vertAlign w:val="baseline"/>
        </w:rPr>
        <w:t xml:space="preserve"> s. 20(3)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In this regard, it is essential to keep in mind that when s. 29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was amended and (fa) was inserted, Parliament is deemed to know the law, particularly the ruling of the Supreme Court in Kathiravelu’s case. The effect of the Supreme Court’s ruling in Kathiravelu’s case is that, a reference to the Industrial Court, which was based on a workman’s representation under s. 20(1)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and made beyond the time prescribed by that section,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per Fung Keong Rubber Manufacturing (M) Sdn Bhd v. Lee Eng Kiat &amp; Ors </w:t>
      </w:r>
      <w:r>
        <w:rPr>
          <w:rFonts w:ascii="arial" w:eastAsia="arial" w:hAnsi="arial" w:cs="arial"/>
          <w:b w:val="0"/>
          <w:i w:val="0"/>
          <w:strike w:val="0"/>
          <w:noProof w:val="0"/>
          <w:color w:val="000000"/>
          <w:position w:val="0"/>
          <w:sz w:val="18"/>
          <w:u w:val="none"/>
          <w:vertAlign w:val="baseline"/>
        </w:rPr>
        <w:t>[1980] CLJU 156;; [1980] 1 LNS 156;; [1981] 1 MLJ 238</w:t>
      </w:r>
      <w:r>
        <w:rPr>
          <w:rFonts w:ascii="arial" w:eastAsia="arial" w:hAnsi="arial" w:cs="arial"/>
          <w:b w:val="0"/>
          <w:i/>
          <w:strike w:val="0"/>
          <w:noProof w:val="0"/>
          <w:color w:val="000000"/>
          <w:position w:val="0"/>
          <w:sz w:val="18"/>
          <w:u w:val="none"/>
          <w:vertAlign w:val="baseline"/>
        </w:rPr>
        <w:t xml:space="preserve"> may be dealt with by the Industrial Court itself, whereas any other challenge to the Industrial Court’s threshold jurisdiction must be taken up by way of judicial review, and not by way of any preliminary objection in the Industrial Court.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[21] To conclude on the point that was discussed above, we do not agree that in all cases, it is necessary for the jurisdictional objection under</w:t>
      </w:r>
      <w:r>
        <w:rPr>
          <w:rFonts w:ascii="arial" w:eastAsia="arial" w:hAnsi="arial" w:cs="arial"/>
          <w:b w:val="0"/>
          <w:i w:val="0"/>
          <w:strike w:val="0"/>
          <w:noProof w:val="0"/>
          <w:color w:val="000000"/>
          <w:position w:val="0"/>
          <w:sz w:val="18"/>
          <w:u w:val="none"/>
          <w:vertAlign w:val="baseline"/>
        </w:rPr>
        <w:t xml:space="preserve"> s. 52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to be taken up at a full hearing. As stated earlier, it will all depend on the facts and circumstances. Thus, to say that every case where s. 52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is being invoked must proceed to a full hearing would in our view, render s. 29(fa)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totally redundant and otiose.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....[22]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In our view,</w:t>
      </w:r>
      <w:r>
        <w:rPr>
          <w:rFonts w:ascii="arial" w:eastAsia="arial" w:hAnsi="arial" w:cs="arial"/>
          <w:b w:val="0"/>
          <w:i w:val="0"/>
          <w:strike w:val="0"/>
          <w:noProof w:val="0"/>
          <w:color w:val="000000"/>
          <w:position w:val="0"/>
          <w:sz w:val="18"/>
          <w:u w:val="none"/>
          <w:vertAlign w:val="baseline"/>
        </w:rPr>
        <w:t xml:space="preserve"> s. 29(fa)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may be invoked in a fit and proper case</w:t>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As such, the Respondent may challenge the jurisdiction of this Honourable Court to hear the Claimants’ respective cases by filing this application pursuant to section 29(fa)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not necessary by way of judicial review. The Industrial Court in the case of </w:t>
      </w:r>
      <w:r>
        <w:rPr>
          <w:rFonts w:ascii="arial" w:eastAsia="arial" w:hAnsi="arial" w:cs="arial"/>
          <w:b w:val="0"/>
          <w:i/>
          <w:strike w:val="0"/>
          <w:noProof w:val="0"/>
          <w:color w:val="000000"/>
          <w:position w:val="0"/>
          <w:sz w:val="24"/>
          <w:u w:val="none"/>
          <w:vertAlign w:val="baseline"/>
        </w:rPr>
        <w:t xml:space="preserve">Tan Cheng Leng v Dynamic Management Sdn Bhd </w:t>
      </w:r>
      <w:r>
        <w:rPr>
          <w:rFonts w:ascii="arial" w:eastAsia="arial" w:hAnsi="arial" w:cs="arial"/>
          <w:b w:val="0"/>
          <w:i w:val="0"/>
          <w:strike w:val="0"/>
          <w:noProof w:val="0"/>
          <w:color w:val="000000"/>
          <w:position w:val="0"/>
          <w:sz w:val="24"/>
          <w:u w:val="none"/>
          <w:vertAlign w:val="baseline"/>
        </w:rPr>
        <w:t>[2023] ILRU 1910</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held inter alia</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“[12] With due respect, this Court is unable to agree with the submission of the Company’s submission. The case of Bandar Builder [supra] is inapplicable here as that case was decided under the Rules of Court 2012 which governs the procedure in the civil courts.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In the Industrial Court, a specific provision exists under</w:t>
      </w:r>
      <w:r>
        <w:rPr>
          <w:rFonts w:ascii="arial" w:eastAsia="arial" w:hAnsi="arial" w:cs="arial"/>
          <w:b w:val="0"/>
          <w:i w:val="0"/>
          <w:strike w:val="0"/>
          <w:noProof w:val="0"/>
          <w:color w:val="000000"/>
          <w:position w:val="0"/>
          <w:sz w:val="18"/>
          <w:u w:val="none"/>
          <w:vertAlign w:val="baseline"/>
        </w:rPr>
        <w:t xml:space="preserve"> Section 29 (fa)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 </w:t>
      </w:r>
      <w:r>
        <w:rPr>
          <w:rFonts w:ascii="arial" w:eastAsia="arial" w:hAnsi="arial" w:cs="arial"/>
          <w:b/>
          <w:i/>
          <w:strike w:val="0"/>
          <w:noProof w:val="0"/>
          <w:color w:val="000000"/>
          <w:position w:val="0"/>
          <w:sz w:val="18"/>
          <w:u w:val="none"/>
          <w:vertAlign w:val="baseline"/>
        </w:rPr>
        <w:t>pertaining to applications to strike out a case</w:t>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The Claimants have failed to adduce any evidence in the Claimant’s Affidavit in Reply to demonstrate that the Claimants were constructively dismissed by satisfying the conditions as laid down in the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[1988] 1 MLJ 92</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where the Supreme Court had adopted the definition of constructive dismissal from the case of </w:t>
      </w:r>
      <w:r>
        <w:rPr>
          <w:rFonts w:ascii="arial" w:eastAsia="arial" w:hAnsi="arial" w:cs="arial"/>
          <w:b w:val="0"/>
          <w:i/>
          <w:strike w:val="0"/>
          <w:noProof w:val="0"/>
          <w:color w:val="000000"/>
          <w:position w:val="0"/>
          <w:sz w:val="24"/>
          <w:u w:val="none"/>
          <w:vertAlign w:val="baseline"/>
        </w:rPr>
        <w:t xml:space="preserve">Western Excavating (ECC) Ltd v Sharp </w:t>
      </w:r>
      <w:r>
        <w:rPr>
          <w:rFonts w:ascii="arial" w:eastAsia="arial" w:hAnsi="arial" w:cs="arial"/>
          <w:b w:val="0"/>
          <w:i w:val="0"/>
          <w:strike w:val="0"/>
          <w:noProof w:val="0"/>
          <w:color w:val="000000"/>
          <w:position w:val="0"/>
          <w:sz w:val="24"/>
          <w:u w:val="none"/>
          <w:vertAlign w:val="baseline"/>
        </w:rPr>
        <w:t>[1978] 1 All ER 713 as follows: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“According to the Court of Appeal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Western Excavating (ECC) Ltd v Sharp </w:t>
      </w:r>
      <w:r>
        <w:rPr>
          <w:rFonts w:ascii="arial" w:eastAsia="arial" w:hAnsi="arial" w:cs="arial"/>
          <w:b w:val="0"/>
          <w:i w:val="0"/>
          <w:strike w:val="0"/>
          <w:noProof w:val="0"/>
          <w:color w:val="000000"/>
          <w:position w:val="0"/>
          <w:sz w:val="18"/>
          <w:u w:val="none"/>
          <w:vertAlign w:val="baseline"/>
        </w:rPr>
        <w:t>[1978] IRLR 27</w:t>
      </w:r>
      <w:r>
        <w:rPr>
          <w:rFonts w:ascii="arial" w:eastAsia="arial" w:hAnsi="arial" w:cs="arial"/>
          <w:b w:val="0"/>
          <w:i/>
          <w:strike w:val="0"/>
          <w:noProof w:val="0"/>
          <w:color w:val="000000"/>
          <w:position w:val="0"/>
          <w:sz w:val="18"/>
          <w:u w:val="none"/>
          <w:vertAlign w:val="baseline"/>
        </w:rPr>
        <w:t>, it means no more than the common law</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right of an employee to repudiate his contract of service where the conduct of his employer is such that the latter is guilty of a breach going to the root of the contract</w:t>
      </w:r>
      <w:r>
        <w:rPr>
          <w:rFonts w:ascii="arial" w:eastAsia="arial" w:hAnsi="arial" w:cs="arial"/>
          <w:b w:val="0"/>
          <w:i/>
          <w:strike w:val="0"/>
          <w:noProof w:val="0"/>
          <w:color w:val="000000"/>
          <w:position w:val="0"/>
          <w:sz w:val="18"/>
          <w:u w:val="none"/>
          <w:vertAlign w:val="baseline"/>
        </w:rPr>
        <w:t xml:space="preserve"> or where he has evinced an intention no longer to be bound by the contract. In such situations, the employee is entitled to regard himself as being dismissed and walk out of his employment.”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The dictum of Lord Denning in the leading case of </w:t>
      </w:r>
      <w:r>
        <w:rPr>
          <w:rFonts w:ascii="arial" w:eastAsia="arial" w:hAnsi="arial" w:cs="arial"/>
          <w:b/>
          <w:i w:val="0"/>
          <w:strike w:val="0"/>
          <w:noProof w:val="0"/>
          <w:color w:val="000000"/>
          <w:position w:val="0"/>
          <w:sz w:val="24"/>
          <w:u w:val="none"/>
          <w:vertAlign w:val="baseline"/>
        </w:rPr>
        <w:t>Western Excavating (ECC) Ltd v. Sharp 1 All ER 713</w:t>
      </w:r>
      <w:r>
        <w:rPr>
          <w:rFonts w:ascii="arial" w:eastAsia="arial" w:hAnsi="arial" w:cs="arial"/>
          <w:b w:val="0"/>
          <w:i w:val="0"/>
          <w:strike w:val="0"/>
          <w:noProof w:val="0"/>
          <w:color w:val="000000"/>
          <w:position w:val="0"/>
          <w:sz w:val="24"/>
          <w:u w:val="none"/>
          <w:vertAlign w:val="baseline"/>
        </w:rPr>
        <w:t xml:space="preserve"> explains in clear and simple words on what amounts to a constructive dismissal:</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“.If the employer is guilty of conduct which is a significant breach going to the root of the contract of employment, or which shows that the employer no longer intends to be bound by one or more of the essential terms of the contract, then the employee is entitled to treat himself as discharged from any further performance. If he does so, then he terminates the contract by reason of the employer’s conduct. He is constructively dismissed. The employee is entitled in those circumstances to leave at the instant without giving any notice at all or, alternatively, he may give notice and say that he is leaving at the end of the notice.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But the conduct must in either case be sufficiently serious to entitle him to leave at once. Moreover, he must make up his mind soon after the conduct of which he complains, for if he continues for any length of time without leaving, he will lose his right to treat himself as discharged.</w:t>
      </w:r>
      <w:r>
        <w:rPr>
          <w:rFonts w:ascii="arial" w:eastAsia="arial" w:hAnsi="arial" w:cs="arial"/>
          <w:b w:val="0"/>
          <w:i/>
          <w:strike w:val="0"/>
          <w:noProof w:val="0"/>
          <w:color w:val="000000"/>
          <w:position w:val="0"/>
          <w:sz w:val="18"/>
          <w:u w:val="none"/>
          <w:vertAlign w:val="baseline"/>
        </w:rPr>
        <w:t xml:space="preserve"> He will be regarded as having elected to affirm the contract.”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From the above cited cases, it can be concluded that the Claimants have failed to discharge the burden of proving that the Claimants were constructively dismissed prior to the Claimants making his representation to the Director General on 26.01.2023 for the following reasons: -</w:t>
      </w:r>
      <w:r>
        <w:t>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that the Claimants were aware of the internal transfer which had occurred on 17.10.2022 and the Claimants had acknowledged the said letter of internal transfer;</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that the Claimants did not leave the KL Wellness City (H) Sdn Bhd after the internal transfer on 17.10.2022 or opposed to the wages payment by KL Wellness City (H) Sdn Bhd;</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that the Claimants’ contentions that there was constructive dismissal on 17.10.2022 and was only known to the Claimants on 19.01.2023 is misconceived and an afterthought without basis.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xml:space="preserve">  In short, the Claimants have failed to adduce any evidence to demonstrate that the Claimants were constructively dismissed on 17.10.2022. Since there is no constructive dismissal of the Claimants, the issue whether the Claimants were dismissed unjustly does not arise. Hence, the Claimants’ claims for constructive dismissal against the Respondent is without basis and the representation made to the Director General pursuant to section 20(1)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is premature.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Conclusion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Consequently, the Court makes the following orders:-</w:t>
      </w:r>
      <w:r>
        <w:t>
</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Application under Enclosure 55A is allowed; and</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mention date on 08.10.2025 and hearing dates on 14.10.2025, 15.10.2025 and 16.10.2025 be vacated.</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Leo Anthony a/l P R Benedict Francis v KL Wellness City Sdn Bhd  [2025] ILJU 460</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Anthony a/l P R Benedict Francis v KL Wellness City Sdn Bhd  [2025] ILJU 460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91-CYC3-MD2F-S46W-00000-00">
    <vt:lpwstr>Doc::/shared/document|contextualFeaturePermID::1522468</vt:lpwstr>
  </property>
  <property fmtid="{D5CDD505-2E9C-101B-9397-08002B2CF9AE}" pid="4" name="LNDeliveryID">
    <vt:lpwstr>286221423</vt:lpwstr>
  </property>
  <property fmtid="{D5CDD505-2E9C-101B-9397-08002B2CF9AE}" pid="5" name="UserPermID">
    <vt:lpwstr>urn:user:PA196491919</vt:lpwstr>
  </property>
</Properties>
</file>